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1F271B8" w14:textId="77777777" w:rsidR="007F0ECF" w:rsidRDefault="007F0ECF">
      <w:pPr>
        <w:adjustRightInd w:val="0"/>
        <w:spacing w:line="360" w:lineRule="auto"/>
        <w:jc w:val="left"/>
        <w:rPr>
          <w:color w:val="000000"/>
          <w:sz w:val="28"/>
        </w:rPr>
      </w:pPr>
      <w:bookmarkStart w:id="0" w:name="OLE_LINK1"/>
      <w:bookmarkStart w:id="1" w:name="OLE_LINK29"/>
    </w:p>
    <w:p w14:paraId="1D0168E7" w14:textId="77777777" w:rsidR="007F0ECF" w:rsidRDefault="007F0ECF">
      <w:pPr>
        <w:adjustRightInd w:val="0"/>
        <w:spacing w:line="360" w:lineRule="auto"/>
        <w:jc w:val="center"/>
        <w:rPr>
          <w:color w:val="000000"/>
          <w:sz w:val="28"/>
        </w:rPr>
      </w:pPr>
    </w:p>
    <w:p w14:paraId="5A221D37" w14:textId="77777777" w:rsidR="007F0ECF" w:rsidRDefault="007F0ECF">
      <w:pPr>
        <w:adjustRightInd w:val="0"/>
        <w:spacing w:line="360" w:lineRule="auto"/>
        <w:jc w:val="center"/>
        <w:rPr>
          <w:color w:val="000000"/>
          <w:sz w:val="28"/>
        </w:rPr>
      </w:pPr>
    </w:p>
    <w:p w14:paraId="69C7A2C4" w14:textId="77777777" w:rsidR="007F0ECF" w:rsidRDefault="007F0ECF">
      <w:pPr>
        <w:adjustRightInd w:val="0"/>
        <w:spacing w:line="360" w:lineRule="auto"/>
        <w:jc w:val="center"/>
        <w:rPr>
          <w:color w:val="000000"/>
          <w:sz w:val="28"/>
        </w:rPr>
      </w:pPr>
    </w:p>
    <w:p w14:paraId="2ABC269A" w14:textId="77777777" w:rsidR="007F0ECF" w:rsidRDefault="007F0ECF">
      <w:pPr>
        <w:adjustRightInd w:val="0"/>
        <w:spacing w:line="360" w:lineRule="auto"/>
        <w:jc w:val="center"/>
        <w:rPr>
          <w:color w:val="000000"/>
          <w:sz w:val="28"/>
        </w:rPr>
      </w:pPr>
    </w:p>
    <w:p w14:paraId="0F219CEB" w14:textId="77777777" w:rsidR="007F0ECF" w:rsidRDefault="007F0ECF">
      <w:pPr>
        <w:adjustRightInd w:val="0"/>
        <w:spacing w:line="360" w:lineRule="auto"/>
        <w:jc w:val="center"/>
        <w:rPr>
          <w:color w:val="000000"/>
          <w:sz w:val="28"/>
        </w:rPr>
      </w:pPr>
    </w:p>
    <w:p w14:paraId="2D98F7BD" w14:textId="77777777" w:rsidR="007F0ECF" w:rsidRDefault="005B4DD9">
      <w:pPr>
        <w:adjustRightInd w:val="0"/>
        <w:spacing w:line="360" w:lineRule="auto"/>
        <w:jc w:val="center"/>
        <w:rPr>
          <w:b/>
          <w:color w:val="000000"/>
          <w:sz w:val="44"/>
          <w:szCs w:val="44"/>
        </w:rPr>
      </w:pPr>
      <w:r>
        <w:rPr>
          <w:rFonts w:hint="eastAsia"/>
          <w:b/>
          <w:color w:val="000000"/>
          <w:sz w:val="44"/>
        </w:rPr>
        <w:t>华泰柏瑞上证</w:t>
      </w:r>
      <w:proofErr w:type="gramStart"/>
      <w:r>
        <w:rPr>
          <w:rFonts w:hint="eastAsia"/>
          <w:b/>
          <w:color w:val="000000"/>
          <w:sz w:val="44"/>
        </w:rPr>
        <w:t>科创板</w:t>
      </w:r>
      <w:proofErr w:type="gramEnd"/>
      <w:r>
        <w:rPr>
          <w:rFonts w:hint="eastAsia"/>
          <w:b/>
          <w:color w:val="000000"/>
          <w:sz w:val="44"/>
        </w:rPr>
        <w:t>综合指数增强型证券投资基金</w:t>
      </w:r>
    </w:p>
    <w:p w14:paraId="6064DAFC" w14:textId="397AB8B7" w:rsidR="007F0ECF" w:rsidRDefault="005B4DD9">
      <w:pPr>
        <w:adjustRightInd w:val="0"/>
        <w:spacing w:line="360" w:lineRule="auto"/>
        <w:jc w:val="center"/>
        <w:rPr>
          <w:b/>
          <w:color w:val="000000"/>
          <w:sz w:val="44"/>
          <w:szCs w:val="44"/>
        </w:rPr>
      </w:pPr>
      <w:r>
        <w:rPr>
          <w:rFonts w:hint="eastAsia"/>
          <w:b/>
          <w:color w:val="000000"/>
          <w:sz w:val="44"/>
        </w:rPr>
        <w:t>托管协议</w:t>
      </w:r>
    </w:p>
    <w:p w14:paraId="1831E0C6" w14:textId="77777777" w:rsidR="007F0ECF" w:rsidRDefault="007F0ECF"/>
    <w:p w14:paraId="4C88BCA2" w14:textId="77777777" w:rsidR="007F0ECF" w:rsidRDefault="007F0ECF">
      <w:pPr>
        <w:rPr>
          <w:sz w:val="28"/>
        </w:rPr>
      </w:pPr>
    </w:p>
    <w:p w14:paraId="34B96F3D" w14:textId="77777777" w:rsidR="007F0ECF" w:rsidRDefault="007F0ECF">
      <w:pPr>
        <w:rPr>
          <w:sz w:val="28"/>
        </w:rPr>
      </w:pPr>
    </w:p>
    <w:p w14:paraId="48ED4F93" w14:textId="77777777" w:rsidR="007F0ECF" w:rsidRDefault="007F0ECF">
      <w:pPr>
        <w:rPr>
          <w:sz w:val="28"/>
        </w:rPr>
      </w:pPr>
    </w:p>
    <w:p w14:paraId="5312A121" w14:textId="77777777" w:rsidR="007F0ECF" w:rsidRDefault="007F0ECF">
      <w:pPr>
        <w:rPr>
          <w:sz w:val="28"/>
        </w:rPr>
      </w:pPr>
    </w:p>
    <w:p w14:paraId="0CBC49F4" w14:textId="77777777" w:rsidR="007F0ECF" w:rsidRDefault="007F0ECF">
      <w:pPr>
        <w:rPr>
          <w:sz w:val="28"/>
        </w:rPr>
      </w:pPr>
    </w:p>
    <w:p w14:paraId="2E6DDCC0" w14:textId="77777777" w:rsidR="007F0ECF" w:rsidRDefault="007F0ECF">
      <w:pPr>
        <w:rPr>
          <w:sz w:val="28"/>
        </w:rPr>
      </w:pPr>
    </w:p>
    <w:p w14:paraId="47BA73B0" w14:textId="77777777" w:rsidR="007F0ECF" w:rsidRDefault="005B4DD9">
      <w:pPr>
        <w:jc w:val="center"/>
        <w:rPr>
          <w:b/>
          <w:sz w:val="28"/>
        </w:rPr>
      </w:pPr>
      <w:r>
        <w:rPr>
          <w:rFonts w:hint="eastAsia"/>
          <w:b/>
          <w:sz w:val="28"/>
        </w:rPr>
        <w:t>基金管理人：华泰柏瑞基金管理有限公司</w:t>
      </w:r>
    </w:p>
    <w:p w14:paraId="56F4FAC8" w14:textId="77777777" w:rsidR="007F0ECF" w:rsidRDefault="005B4DD9">
      <w:pPr>
        <w:jc w:val="center"/>
        <w:rPr>
          <w:b/>
          <w:sz w:val="28"/>
        </w:rPr>
      </w:pPr>
      <w:r>
        <w:rPr>
          <w:rFonts w:hint="eastAsia"/>
          <w:b/>
          <w:sz w:val="28"/>
        </w:rPr>
        <w:t>基金托管人：中信银行股份有限公司</w:t>
      </w:r>
    </w:p>
    <w:p w14:paraId="0F45AE50" w14:textId="77777777" w:rsidR="007F0ECF" w:rsidRDefault="005B4DD9">
      <w:pPr>
        <w:widowControl/>
        <w:spacing w:line="360" w:lineRule="auto"/>
        <w:jc w:val="left"/>
        <w:rPr>
          <w:color w:val="000000"/>
          <w:sz w:val="28"/>
        </w:rPr>
      </w:pPr>
      <w:r>
        <w:rPr>
          <w:color w:val="000000"/>
          <w:sz w:val="28"/>
        </w:rPr>
        <w:br w:type="page"/>
      </w:r>
    </w:p>
    <w:p w14:paraId="7F3CFCDD" w14:textId="77777777" w:rsidR="007F0ECF" w:rsidRDefault="005B4DD9">
      <w:pPr>
        <w:spacing w:line="360" w:lineRule="auto"/>
        <w:jc w:val="center"/>
        <w:rPr>
          <w:b/>
          <w:color w:val="000000"/>
          <w:sz w:val="30"/>
          <w:szCs w:val="30"/>
        </w:rPr>
      </w:pPr>
      <w:r>
        <w:rPr>
          <w:rFonts w:hint="eastAsia"/>
          <w:b/>
          <w:color w:val="000000"/>
          <w:sz w:val="30"/>
          <w:szCs w:val="30"/>
        </w:rPr>
        <w:lastRenderedPageBreak/>
        <w:t xml:space="preserve"> </w:t>
      </w:r>
      <w:r>
        <w:rPr>
          <w:b/>
          <w:color w:val="000000"/>
          <w:sz w:val="30"/>
          <w:szCs w:val="30"/>
        </w:rPr>
        <w:t xml:space="preserve">  </w:t>
      </w:r>
      <w:r>
        <w:rPr>
          <w:b/>
          <w:color w:val="000000"/>
          <w:sz w:val="30"/>
          <w:szCs w:val="30"/>
        </w:rPr>
        <w:t>目</w:t>
      </w:r>
      <w:r>
        <w:rPr>
          <w:b/>
          <w:color w:val="000000"/>
          <w:sz w:val="30"/>
          <w:szCs w:val="30"/>
        </w:rPr>
        <w:t xml:space="preserve">    </w:t>
      </w:r>
      <w:r>
        <w:rPr>
          <w:b/>
          <w:color w:val="000000"/>
          <w:sz w:val="30"/>
          <w:szCs w:val="30"/>
        </w:rPr>
        <w:t>录</w:t>
      </w:r>
    </w:p>
    <w:p w14:paraId="61BDA744" w14:textId="77777777" w:rsidR="007F0ECF" w:rsidRDefault="007F0ECF">
      <w:pPr>
        <w:spacing w:line="360" w:lineRule="auto"/>
        <w:jc w:val="center"/>
      </w:pPr>
    </w:p>
    <w:p w14:paraId="43C6B4A5" w14:textId="672406EC" w:rsidR="007F0ECF" w:rsidRDefault="005B4DD9">
      <w:pPr>
        <w:pStyle w:val="TOC2"/>
        <w:tabs>
          <w:tab w:val="right" w:leader="dot" w:pos="8302"/>
        </w:tabs>
        <w:spacing w:line="360" w:lineRule="auto"/>
        <w:rPr>
          <w:rFonts w:ascii="Calibri" w:hAnsi="Calibri"/>
          <w:noProof/>
          <w:szCs w:val="22"/>
        </w:rPr>
      </w:pPr>
      <w:r>
        <w:rPr>
          <w:color w:val="000000"/>
          <w:sz w:val="24"/>
          <w:szCs w:val="24"/>
        </w:rPr>
        <w:fldChar w:fldCharType="begin"/>
      </w:r>
      <w:r>
        <w:rPr>
          <w:color w:val="000000"/>
          <w:sz w:val="24"/>
          <w:szCs w:val="24"/>
        </w:rPr>
        <w:instrText xml:space="preserve"> TOC \o "1-2" \h \z </w:instrText>
      </w:r>
      <w:r>
        <w:rPr>
          <w:color w:val="000000"/>
          <w:sz w:val="24"/>
          <w:szCs w:val="24"/>
        </w:rPr>
        <w:fldChar w:fldCharType="separate"/>
      </w:r>
      <w:hyperlink w:anchor="_Toc497759436" w:history="1">
        <w:r>
          <w:rPr>
            <w:rStyle w:val="af4"/>
            <w:rFonts w:hint="eastAsia"/>
            <w:noProof/>
          </w:rPr>
          <w:t>一、基金托管协议当事人</w:t>
        </w:r>
        <w:r>
          <w:rPr>
            <w:noProof/>
          </w:rPr>
          <w:tab/>
        </w:r>
        <w:r>
          <w:rPr>
            <w:noProof/>
          </w:rPr>
          <w:fldChar w:fldCharType="begin"/>
        </w:r>
        <w:r>
          <w:rPr>
            <w:noProof/>
          </w:rPr>
          <w:instrText xml:space="preserve"> PAGEREF _Toc497759436 \h </w:instrText>
        </w:r>
        <w:r>
          <w:rPr>
            <w:noProof/>
          </w:rPr>
        </w:r>
        <w:r>
          <w:rPr>
            <w:noProof/>
          </w:rPr>
          <w:fldChar w:fldCharType="separate"/>
        </w:r>
        <w:r w:rsidR="007A22F4">
          <w:rPr>
            <w:noProof/>
          </w:rPr>
          <w:t>5</w:t>
        </w:r>
        <w:r>
          <w:rPr>
            <w:noProof/>
          </w:rPr>
          <w:fldChar w:fldCharType="end"/>
        </w:r>
      </w:hyperlink>
    </w:p>
    <w:p w14:paraId="390CE8B8" w14:textId="52E5C1C3" w:rsidR="007F0ECF" w:rsidRDefault="0080346F">
      <w:pPr>
        <w:pStyle w:val="TOC2"/>
        <w:tabs>
          <w:tab w:val="right" w:leader="dot" w:pos="8302"/>
        </w:tabs>
        <w:spacing w:line="360" w:lineRule="auto"/>
        <w:rPr>
          <w:rFonts w:ascii="Calibri" w:hAnsi="Calibri"/>
          <w:noProof/>
          <w:szCs w:val="22"/>
        </w:rPr>
      </w:pPr>
      <w:hyperlink w:anchor="_Toc497759437" w:history="1">
        <w:r w:rsidR="005B4DD9">
          <w:rPr>
            <w:rStyle w:val="af4"/>
            <w:rFonts w:hint="eastAsia"/>
            <w:noProof/>
          </w:rPr>
          <w:t>二、基金托管协议的依据、目的和原则</w:t>
        </w:r>
        <w:r w:rsidR="005B4DD9">
          <w:rPr>
            <w:noProof/>
          </w:rPr>
          <w:tab/>
        </w:r>
        <w:r w:rsidR="005B4DD9">
          <w:rPr>
            <w:noProof/>
          </w:rPr>
          <w:fldChar w:fldCharType="begin"/>
        </w:r>
        <w:r w:rsidR="005B4DD9">
          <w:rPr>
            <w:noProof/>
          </w:rPr>
          <w:instrText xml:space="preserve"> PAGEREF _Toc497759437 \h </w:instrText>
        </w:r>
        <w:r w:rsidR="005B4DD9">
          <w:rPr>
            <w:noProof/>
          </w:rPr>
        </w:r>
        <w:r w:rsidR="005B4DD9">
          <w:rPr>
            <w:noProof/>
          </w:rPr>
          <w:fldChar w:fldCharType="separate"/>
        </w:r>
        <w:r w:rsidR="007A22F4">
          <w:rPr>
            <w:noProof/>
          </w:rPr>
          <w:t>6</w:t>
        </w:r>
        <w:r w:rsidR="005B4DD9">
          <w:rPr>
            <w:noProof/>
          </w:rPr>
          <w:fldChar w:fldCharType="end"/>
        </w:r>
      </w:hyperlink>
    </w:p>
    <w:p w14:paraId="3F48BF53" w14:textId="082E57AD" w:rsidR="007F0ECF" w:rsidRDefault="0080346F">
      <w:pPr>
        <w:pStyle w:val="TOC2"/>
        <w:tabs>
          <w:tab w:val="right" w:leader="dot" w:pos="8302"/>
        </w:tabs>
        <w:spacing w:line="360" w:lineRule="auto"/>
        <w:rPr>
          <w:rFonts w:ascii="Calibri" w:hAnsi="Calibri"/>
          <w:noProof/>
          <w:szCs w:val="22"/>
        </w:rPr>
      </w:pPr>
      <w:hyperlink w:anchor="_Toc497759438" w:history="1">
        <w:r w:rsidR="005B4DD9">
          <w:rPr>
            <w:rStyle w:val="af4"/>
            <w:rFonts w:hint="eastAsia"/>
            <w:noProof/>
          </w:rPr>
          <w:t>三、基金托管人对基金管理人的业务监督和核查</w:t>
        </w:r>
        <w:r w:rsidR="005B4DD9">
          <w:rPr>
            <w:noProof/>
          </w:rPr>
          <w:tab/>
        </w:r>
        <w:r w:rsidR="005B4DD9">
          <w:rPr>
            <w:noProof/>
          </w:rPr>
          <w:fldChar w:fldCharType="begin"/>
        </w:r>
        <w:r w:rsidR="005B4DD9">
          <w:rPr>
            <w:noProof/>
          </w:rPr>
          <w:instrText xml:space="preserve"> PAGEREF _Toc497759438 \h </w:instrText>
        </w:r>
        <w:r w:rsidR="005B4DD9">
          <w:rPr>
            <w:noProof/>
          </w:rPr>
        </w:r>
        <w:r w:rsidR="005B4DD9">
          <w:rPr>
            <w:noProof/>
          </w:rPr>
          <w:fldChar w:fldCharType="separate"/>
        </w:r>
        <w:r w:rsidR="007A22F4">
          <w:rPr>
            <w:noProof/>
          </w:rPr>
          <w:t>7</w:t>
        </w:r>
        <w:r w:rsidR="005B4DD9">
          <w:rPr>
            <w:noProof/>
          </w:rPr>
          <w:fldChar w:fldCharType="end"/>
        </w:r>
      </w:hyperlink>
    </w:p>
    <w:p w14:paraId="64E09CE1" w14:textId="06383502" w:rsidR="007F0ECF" w:rsidRDefault="0080346F">
      <w:pPr>
        <w:pStyle w:val="TOC2"/>
        <w:tabs>
          <w:tab w:val="right" w:leader="dot" w:pos="8302"/>
        </w:tabs>
        <w:spacing w:line="360" w:lineRule="auto"/>
        <w:rPr>
          <w:rFonts w:ascii="Calibri" w:hAnsi="Calibri"/>
          <w:noProof/>
          <w:szCs w:val="22"/>
        </w:rPr>
      </w:pPr>
      <w:hyperlink w:anchor="_Toc497759439" w:history="1">
        <w:r w:rsidR="005B4DD9">
          <w:rPr>
            <w:rStyle w:val="af4"/>
            <w:rFonts w:hint="eastAsia"/>
            <w:noProof/>
          </w:rPr>
          <w:t>四、基金管理人对基金托</w:t>
        </w:r>
        <w:bookmarkStart w:id="2" w:name="_Hlt45885871"/>
        <w:bookmarkStart w:id="3" w:name="_Hlt45885872"/>
        <w:r w:rsidR="005B4DD9">
          <w:rPr>
            <w:rStyle w:val="af4"/>
            <w:rFonts w:hint="eastAsia"/>
            <w:noProof/>
          </w:rPr>
          <w:t>管</w:t>
        </w:r>
        <w:bookmarkEnd w:id="2"/>
        <w:bookmarkEnd w:id="3"/>
        <w:r w:rsidR="005B4DD9">
          <w:rPr>
            <w:rStyle w:val="af4"/>
            <w:rFonts w:hint="eastAsia"/>
            <w:noProof/>
          </w:rPr>
          <w:t>人的业务核查</w:t>
        </w:r>
        <w:r w:rsidR="005B4DD9">
          <w:rPr>
            <w:noProof/>
          </w:rPr>
          <w:tab/>
        </w:r>
        <w:r w:rsidR="005B4DD9">
          <w:rPr>
            <w:noProof/>
          </w:rPr>
          <w:fldChar w:fldCharType="begin"/>
        </w:r>
        <w:r w:rsidR="005B4DD9">
          <w:rPr>
            <w:noProof/>
          </w:rPr>
          <w:instrText xml:space="preserve"> PAGEREF _Toc497759439 \h </w:instrText>
        </w:r>
        <w:r w:rsidR="005B4DD9">
          <w:rPr>
            <w:noProof/>
          </w:rPr>
        </w:r>
        <w:r w:rsidR="005B4DD9">
          <w:rPr>
            <w:noProof/>
          </w:rPr>
          <w:fldChar w:fldCharType="separate"/>
        </w:r>
        <w:r w:rsidR="007A22F4">
          <w:rPr>
            <w:noProof/>
          </w:rPr>
          <w:t>15</w:t>
        </w:r>
        <w:r w:rsidR="005B4DD9">
          <w:rPr>
            <w:noProof/>
          </w:rPr>
          <w:fldChar w:fldCharType="end"/>
        </w:r>
      </w:hyperlink>
    </w:p>
    <w:p w14:paraId="17EF59C1" w14:textId="2480F55E" w:rsidR="007F0ECF" w:rsidRDefault="0080346F">
      <w:pPr>
        <w:pStyle w:val="TOC2"/>
        <w:tabs>
          <w:tab w:val="right" w:leader="dot" w:pos="8302"/>
        </w:tabs>
        <w:spacing w:line="360" w:lineRule="auto"/>
        <w:rPr>
          <w:rFonts w:ascii="Calibri" w:hAnsi="Calibri"/>
          <w:noProof/>
          <w:szCs w:val="22"/>
        </w:rPr>
      </w:pPr>
      <w:hyperlink w:anchor="_Toc497759440" w:history="1">
        <w:r w:rsidR="005B4DD9">
          <w:rPr>
            <w:rStyle w:val="af4"/>
            <w:rFonts w:hint="eastAsia"/>
            <w:noProof/>
          </w:rPr>
          <w:t>五、基金财产的保管</w:t>
        </w:r>
        <w:r w:rsidR="005B4DD9">
          <w:rPr>
            <w:noProof/>
          </w:rPr>
          <w:tab/>
        </w:r>
        <w:r w:rsidR="005B4DD9">
          <w:rPr>
            <w:noProof/>
          </w:rPr>
          <w:fldChar w:fldCharType="begin"/>
        </w:r>
        <w:r w:rsidR="005B4DD9">
          <w:rPr>
            <w:noProof/>
          </w:rPr>
          <w:instrText xml:space="preserve"> PAGEREF _Toc497759440 \h </w:instrText>
        </w:r>
        <w:r w:rsidR="005B4DD9">
          <w:rPr>
            <w:noProof/>
          </w:rPr>
        </w:r>
        <w:r w:rsidR="005B4DD9">
          <w:rPr>
            <w:noProof/>
          </w:rPr>
          <w:fldChar w:fldCharType="separate"/>
        </w:r>
        <w:r w:rsidR="007A22F4">
          <w:rPr>
            <w:noProof/>
          </w:rPr>
          <w:t>16</w:t>
        </w:r>
        <w:r w:rsidR="005B4DD9">
          <w:rPr>
            <w:noProof/>
          </w:rPr>
          <w:fldChar w:fldCharType="end"/>
        </w:r>
      </w:hyperlink>
    </w:p>
    <w:p w14:paraId="5452F7CF" w14:textId="27F11CD5" w:rsidR="007F0ECF" w:rsidRDefault="0080346F">
      <w:pPr>
        <w:pStyle w:val="TOC2"/>
        <w:tabs>
          <w:tab w:val="right" w:leader="dot" w:pos="8302"/>
        </w:tabs>
        <w:spacing w:line="360" w:lineRule="auto"/>
        <w:rPr>
          <w:rFonts w:ascii="Calibri" w:hAnsi="Calibri"/>
          <w:noProof/>
          <w:szCs w:val="22"/>
        </w:rPr>
      </w:pPr>
      <w:hyperlink w:anchor="_Toc497759441" w:history="1">
        <w:r w:rsidR="005B4DD9">
          <w:rPr>
            <w:rStyle w:val="af4"/>
            <w:rFonts w:hint="eastAsia"/>
            <w:noProof/>
          </w:rPr>
          <w:t>六、指令的发送、确认及执行</w:t>
        </w:r>
        <w:r w:rsidR="005B4DD9">
          <w:rPr>
            <w:noProof/>
          </w:rPr>
          <w:tab/>
        </w:r>
        <w:r w:rsidR="005B4DD9">
          <w:rPr>
            <w:noProof/>
          </w:rPr>
          <w:fldChar w:fldCharType="begin"/>
        </w:r>
        <w:r w:rsidR="005B4DD9">
          <w:rPr>
            <w:noProof/>
          </w:rPr>
          <w:instrText xml:space="preserve"> PAGEREF _Toc497759441 \h </w:instrText>
        </w:r>
        <w:r w:rsidR="005B4DD9">
          <w:rPr>
            <w:noProof/>
          </w:rPr>
        </w:r>
        <w:r w:rsidR="005B4DD9">
          <w:rPr>
            <w:noProof/>
          </w:rPr>
          <w:fldChar w:fldCharType="separate"/>
        </w:r>
        <w:r w:rsidR="007A22F4">
          <w:rPr>
            <w:noProof/>
          </w:rPr>
          <w:t>19</w:t>
        </w:r>
        <w:r w:rsidR="005B4DD9">
          <w:rPr>
            <w:noProof/>
          </w:rPr>
          <w:fldChar w:fldCharType="end"/>
        </w:r>
      </w:hyperlink>
    </w:p>
    <w:p w14:paraId="0DF9B0F8" w14:textId="793CFAC5" w:rsidR="007F0ECF" w:rsidRDefault="0080346F">
      <w:pPr>
        <w:pStyle w:val="TOC2"/>
        <w:tabs>
          <w:tab w:val="right" w:leader="dot" w:pos="8302"/>
        </w:tabs>
        <w:spacing w:line="360" w:lineRule="auto"/>
        <w:rPr>
          <w:rFonts w:ascii="Calibri" w:hAnsi="Calibri"/>
          <w:noProof/>
          <w:szCs w:val="22"/>
        </w:rPr>
      </w:pPr>
      <w:hyperlink w:anchor="_Toc497759442" w:history="1">
        <w:r w:rsidR="005B4DD9">
          <w:rPr>
            <w:rStyle w:val="af4"/>
            <w:rFonts w:hint="eastAsia"/>
            <w:noProof/>
          </w:rPr>
          <w:t>七、交易及清算交收安排</w:t>
        </w:r>
        <w:r w:rsidR="005B4DD9">
          <w:rPr>
            <w:noProof/>
          </w:rPr>
          <w:tab/>
        </w:r>
        <w:r w:rsidR="005B4DD9">
          <w:rPr>
            <w:noProof/>
          </w:rPr>
          <w:fldChar w:fldCharType="begin"/>
        </w:r>
        <w:r w:rsidR="005B4DD9">
          <w:rPr>
            <w:noProof/>
          </w:rPr>
          <w:instrText xml:space="preserve"> PAGEREF _Toc497759442 \h </w:instrText>
        </w:r>
        <w:r w:rsidR="005B4DD9">
          <w:rPr>
            <w:noProof/>
          </w:rPr>
        </w:r>
        <w:r w:rsidR="005B4DD9">
          <w:rPr>
            <w:noProof/>
          </w:rPr>
          <w:fldChar w:fldCharType="separate"/>
        </w:r>
        <w:r w:rsidR="007A22F4">
          <w:rPr>
            <w:noProof/>
          </w:rPr>
          <w:t>23</w:t>
        </w:r>
        <w:r w:rsidR="005B4DD9">
          <w:rPr>
            <w:noProof/>
          </w:rPr>
          <w:fldChar w:fldCharType="end"/>
        </w:r>
      </w:hyperlink>
    </w:p>
    <w:p w14:paraId="3F06DBBB" w14:textId="08EBCF2F" w:rsidR="007F0ECF" w:rsidRDefault="0080346F">
      <w:pPr>
        <w:pStyle w:val="TOC2"/>
        <w:tabs>
          <w:tab w:val="right" w:leader="dot" w:pos="8302"/>
        </w:tabs>
        <w:spacing w:line="360" w:lineRule="auto"/>
        <w:rPr>
          <w:rFonts w:ascii="Calibri" w:hAnsi="Calibri"/>
          <w:noProof/>
          <w:szCs w:val="22"/>
        </w:rPr>
      </w:pPr>
      <w:hyperlink w:anchor="_Toc497759443" w:history="1">
        <w:r w:rsidR="005B4DD9">
          <w:rPr>
            <w:rStyle w:val="af4"/>
            <w:rFonts w:hint="eastAsia"/>
            <w:noProof/>
          </w:rPr>
          <w:t>八、基金资产净值计算和会计核算</w:t>
        </w:r>
        <w:r w:rsidR="005B4DD9">
          <w:rPr>
            <w:noProof/>
          </w:rPr>
          <w:tab/>
        </w:r>
        <w:r w:rsidR="005B4DD9">
          <w:rPr>
            <w:noProof/>
          </w:rPr>
          <w:fldChar w:fldCharType="begin"/>
        </w:r>
        <w:r w:rsidR="005B4DD9">
          <w:rPr>
            <w:noProof/>
          </w:rPr>
          <w:instrText xml:space="preserve"> PAGEREF _Toc497759443 \h </w:instrText>
        </w:r>
        <w:r w:rsidR="005B4DD9">
          <w:rPr>
            <w:noProof/>
          </w:rPr>
        </w:r>
        <w:r w:rsidR="005B4DD9">
          <w:rPr>
            <w:noProof/>
          </w:rPr>
          <w:fldChar w:fldCharType="separate"/>
        </w:r>
        <w:r w:rsidR="007A22F4">
          <w:rPr>
            <w:noProof/>
          </w:rPr>
          <w:t>26</w:t>
        </w:r>
        <w:r w:rsidR="005B4DD9">
          <w:rPr>
            <w:noProof/>
          </w:rPr>
          <w:fldChar w:fldCharType="end"/>
        </w:r>
      </w:hyperlink>
    </w:p>
    <w:p w14:paraId="05287346" w14:textId="52222B06" w:rsidR="007F0ECF" w:rsidRDefault="0080346F">
      <w:pPr>
        <w:pStyle w:val="TOC2"/>
        <w:tabs>
          <w:tab w:val="right" w:leader="dot" w:pos="8302"/>
        </w:tabs>
        <w:spacing w:line="360" w:lineRule="auto"/>
        <w:rPr>
          <w:rFonts w:ascii="Calibri" w:hAnsi="Calibri"/>
          <w:noProof/>
          <w:szCs w:val="22"/>
        </w:rPr>
      </w:pPr>
      <w:hyperlink w:anchor="_Toc497759444" w:history="1">
        <w:r w:rsidR="005B4DD9">
          <w:rPr>
            <w:rStyle w:val="af4"/>
            <w:rFonts w:hint="eastAsia"/>
            <w:noProof/>
          </w:rPr>
          <w:t>九、基金收益分配</w:t>
        </w:r>
        <w:r w:rsidR="005B4DD9">
          <w:rPr>
            <w:noProof/>
          </w:rPr>
          <w:tab/>
        </w:r>
        <w:r w:rsidR="005B4DD9">
          <w:rPr>
            <w:noProof/>
          </w:rPr>
          <w:fldChar w:fldCharType="begin"/>
        </w:r>
        <w:r w:rsidR="005B4DD9">
          <w:rPr>
            <w:noProof/>
          </w:rPr>
          <w:instrText xml:space="preserve"> PAGEREF _Toc497759444 \h </w:instrText>
        </w:r>
        <w:r w:rsidR="005B4DD9">
          <w:rPr>
            <w:noProof/>
          </w:rPr>
        </w:r>
        <w:r w:rsidR="005B4DD9">
          <w:rPr>
            <w:noProof/>
          </w:rPr>
          <w:fldChar w:fldCharType="separate"/>
        </w:r>
        <w:r w:rsidR="007A22F4">
          <w:rPr>
            <w:noProof/>
          </w:rPr>
          <w:t>33</w:t>
        </w:r>
        <w:r w:rsidR="005B4DD9">
          <w:rPr>
            <w:noProof/>
          </w:rPr>
          <w:fldChar w:fldCharType="end"/>
        </w:r>
      </w:hyperlink>
    </w:p>
    <w:p w14:paraId="7BDAEBD7" w14:textId="3CD47964" w:rsidR="007F0ECF" w:rsidRDefault="0080346F">
      <w:pPr>
        <w:pStyle w:val="TOC2"/>
        <w:tabs>
          <w:tab w:val="right" w:leader="dot" w:pos="8302"/>
        </w:tabs>
        <w:spacing w:line="360" w:lineRule="auto"/>
        <w:rPr>
          <w:rFonts w:ascii="Calibri" w:hAnsi="Calibri"/>
          <w:noProof/>
          <w:szCs w:val="22"/>
        </w:rPr>
      </w:pPr>
      <w:hyperlink w:anchor="_Toc497759445" w:history="1">
        <w:r w:rsidR="005B4DD9">
          <w:rPr>
            <w:rStyle w:val="af4"/>
            <w:rFonts w:hint="eastAsia"/>
            <w:noProof/>
          </w:rPr>
          <w:t>十、基金信息披露</w:t>
        </w:r>
        <w:r w:rsidR="005B4DD9">
          <w:rPr>
            <w:noProof/>
          </w:rPr>
          <w:tab/>
        </w:r>
        <w:r w:rsidR="005B4DD9">
          <w:rPr>
            <w:noProof/>
          </w:rPr>
          <w:fldChar w:fldCharType="begin"/>
        </w:r>
        <w:r w:rsidR="005B4DD9">
          <w:rPr>
            <w:noProof/>
          </w:rPr>
          <w:instrText xml:space="preserve"> PAGEREF _Toc497759445 \h </w:instrText>
        </w:r>
        <w:r w:rsidR="005B4DD9">
          <w:rPr>
            <w:noProof/>
          </w:rPr>
        </w:r>
        <w:r w:rsidR="005B4DD9">
          <w:rPr>
            <w:noProof/>
          </w:rPr>
          <w:fldChar w:fldCharType="separate"/>
        </w:r>
        <w:r w:rsidR="007A22F4">
          <w:rPr>
            <w:noProof/>
          </w:rPr>
          <w:t>34</w:t>
        </w:r>
        <w:r w:rsidR="005B4DD9">
          <w:rPr>
            <w:noProof/>
          </w:rPr>
          <w:fldChar w:fldCharType="end"/>
        </w:r>
      </w:hyperlink>
    </w:p>
    <w:p w14:paraId="189685C7" w14:textId="08FF9E91" w:rsidR="007F0ECF" w:rsidRDefault="0080346F">
      <w:pPr>
        <w:pStyle w:val="TOC2"/>
        <w:tabs>
          <w:tab w:val="right" w:leader="dot" w:pos="8302"/>
        </w:tabs>
        <w:spacing w:line="360" w:lineRule="auto"/>
        <w:rPr>
          <w:rFonts w:ascii="Calibri" w:hAnsi="Calibri"/>
          <w:noProof/>
          <w:szCs w:val="22"/>
        </w:rPr>
      </w:pPr>
      <w:hyperlink w:anchor="_Toc497759446" w:history="1">
        <w:r w:rsidR="005B4DD9">
          <w:rPr>
            <w:rStyle w:val="af4"/>
            <w:rFonts w:hint="eastAsia"/>
            <w:noProof/>
          </w:rPr>
          <w:t>十一、基金费用</w:t>
        </w:r>
        <w:r w:rsidR="005B4DD9">
          <w:rPr>
            <w:noProof/>
          </w:rPr>
          <w:tab/>
        </w:r>
        <w:r w:rsidR="005B4DD9">
          <w:rPr>
            <w:noProof/>
          </w:rPr>
          <w:fldChar w:fldCharType="begin"/>
        </w:r>
        <w:r w:rsidR="005B4DD9">
          <w:rPr>
            <w:noProof/>
          </w:rPr>
          <w:instrText xml:space="preserve"> PAGEREF _Toc497759446 \h </w:instrText>
        </w:r>
        <w:r w:rsidR="005B4DD9">
          <w:rPr>
            <w:noProof/>
          </w:rPr>
        </w:r>
        <w:r w:rsidR="005B4DD9">
          <w:rPr>
            <w:noProof/>
          </w:rPr>
          <w:fldChar w:fldCharType="separate"/>
        </w:r>
        <w:r w:rsidR="007A22F4">
          <w:rPr>
            <w:noProof/>
          </w:rPr>
          <w:t>36</w:t>
        </w:r>
        <w:r w:rsidR="005B4DD9">
          <w:rPr>
            <w:noProof/>
          </w:rPr>
          <w:fldChar w:fldCharType="end"/>
        </w:r>
      </w:hyperlink>
    </w:p>
    <w:p w14:paraId="6196E1B5" w14:textId="666B0B0F" w:rsidR="007F0ECF" w:rsidRDefault="0080346F">
      <w:pPr>
        <w:pStyle w:val="TOC2"/>
        <w:tabs>
          <w:tab w:val="right" w:leader="dot" w:pos="8302"/>
        </w:tabs>
        <w:spacing w:line="360" w:lineRule="auto"/>
        <w:rPr>
          <w:rFonts w:ascii="Calibri" w:hAnsi="Calibri"/>
          <w:noProof/>
          <w:szCs w:val="22"/>
        </w:rPr>
      </w:pPr>
      <w:hyperlink w:anchor="_Toc497759447" w:history="1">
        <w:r w:rsidR="005B4DD9">
          <w:rPr>
            <w:rStyle w:val="af4"/>
            <w:rFonts w:hint="eastAsia"/>
            <w:noProof/>
          </w:rPr>
          <w:t>十二、基金份额持有</w:t>
        </w:r>
        <w:bookmarkStart w:id="4" w:name="_Hlt497759459"/>
        <w:r w:rsidR="005B4DD9">
          <w:rPr>
            <w:rStyle w:val="af4"/>
            <w:rFonts w:hint="eastAsia"/>
            <w:noProof/>
          </w:rPr>
          <w:t>人</w:t>
        </w:r>
        <w:bookmarkEnd w:id="4"/>
        <w:r w:rsidR="005B4DD9">
          <w:rPr>
            <w:rStyle w:val="af4"/>
            <w:rFonts w:hint="eastAsia"/>
            <w:noProof/>
          </w:rPr>
          <w:t>名册的登记与保管</w:t>
        </w:r>
        <w:r w:rsidR="005B4DD9">
          <w:rPr>
            <w:noProof/>
          </w:rPr>
          <w:tab/>
        </w:r>
        <w:r w:rsidR="005B4DD9">
          <w:rPr>
            <w:noProof/>
          </w:rPr>
          <w:fldChar w:fldCharType="begin"/>
        </w:r>
        <w:r w:rsidR="005B4DD9">
          <w:rPr>
            <w:noProof/>
          </w:rPr>
          <w:instrText xml:space="preserve"> PAGEREF _Toc497759447 \h </w:instrText>
        </w:r>
        <w:r w:rsidR="005B4DD9">
          <w:rPr>
            <w:noProof/>
          </w:rPr>
        </w:r>
        <w:r w:rsidR="005B4DD9">
          <w:rPr>
            <w:noProof/>
          </w:rPr>
          <w:fldChar w:fldCharType="separate"/>
        </w:r>
        <w:r w:rsidR="007A22F4">
          <w:rPr>
            <w:noProof/>
          </w:rPr>
          <w:t>38</w:t>
        </w:r>
        <w:r w:rsidR="005B4DD9">
          <w:rPr>
            <w:noProof/>
          </w:rPr>
          <w:fldChar w:fldCharType="end"/>
        </w:r>
      </w:hyperlink>
    </w:p>
    <w:p w14:paraId="745DC25B" w14:textId="6D22C6BF" w:rsidR="007F0ECF" w:rsidRDefault="0080346F">
      <w:pPr>
        <w:pStyle w:val="TOC2"/>
        <w:tabs>
          <w:tab w:val="right" w:leader="dot" w:pos="8302"/>
        </w:tabs>
        <w:spacing w:line="360" w:lineRule="auto"/>
        <w:rPr>
          <w:rFonts w:ascii="Calibri" w:hAnsi="Calibri"/>
          <w:noProof/>
          <w:szCs w:val="22"/>
        </w:rPr>
      </w:pPr>
      <w:hyperlink w:anchor="_Toc497759448" w:history="1">
        <w:r w:rsidR="005B4DD9">
          <w:rPr>
            <w:rStyle w:val="af4"/>
            <w:rFonts w:hint="eastAsia"/>
            <w:noProof/>
          </w:rPr>
          <w:t>十三、基金有关文件档案的保存</w:t>
        </w:r>
        <w:r w:rsidR="005B4DD9">
          <w:rPr>
            <w:noProof/>
          </w:rPr>
          <w:tab/>
        </w:r>
        <w:r w:rsidR="005B4DD9">
          <w:rPr>
            <w:noProof/>
          </w:rPr>
          <w:fldChar w:fldCharType="begin"/>
        </w:r>
        <w:r w:rsidR="005B4DD9">
          <w:rPr>
            <w:noProof/>
          </w:rPr>
          <w:instrText xml:space="preserve"> PAGEREF _Toc497759448 \h </w:instrText>
        </w:r>
        <w:r w:rsidR="005B4DD9">
          <w:rPr>
            <w:noProof/>
          </w:rPr>
        </w:r>
        <w:r w:rsidR="005B4DD9">
          <w:rPr>
            <w:noProof/>
          </w:rPr>
          <w:fldChar w:fldCharType="separate"/>
        </w:r>
        <w:r w:rsidR="007A22F4">
          <w:rPr>
            <w:noProof/>
          </w:rPr>
          <w:t>39</w:t>
        </w:r>
        <w:r w:rsidR="005B4DD9">
          <w:rPr>
            <w:noProof/>
          </w:rPr>
          <w:fldChar w:fldCharType="end"/>
        </w:r>
      </w:hyperlink>
    </w:p>
    <w:p w14:paraId="4BF60296" w14:textId="7D820312" w:rsidR="007F0ECF" w:rsidRDefault="0080346F">
      <w:pPr>
        <w:pStyle w:val="TOC2"/>
        <w:tabs>
          <w:tab w:val="right" w:leader="dot" w:pos="8302"/>
        </w:tabs>
        <w:spacing w:line="360" w:lineRule="auto"/>
        <w:rPr>
          <w:rFonts w:ascii="Calibri" w:hAnsi="Calibri"/>
          <w:noProof/>
          <w:szCs w:val="22"/>
        </w:rPr>
      </w:pPr>
      <w:hyperlink w:anchor="_Toc497759449" w:history="1">
        <w:r w:rsidR="005B4DD9">
          <w:rPr>
            <w:rStyle w:val="af4"/>
            <w:rFonts w:hint="eastAsia"/>
            <w:noProof/>
          </w:rPr>
          <w:t>十四、基金管理人和基金托管人的更换</w:t>
        </w:r>
        <w:r w:rsidR="005B4DD9">
          <w:rPr>
            <w:noProof/>
          </w:rPr>
          <w:tab/>
        </w:r>
        <w:r w:rsidR="005B4DD9">
          <w:rPr>
            <w:noProof/>
          </w:rPr>
          <w:fldChar w:fldCharType="begin"/>
        </w:r>
        <w:r w:rsidR="005B4DD9">
          <w:rPr>
            <w:noProof/>
          </w:rPr>
          <w:instrText xml:space="preserve"> PAGEREF _Toc497759449 \h </w:instrText>
        </w:r>
        <w:r w:rsidR="005B4DD9">
          <w:rPr>
            <w:noProof/>
          </w:rPr>
        </w:r>
        <w:r w:rsidR="005B4DD9">
          <w:rPr>
            <w:noProof/>
          </w:rPr>
          <w:fldChar w:fldCharType="separate"/>
        </w:r>
        <w:r w:rsidR="007A22F4">
          <w:rPr>
            <w:noProof/>
          </w:rPr>
          <w:t>40</w:t>
        </w:r>
        <w:r w:rsidR="005B4DD9">
          <w:rPr>
            <w:noProof/>
          </w:rPr>
          <w:fldChar w:fldCharType="end"/>
        </w:r>
      </w:hyperlink>
    </w:p>
    <w:p w14:paraId="37CE1321" w14:textId="5C2C42E0" w:rsidR="007F0ECF" w:rsidRDefault="0080346F">
      <w:pPr>
        <w:pStyle w:val="TOC2"/>
        <w:tabs>
          <w:tab w:val="right" w:leader="dot" w:pos="8302"/>
        </w:tabs>
        <w:spacing w:line="360" w:lineRule="auto"/>
        <w:rPr>
          <w:rFonts w:ascii="Calibri" w:hAnsi="Calibri"/>
          <w:noProof/>
          <w:szCs w:val="22"/>
        </w:rPr>
      </w:pPr>
      <w:hyperlink w:anchor="_Toc497759450" w:history="1">
        <w:r w:rsidR="005B4DD9">
          <w:rPr>
            <w:rStyle w:val="af4"/>
            <w:rFonts w:hint="eastAsia"/>
            <w:noProof/>
          </w:rPr>
          <w:t>十五、禁止行为</w:t>
        </w:r>
        <w:r w:rsidR="005B4DD9">
          <w:rPr>
            <w:noProof/>
          </w:rPr>
          <w:tab/>
        </w:r>
        <w:r w:rsidR="005B4DD9">
          <w:rPr>
            <w:noProof/>
          </w:rPr>
          <w:fldChar w:fldCharType="begin"/>
        </w:r>
        <w:r w:rsidR="005B4DD9">
          <w:rPr>
            <w:noProof/>
          </w:rPr>
          <w:instrText xml:space="preserve"> PAGEREF _Toc497759450 \h </w:instrText>
        </w:r>
        <w:r w:rsidR="005B4DD9">
          <w:rPr>
            <w:noProof/>
          </w:rPr>
        </w:r>
        <w:r w:rsidR="005B4DD9">
          <w:rPr>
            <w:noProof/>
          </w:rPr>
          <w:fldChar w:fldCharType="separate"/>
        </w:r>
        <w:r w:rsidR="007A22F4">
          <w:rPr>
            <w:noProof/>
          </w:rPr>
          <w:t>43</w:t>
        </w:r>
        <w:r w:rsidR="005B4DD9">
          <w:rPr>
            <w:noProof/>
          </w:rPr>
          <w:fldChar w:fldCharType="end"/>
        </w:r>
      </w:hyperlink>
    </w:p>
    <w:p w14:paraId="77C09C45" w14:textId="00BA0C3D" w:rsidR="007F0ECF" w:rsidRDefault="0080346F">
      <w:pPr>
        <w:pStyle w:val="TOC2"/>
        <w:tabs>
          <w:tab w:val="right" w:leader="dot" w:pos="8302"/>
        </w:tabs>
        <w:spacing w:line="360" w:lineRule="auto"/>
        <w:rPr>
          <w:rFonts w:ascii="Calibri" w:hAnsi="Calibri"/>
          <w:noProof/>
          <w:szCs w:val="22"/>
        </w:rPr>
      </w:pPr>
      <w:hyperlink w:anchor="_Toc497759451" w:history="1">
        <w:r w:rsidR="005B4DD9">
          <w:rPr>
            <w:rStyle w:val="af4"/>
            <w:rFonts w:hint="eastAsia"/>
            <w:noProof/>
          </w:rPr>
          <w:t>十六、托管协议的变更、终止与基金财产的清算</w:t>
        </w:r>
        <w:r w:rsidR="005B4DD9">
          <w:rPr>
            <w:noProof/>
          </w:rPr>
          <w:tab/>
        </w:r>
        <w:r w:rsidR="005B4DD9">
          <w:rPr>
            <w:noProof/>
          </w:rPr>
          <w:fldChar w:fldCharType="begin"/>
        </w:r>
        <w:r w:rsidR="005B4DD9">
          <w:rPr>
            <w:noProof/>
          </w:rPr>
          <w:instrText xml:space="preserve"> PAGEREF _Toc497759451 \h </w:instrText>
        </w:r>
        <w:r w:rsidR="005B4DD9">
          <w:rPr>
            <w:noProof/>
          </w:rPr>
        </w:r>
        <w:r w:rsidR="005B4DD9">
          <w:rPr>
            <w:noProof/>
          </w:rPr>
          <w:fldChar w:fldCharType="separate"/>
        </w:r>
        <w:r w:rsidR="007A22F4">
          <w:rPr>
            <w:noProof/>
          </w:rPr>
          <w:t>45</w:t>
        </w:r>
        <w:r w:rsidR="005B4DD9">
          <w:rPr>
            <w:noProof/>
          </w:rPr>
          <w:fldChar w:fldCharType="end"/>
        </w:r>
      </w:hyperlink>
    </w:p>
    <w:p w14:paraId="3338079E" w14:textId="4D82B236" w:rsidR="007F0ECF" w:rsidRDefault="0080346F">
      <w:pPr>
        <w:pStyle w:val="TOC2"/>
        <w:tabs>
          <w:tab w:val="right" w:leader="dot" w:pos="8302"/>
        </w:tabs>
        <w:spacing w:line="360" w:lineRule="auto"/>
        <w:rPr>
          <w:rFonts w:ascii="Calibri" w:hAnsi="Calibri"/>
          <w:noProof/>
          <w:szCs w:val="22"/>
        </w:rPr>
      </w:pPr>
      <w:hyperlink w:anchor="_Toc497759452" w:history="1">
        <w:r w:rsidR="005B4DD9">
          <w:rPr>
            <w:rStyle w:val="af4"/>
            <w:rFonts w:hint="eastAsia"/>
            <w:noProof/>
          </w:rPr>
          <w:t>十七、违约责任</w:t>
        </w:r>
        <w:r w:rsidR="005B4DD9">
          <w:rPr>
            <w:noProof/>
          </w:rPr>
          <w:tab/>
        </w:r>
        <w:r w:rsidR="005B4DD9">
          <w:rPr>
            <w:noProof/>
          </w:rPr>
          <w:fldChar w:fldCharType="begin"/>
        </w:r>
        <w:r w:rsidR="005B4DD9">
          <w:rPr>
            <w:noProof/>
          </w:rPr>
          <w:instrText xml:space="preserve"> PAGEREF _Toc497759452 \h </w:instrText>
        </w:r>
        <w:r w:rsidR="005B4DD9">
          <w:rPr>
            <w:noProof/>
          </w:rPr>
        </w:r>
        <w:r w:rsidR="005B4DD9">
          <w:rPr>
            <w:noProof/>
          </w:rPr>
          <w:fldChar w:fldCharType="separate"/>
        </w:r>
        <w:r w:rsidR="007A22F4">
          <w:rPr>
            <w:noProof/>
          </w:rPr>
          <w:t>47</w:t>
        </w:r>
        <w:r w:rsidR="005B4DD9">
          <w:rPr>
            <w:noProof/>
          </w:rPr>
          <w:fldChar w:fldCharType="end"/>
        </w:r>
      </w:hyperlink>
    </w:p>
    <w:p w14:paraId="0788F851" w14:textId="3DAC6449" w:rsidR="007F0ECF" w:rsidRDefault="0080346F">
      <w:pPr>
        <w:pStyle w:val="TOC2"/>
        <w:tabs>
          <w:tab w:val="right" w:leader="dot" w:pos="8302"/>
        </w:tabs>
        <w:spacing w:line="360" w:lineRule="auto"/>
        <w:rPr>
          <w:rFonts w:ascii="Calibri" w:hAnsi="Calibri"/>
          <w:noProof/>
          <w:szCs w:val="22"/>
        </w:rPr>
      </w:pPr>
      <w:hyperlink w:anchor="_Toc497759453" w:history="1">
        <w:r w:rsidR="005B4DD9">
          <w:rPr>
            <w:rStyle w:val="af4"/>
            <w:rFonts w:hint="eastAsia"/>
            <w:noProof/>
          </w:rPr>
          <w:t>十八、争议解决方式</w:t>
        </w:r>
        <w:r w:rsidR="005B4DD9">
          <w:rPr>
            <w:noProof/>
          </w:rPr>
          <w:tab/>
        </w:r>
        <w:r w:rsidR="005B4DD9">
          <w:rPr>
            <w:noProof/>
          </w:rPr>
          <w:fldChar w:fldCharType="begin"/>
        </w:r>
        <w:r w:rsidR="005B4DD9">
          <w:rPr>
            <w:noProof/>
          </w:rPr>
          <w:instrText xml:space="preserve"> PAGEREF _Toc497759453 \h </w:instrText>
        </w:r>
        <w:r w:rsidR="005B4DD9">
          <w:rPr>
            <w:noProof/>
          </w:rPr>
        </w:r>
        <w:r w:rsidR="005B4DD9">
          <w:rPr>
            <w:noProof/>
          </w:rPr>
          <w:fldChar w:fldCharType="separate"/>
        </w:r>
        <w:r w:rsidR="007A22F4">
          <w:rPr>
            <w:noProof/>
          </w:rPr>
          <w:t>48</w:t>
        </w:r>
        <w:r w:rsidR="005B4DD9">
          <w:rPr>
            <w:noProof/>
          </w:rPr>
          <w:fldChar w:fldCharType="end"/>
        </w:r>
      </w:hyperlink>
    </w:p>
    <w:p w14:paraId="2CAAEC95" w14:textId="0F8C37CE" w:rsidR="007F0ECF" w:rsidRDefault="0080346F">
      <w:pPr>
        <w:pStyle w:val="TOC2"/>
        <w:tabs>
          <w:tab w:val="right" w:leader="dot" w:pos="8302"/>
        </w:tabs>
        <w:spacing w:line="360" w:lineRule="auto"/>
        <w:rPr>
          <w:rFonts w:ascii="Calibri" w:hAnsi="Calibri"/>
          <w:noProof/>
          <w:szCs w:val="22"/>
        </w:rPr>
      </w:pPr>
      <w:hyperlink w:anchor="_Toc497759454" w:history="1">
        <w:r w:rsidR="005B4DD9">
          <w:rPr>
            <w:rStyle w:val="af4"/>
            <w:rFonts w:hint="eastAsia"/>
            <w:noProof/>
          </w:rPr>
          <w:t>十九、托管协议的效力</w:t>
        </w:r>
        <w:r w:rsidR="005B4DD9">
          <w:rPr>
            <w:noProof/>
          </w:rPr>
          <w:tab/>
        </w:r>
        <w:r w:rsidR="005B4DD9">
          <w:rPr>
            <w:noProof/>
          </w:rPr>
          <w:fldChar w:fldCharType="begin"/>
        </w:r>
        <w:r w:rsidR="005B4DD9">
          <w:rPr>
            <w:noProof/>
          </w:rPr>
          <w:instrText xml:space="preserve"> PAGEREF _Toc497759454 \h </w:instrText>
        </w:r>
        <w:r w:rsidR="005B4DD9">
          <w:rPr>
            <w:noProof/>
          </w:rPr>
        </w:r>
        <w:r w:rsidR="005B4DD9">
          <w:rPr>
            <w:noProof/>
          </w:rPr>
          <w:fldChar w:fldCharType="separate"/>
        </w:r>
        <w:r w:rsidR="007A22F4">
          <w:rPr>
            <w:noProof/>
          </w:rPr>
          <w:t>49</w:t>
        </w:r>
        <w:r w:rsidR="005B4DD9">
          <w:rPr>
            <w:noProof/>
          </w:rPr>
          <w:fldChar w:fldCharType="end"/>
        </w:r>
      </w:hyperlink>
    </w:p>
    <w:p w14:paraId="3442C99A" w14:textId="74883713" w:rsidR="007F0ECF" w:rsidRDefault="0080346F">
      <w:pPr>
        <w:pStyle w:val="TOC2"/>
        <w:tabs>
          <w:tab w:val="right" w:leader="dot" w:pos="8302"/>
        </w:tabs>
        <w:spacing w:line="360" w:lineRule="auto"/>
        <w:rPr>
          <w:rFonts w:ascii="Calibri" w:hAnsi="Calibri"/>
          <w:noProof/>
          <w:szCs w:val="22"/>
        </w:rPr>
      </w:pPr>
      <w:hyperlink w:anchor="_Toc497759455" w:history="1">
        <w:r w:rsidR="005B4DD9">
          <w:rPr>
            <w:rStyle w:val="af4"/>
            <w:rFonts w:hint="eastAsia"/>
            <w:noProof/>
          </w:rPr>
          <w:t>二十、其他事项</w:t>
        </w:r>
        <w:r w:rsidR="005B4DD9">
          <w:rPr>
            <w:noProof/>
          </w:rPr>
          <w:tab/>
        </w:r>
        <w:r w:rsidR="005B4DD9">
          <w:rPr>
            <w:noProof/>
          </w:rPr>
          <w:fldChar w:fldCharType="begin"/>
        </w:r>
        <w:r w:rsidR="005B4DD9">
          <w:rPr>
            <w:noProof/>
          </w:rPr>
          <w:instrText xml:space="preserve"> PAGEREF _Toc497759455 \h </w:instrText>
        </w:r>
        <w:r w:rsidR="005B4DD9">
          <w:rPr>
            <w:noProof/>
          </w:rPr>
        </w:r>
        <w:r w:rsidR="005B4DD9">
          <w:rPr>
            <w:noProof/>
          </w:rPr>
          <w:fldChar w:fldCharType="separate"/>
        </w:r>
        <w:r w:rsidR="007A22F4">
          <w:rPr>
            <w:noProof/>
          </w:rPr>
          <w:t>50</w:t>
        </w:r>
        <w:r w:rsidR="005B4DD9">
          <w:rPr>
            <w:noProof/>
          </w:rPr>
          <w:fldChar w:fldCharType="end"/>
        </w:r>
      </w:hyperlink>
    </w:p>
    <w:p w14:paraId="013CD8A3" w14:textId="201807DA" w:rsidR="007F0ECF" w:rsidRDefault="0080346F">
      <w:pPr>
        <w:pStyle w:val="TOC2"/>
        <w:tabs>
          <w:tab w:val="right" w:leader="dot" w:pos="8302"/>
        </w:tabs>
        <w:spacing w:line="360" w:lineRule="auto"/>
        <w:rPr>
          <w:rFonts w:ascii="Calibri" w:hAnsi="Calibri"/>
          <w:noProof/>
          <w:szCs w:val="22"/>
        </w:rPr>
      </w:pPr>
      <w:hyperlink w:anchor="_Toc497759456" w:history="1">
        <w:r w:rsidR="005B4DD9">
          <w:rPr>
            <w:rStyle w:val="af4"/>
            <w:rFonts w:hint="eastAsia"/>
            <w:noProof/>
          </w:rPr>
          <w:t>二十一、托管协议的签订</w:t>
        </w:r>
        <w:r w:rsidR="005B4DD9">
          <w:rPr>
            <w:noProof/>
          </w:rPr>
          <w:tab/>
        </w:r>
        <w:r w:rsidR="005B4DD9">
          <w:rPr>
            <w:noProof/>
          </w:rPr>
          <w:fldChar w:fldCharType="begin"/>
        </w:r>
        <w:r w:rsidR="005B4DD9">
          <w:rPr>
            <w:noProof/>
          </w:rPr>
          <w:instrText xml:space="preserve"> PAGEREF _Toc497759456 \h </w:instrText>
        </w:r>
        <w:r w:rsidR="005B4DD9">
          <w:rPr>
            <w:noProof/>
          </w:rPr>
        </w:r>
        <w:r w:rsidR="005B4DD9">
          <w:rPr>
            <w:noProof/>
          </w:rPr>
          <w:fldChar w:fldCharType="separate"/>
        </w:r>
        <w:r w:rsidR="007A22F4">
          <w:rPr>
            <w:noProof/>
          </w:rPr>
          <w:t>51</w:t>
        </w:r>
        <w:r w:rsidR="005B4DD9">
          <w:rPr>
            <w:noProof/>
          </w:rPr>
          <w:fldChar w:fldCharType="end"/>
        </w:r>
      </w:hyperlink>
    </w:p>
    <w:p w14:paraId="164FA7D4" w14:textId="77777777" w:rsidR="007F0ECF" w:rsidRDefault="005B4DD9">
      <w:pPr>
        <w:spacing w:line="360" w:lineRule="auto"/>
        <w:rPr>
          <w:color w:val="000000"/>
          <w:kern w:val="0"/>
          <w:sz w:val="24"/>
          <w:szCs w:val="24"/>
        </w:rPr>
      </w:pPr>
      <w:r>
        <w:rPr>
          <w:color w:val="000000"/>
          <w:sz w:val="24"/>
          <w:szCs w:val="24"/>
        </w:rPr>
        <w:fldChar w:fldCharType="end"/>
      </w:r>
      <w:r>
        <w:rPr>
          <w:color w:val="000000"/>
          <w:sz w:val="28"/>
        </w:rPr>
        <w:br w:type="page"/>
      </w:r>
    </w:p>
    <w:p w14:paraId="08E635DB" w14:textId="77777777" w:rsidR="007F0ECF" w:rsidRDefault="005B4DD9">
      <w:pPr>
        <w:widowControl/>
        <w:adjustRightInd w:val="0"/>
        <w:spacing w:line="360" w:lineRule="auto"/>
        <w:ind w:firstLineChars="200" w:firstLine="480"/>
        <w:rPr>
          <w:color w:val="000000"/>
          <w:kern w:val="0"/>
          <w:sz w:val="24"/>
          <w:szCs w:val="24"/>
        </w:rPr>
      </w:pPr>
      <w:r>
        <w:rPr>
          <w:color w:val="000000"/>
          <w:kern w:val="0"/>
          <w:sz w:val="24"/>
          <w:szCs w:val="24"/>
        </w:rPr>
        <w:lastRenderedPageBreak/>
        <w:t>鉴于</w:t>
      </w:r>
      <w:r>
        <w:rPr>
          <w:rFonts w:hint="eastAsia"/>
          <w:color w:val="000000"/>
          <w:kern w:val="0"/>
          <w:sz w:val="24"/>
          <w:szCs w:val="24"/>
        </w:rPr>
        <w:t>华泰柏瑞</w:t>
      </w:r>
      <w:r>
        <w:rPr>
          <w:color w:val="000000"/>
          <w:kern w:val="0"/>
          <w:sz w:val="24"/>
          <w:szCs w:val="24"/>
        </w:rPr>
        <w:t>基金管理有限公司系一家依照中国法律合法成立并有效存续的有限责任公司，按照相关法律法规的规定具备担任基金</w:t>
      </w:r>
      <w:r>
        <w:rPr>
          <w:rFonts w:hint="eastAsia"/>
          <w:color w:val="000000"/>
          <w:kern w:val="0"/>
          <w:sz w:val="24"/>
          <w:szCs w:val="24"/>
        </w:rPr>
        <w:t>管理</w:t>
      </w:r>
      <w:r>
        <w:rPr>
          <w:color w:val="000000"/>
          <w:kern w:val="0"/>
          <w:sz w:val="24"/>
          <w:szCs w:val="24"/>
        </w:rPr>
        <w:t>人的资格和能力</w:t>
      </w:r>
      <w:r>
        <w:rPr>
          <w:rFonts w:hint="eastAsia"/>
          <w:color w:val="000000"/>
          <w:kern w:val="0"/>
          <w:sz w:val="24"/>
          <w:szCs w:val="24"/>
        </w:rPr>
        <w:t>，</w:t>
      </w:r>
      <w:r>
        <w:rPr>
          <w:color w:val="000000"/>
          <w:kern w:val="0"/>
          <w:sz w:val="24"/>
          <w:szCs w:val="24"/>
        </w:rPr>
        <w:t>拟募集发行</w:t>
      </w:r>
      <w:r>
        <w:rPr>
          <w:rFonts w:hint="eastAsia"/>
          <w:color w:val="000000"/>
          <w:kern w:val="0"/>
          <w:sz w:val="24"/>
          <w:szCs w:val="24"/>
        </w:rPr>
        <w:t>华泰柏瑞上证</w:t>
      </w:r>
      <w:proofErr w:type="gramStart"/>
      <w:r>
        <w:rPr>
          <w:rFonts w:hint="eastAsia"/>
          <w:color w:val="000000"/>
          <w:kern w:val="0"/>
          <w:sz w:val="24"/>
          <w:szCs w:val="24"/>
        </w:rPr>
        <w:t>科创板</w:t>
      </w:r>
      <w:proofErr w:type="gramEnd"/>
      <w:r>
        <w:rPr>
          <w:rFonts w:hint="eastAsia"/>
          <w:color w:val="000000"/>
          <w:kern w:val="0"/>
          <w:sz w:val="24"/>
          <w:szCs w:val="24"/>
        </w:rPr>
        <w:t>综合指数增强型证券投资基金（以下简称“基金”或“本基金”）</w:t>
      </w:r>
      <w:r>
        <w:rPr>
          <w:color w:val="000000"/>
          <w:kern w:val="0"/>
          <w:sz w:val="24"/>
          <w:szCs w:val="24"/>
        </w:rPr>
        <w:t>；</w:t>
      </w:r>
    </w:p>
    <w:p w14:paraId="02ACB644" w14:textId="77777777" w:rsidR="007F0ECF" w:rsidRDefault="005B4DD9">
      <w:pPr>
        <w:widowControl/>
        <w:adjustRightInd w:val="0"/>
        <w:spacing w:line="360" w:lineRule="auto"/>
        <w:ind w:firstLineChars="200" w:firstLine="480"/>
        <w:rPr>
          <w:color w:val="000000"/>
          <w:kern w:val="0"/>
          <w:sz w:val="24"/>
          <w:szCs w:val="24"/>
        </w:rPr>
      </w:pPr>
      <w:r>
        <w:rPr>
          <w:color w:val="000000"/>
          <w:kern w:val="0"/>
          <w:sz w:val="24"/>
          <w:szCs w:val="24"/>
        </w:rPr>
        <w:t>鉴于中信银行</w:t>
      </w:r>
      <w:r>
        <w:rPr>
          <w:rFonts w:hint="eastAsia"/>
          <w:color w:val="000000"/>
          <w:kern w:val="0"/>
          <w:sz w:val="24"/>
          <w:szCs w:val="24"/>
        </w:rPr>
        <w:t>股份有限公司</w:t>
      </w:r>
      <w:r>
        <w:rPr>
          <w:color w:val="000000"/>
          <w:kern w:val="0"/>
          <w:sz w:val="24"/>
          <w:szCs w:val="24"/>
        </w:rPr>
        <w:t>系一家依照中国法律合法成立并有效存续的银行，按照相关法律法规的规定具备担任基金托管人的资格和能力；</w:t>
      </w:r>
    </w:p>
    <w:p w14:paraId="36D9042A" w14:textId="77777777" w:rsidR="007F0ECF" w:rsidRDefault="005B4DD9">
      <w:pPr>
        <w:widowControl/>
        <w:adjustRightInd w:val="0"/>
        <w:spacing w:line="360" w:lineRule="auto"/>
        <w:ind w:firstLineChars="200" w:firstLine="480"/>
        <w:rPr>
          <w:color w:val="000000"/>
          <w:kern w:val="0"/>
          <w:sz w:val="24"/>
          <w:szCs w:val="24"/>
        </w:rPr>
      </w:pPr>
      <w:r>
        <w:rPr>
          <w:color w:val="000000"/>
          <w:kern w:val="0"/>
          <w:sz w:val="24"/>
          <w:szCs w:val="24"/>
        </w:rPr>
        <w:t>鉴于</w:t>
      </w:r>
      <w:r>
        <w:rPr>
          <w:rFonts w:hint="eastAsia"/>
          <w:color w:val="000000"/>
          <w:kern w:val="0"/>
          <w:sz w:val="24"/>
          <w:szCs w:val="24"/>
        </w:rPr>
        <w:t>华泰柏瑞基金</w:t>
      </w:r>
      <w:r>
        <w:rPr>
          <w:color w:val="000000"/>
          <w:kern w:val="0"/>
          <w:sz w:val="24"/>
          <w:szCs w:val="24"/>
        </w:rPr>
        <w:t>管理有限公司拟担任</w:t>
      </w:r>
      <w:r>
        <w:rPr>
          <w:rFonts w:hint="eastAsia"/>
          <w:color w:val="000000"/>
          <w:kern w:val="0"/>
          <w:sz w:val="24"/>
          <w:szCs w:val="24"/>
        </w:rPr>
        <w:t>华泰柏瑞上证</w:t>
      </w:r>
      <w:proofErr w:type="gramStart"/>
      <w:r>
        <w:rPr>
          <w:rFonts w:hint="eastAsia"/>
          <w:color w:val="000000"/>
          <w:kern w:val="0"/>
          <w:sz w:val="24"/>
          <w:szCs w:val="24"/>
        </w:rPr>
        <w:t>科创板</w:t>
      </w:r>
      <w:proofErr w:type="gramEnd"/>
      <w:r>
        <w:rPr>
          <w:rFonts w:hint="eastAsia"/>
          <w:color w:val="000000"/>
          <w:kern w:val="0"/>
          <w:sz w:val="24"/>
          <w:szCs w:val="24"/>
        </w:rPr>
        <w:t>综合指数增强型证券投资基金</w:t>
      </w:r>
      <w:r>
        <w:rPr>
          <w:color w:val="000000"/>
          <w:kern w:val="0"/>
          <w:sz w:val="24"/>
          <w:szCs w:val="24"/>
        </w:rPr>
        <w:t>的基金管理人，中信银行</w:t>
      </w:r>
      <w:r>
        <w:rPr>
          <w:rFonts w:hint="eastAsia"/>
          <w:color w:val="000000"/>
          <w:kern w:val="0"/>
          <w:sz w:val="24"/>
          <w:szCs w:val="24"/>
        </w:rPr>
        <w:t>股份有限公司</w:t>
      </w:r>
      <w:r>
        <w:rPr>
          <w:color w:val="000000"/>
          <w:kern w:val="0"/>
          <w:sz w:val="24"/>
          <w:szCs w:val="24"/>
        </w:rPr>
        <w:t>拟担任</w:t>
      </w:r>
      <w:r>
        <w:rPr>
          <w:rFonts w:hint="eastAsia"/>
          <w:color w:val="000000"/>
          <w:kern w:val="0"/>
          <w:sz w:val="24"/>
          <w:szCs w:val="24"/>
        </w:rPr>
        <w:t>华泰柏瑞上证</w:t>
      </w:r>
      <w:proofErr w:type="gramStart"/>
      <w:r>
        <w:rPr>
          <w:rFonts w:hint="eastAsia"/>
          <w:color w:val="000000"/>
          <w:kern w:val="0"/>
          <w:sz w:val="24"/>
          <w:szCs w:val="24"/>
        </w:rPr>
        <w:t>科创板</w:t>
      </w:r>
      <w:proofErr w:type="gramEnd"/>
      <w:r>
        <w:rPr>
          <w:rFonts w:hint="eastAsia"/>
          <w:color w:val="000000"/>
          <w:kern w:val="0"/>
          <w:sz w:val="24"/>
          <w:szCs w:val="24"/>
        </w:rPr>
        <w:t>综合指数增强型证券投资基金</w:t>
      </w:r>
      <w:r>
        <w:rPr>
          <w:color w:val="000000"/>
          <w:kern w:val="0"/>
          <w:sz w:val="24"/>
          <w:szCs w:val="24"/>
        </w:rPr>
        <w:t>的基金托管人；</w:t>
      </w:r>
    </w:p>
    <w:p w14:paraId="3E819CF5" w14:textId="77777777" w:rsidR="007F0ECF" w:rsidRDefault="005B4DD9">
      <w:pPr>
        <w:widowControl/>
        <w:adjustRightInd w:val="0"/>
        <w:spacing w:line="360" w:lineRule="auto"/>
        <w:ind w:firstLineChars="200" w:firstLine="480"/>
        <w:rPr>
          <w:color w:val="000000"/>
          <w:kern w:val="0"/>
          <w:sz w:val="24"/>
          <w:szCs w:val="24"/>
        </w:rPr>
      </w:pPr>
      <w:r>
        <w:rPr>
          <w:color w:val="000000"/>
          <w:kern w:val="0"/>
          <w:sz w:val="24"/>
          <w:szCs w:val="24"/>
        </w:rPr>
        <w:t>为明确</w:t>
      </w:r>
      <w:r>
        <w:rPr>
          <w:rFonts w:hint="eastAsia"/>
          <w:color w:val="000000"/>
          <w:kern w:val="0"/>
          <w:sz w:val="24"/>
          <w:szCs w:val="24"/>
        </w:rPr>
        <w:t>华泰柏瑞上证</w:t>
      </w:r>
      <w:proofErr w:type="gramStart"/>
      <w:r>
        <w:rPr>
          <w:rFonts w:hint="eastAsia"/>
          <w:color w:val="000000"/>
          <w:kern w:val="0"/>
          <w:sz w:val="24"/>
          <w:szCs w:val="24"/>
        </w:rPr>
        <w:t>科创板</w:t>
      </w:r>
      <w:proofErr w:type="gramEnd"/>
      <w:r>
        <w:rPr>
          <w:rFonts w:hint="eastAsia"/>
          <w:color w:val="000000"/>
          <w:kern w:val="0"/>
          <w:sz w:val="24"/>
          <w:szCs w:val="24"/>
        </w:rPr>
        <w:t>综合指数增强型证券投资基金</w:t>
      </w:r>
      <w:r>
        <w:rPr>
          <w:color w:val="000000"/>
          <w:kern w:val="0"/>
          <w:sz w:val="24"/>
          <w:szCs w:val="24"/>
        </w:rPr>
        <w:t>的基金管理人和基金托管人之间的权利义务关系，特制订本托管协议；</w:t>
      </w:r>
    </w:p>
    <w:p w14:paraId="0D6F4610" w14:textId="77777777" w:rsidR="007F0ECF" w:rsidRDefault="005B4DD9">
      <w:pPr>
        <w:widowControl/>
        <w:adjustRightInd w:val="0"/>
        <w:spacing w:line="360" w:lineRule="auto"/>
        <w:ind w:firstLineChars="200" w:firstLine="480"/>
        <w:rPr>
          <w:color w:val="000000"/>
          <w:kern w:val="0"/>
          <w:sz w:val="24"/>
          <w:szCs w:val="24"/>
        </w:rPr>
      </w:pPr>
      <w:r>
        <w:rPr>
          <w:color w:val="000000"/>
          <w:kern w:val="0"/>
          <w:sz w:val="24"/>
          <w:szCs w:val="24"/>
        </w:rPr>
        <w:t>除非</w:t>
      </w:r>
      <w:r>
        <w:rPr>
          <w:rFonts w:hint="eastAsia"/>
          <w:color w:val="000000"/>
          <w:kern w:val="0"/>
          <w:sz w:val="24"/>
          <w:szCs w:val="24"/>
        </w:rPr>
        <w:t>文义另有所指</w:t>
      </w:r>
      <w:r>
        <w:rPr>
          <w:color w:val="000000"/>
          <w:kern w:val="0"/>
          <w:sz w:val="24"/>
          <w:szCs w:val="24"/>
        </w:rPr>
        <w:t>，《</w:t>
      </w:r>
      <w:r>
        <w:rPr>
          <w:rFonts w:hint="eastAsia"/>
          <w:color w:val="000000"/>
          <w:kern w:val="0"/>
          <w:sz w:val="24"/>
          <w:szCs w:val="24"/>
        </w:rPr>
        <w:t>华泰柏瑞上证科创板综合指数增强型证券投资基金</w:t>
      </w:r>
      <w:r>
        <w:rPr>
          <w:color w:val="000000"/>
          <w:kern w:val="0"/>
          <w:sz w:val="24"/>
          <w:szCs w:val="24"/>
        </w:rPr>
        <w:t>基金合同》</w:t>
      </w:r>
      <w:r>
        <w:rPr>
          <w:color w:val="000000"/>
          <w:kern w:val="0"/>
          <w:sz w:val="24"/>
          <w:szCs w:val="24"/>
        </w:rPr>
        <w:t>(</w:t>
      </w:r>
      <w:r>
        <w:rPr>
          <w:color w:val="000000"/>
          <w:kern w:val="0"/>
          <w:sz w:val="24"/>
          <w:szCs w:val="24"/>
        </w:rPr>
        <w:t>以下简称</w:t>
      </w:r>
      <w:r>
        <w:rPr>
          <w:rFonts w:hint="eastAsia"/>
          <w:color w:val="000000"/>
          <w:kern w:val="0"/>
          <w:sz w:val="24"/>
          <w:szCs w:val="24"/>
        </w:rPr>
        <w:t>“</w:t>
      </w:r>
      <w:r>
        <w:rPr>
          <w:color w:val="000000"/>
          <w:kern w:val="0"/>
          <w:sz w:val="24"/>
          <w:szCs w:val="24"/>
        </w:rPr>
        <w:t>基金合同</w:t>
      </w:r>
      <w:r>
        <w:rPr>
          <w:rFonts w:hint="eastAsia"/>
          <w:color w:val="000000"/>
          <w:kern w:val="0"/>
          <w:sz w:val="24"/>
          <w:szCs w:val="24"/>
        </w:rPr>
        <w:t>”</w:t>
      </w:r>
      <w:r>
        <w:rPr>
          <w:color w:val="000000"/>
          <w:kern w:val="0"/>
          <w:sz w:val="24"/>
          <w:szCs w:val="24"/>
        </w:rPr>
        <w:t>或</w:t>
      </w:r>
      <w:r>
        <w:rPr>
          <w:rFonts w:hint="eastAsia"/>
          <w:color w:val="000000"/>
          <w:kern w:val="0"/>
          <w:sz w:val="24"/>
          <w:szCs w:val="24"/>
        </w:rPr>
        <w:t>“</w:t>
      </w:r>
      <w:r>
        <w:rPr>
          <w:color w:val="000000"/>
          <w:kern w:val="0"/>
          <w:sz w:val="24"/>
          <w:szCs w:val="24"/>
        </w:rPr>
        <w:t>《基金合同》</w:t>
      </w:r>
      <w:r>
        <w:rPr>
          <w:rFonts w:hint="eastAsia"/>
          <w:color w:val="000000"/>
          <w:kern w:val="0"/>
          <w:sz w:val="24"/>
          <w:szCs w:val="24"/>
        </w:rPr>
        <w:t>”</w:t>
      </w:r>
      <w:r>
        <w:rPr>
          <w:color w:val="000000"/>
          <w:kern w:val="0"/>
          <w:sz w:val="24"/>
          <w:szCs w:val="24"/>
        </w:rPr>
        <w:t>)</w:t>
      </w:r>
      <w:r>
        <w:rPr>
          <w:color w:val="000000"/>
          <w:kern w:val="0"/>
          <w:sz w:val="24"/>
          <w:szCs w:val="24"/>
        </w:rPr>
        <w:t>中定义的术语在用于本托管协议时应具有相同的含义；若有抵触应以基金合同为准，并依其条款解释。</w:t>
      </w:r>
    </w:p>
    <w:p w14:paraId="00DF8C3D" w14:textId="77777777" w:rsidR="007F0ECF" w:rsidRDefault="005B4DD9">
      <w:pPr>
        <w:widowControl/>
        <w:adjustRightInd w:val="0"/>
        <w:spacing w:line="360" w:lineRule="auto"/>
        <w:ind w:firstLineChars="200" w:firstLine="480"/>
        <w:rPr>
          <w:color w:val="000000"/>
          <w:kern w:val="0"/>
          <w:sz w:val="24"/>
          <w:szCs w:val="24"/>
        </w:rPr>
      </w:pPr>
      <w:r>
        <w:rPr>
          <w:rFonts w:hint="eastAsia"/>
          <w:color w:val="000000"/>
          <w:kern w:val="0"/>
          <w:sz w:val="24"/>
          <w:szCs w:val="24"/>
        </w:rPr>
        <w:t>若本基金实施</w:t>
      </w:r>
      <w:proofErr w:type="gramStart"/>
      <w:r>
        <w:rPr>
          <w:rFonts w:hint="eastAsia"/>
          <w:color w:val="000000"/>
          <w:kern w:val="0"/>
          <w:sz w:val="24"/>
          <w:szCs w:val="24"/>
        </w:rPr>
        <w:t>侧袋机制</w:t>
      </w:r>
      <w:proofErr w:type="gramEnd"/>
      <w:r>
        <w:rPr>
          <w:rFonts w:hint="eastAsia"/>
          <w:color w:val="000000"/>
          <w:kern w:val="0"/>
          <w:sz w:val="24"/>
          <w:szCs w:val="24"/>
        </w:rPr>
        <w:t>的，</w:t>
      </w:r>
      <w:proofErr w:type="gramStart"/>
      <w:r>
        <w:rPr>
          <w:rFonts w:hint="eastAsia"/>
          <w:color w:val="000000"/>
          <w:kern w:val="0"/>
          <w:sz w:val="24"/>
          <w:szCs w:val="24"/>
        </w:rPr>
        <w:t>侧袋机制</w:t>
      </w:r>
      <w:proofErr w:type="gramEnd"/>
      <w:r>
        <w:rPr>
          <w:rFonts w:hint="eastAsia"/>
          <w:color w:val="000000"/>
          <w:kern w:val="0"/>
          <w:sz w:val="24"/>
          <w:szCs w:val="24"/>
        </w:rPr>
        <w:t>实施期间的相关安排</w:t>
      </w:r>
      <w:proofErr w:type="gramStart"/>
      <w:r>
        <w:rPr>
          <w:rFonts w:hint="eastAsia"/>
          <w:color w:val="000000"/>
          <w:kern w:val="0"/>
          <w:sz w:val="24"/>
          <w:szCs w:val="24"/>
        </w:rPr>
        <w:t>见基金</w:t>
      </w:r>
      <w:proofErr w:type="gramEnd"/>
      <w:r>
        <w:rPr>
          <w:rFonts w:hint="eastAsia"/>
          <w:color w:val="000000"/>
          <w:kern w:val="0"/>
          <w:sz w:val="24"/>
          <w:szCs w:val="24"/>
        </w:rPr>
        <w:t>合同和招募说明书的规定。</w:t>
      </w:r>
    </w:p>
    <w:p w14:paraId="1B13AB06" w14:textId="77777777" w:rsidR="007F0ECF" w:rsidRDefault="005B4DD9">
      <w:pPr>
        <w:pStyle w:val="2"/>
        <w:spacing w:line="360" w:lineRule="auto"/>
        <w:jc w:val="center"/>
        <w:rPr>
          <w:rFonts w:ascii="Times New Roman" w:eastAsia="宋体" w:hAnsi="Times New Roman"/>
          <w:color w:val="000000"/>
          <w:sz w:val="30"/>
          <w:szCs w:val="30"/>
        </w:rPr>
      </w:pPr>
      <w:r>
        <w:rPr>
          <w:rFonts w:ascii="Times New Roman" w:eastAsia="宋体" w:hAnsi="Times New Roman"/>
          <w:color w:val="000000"/>
          <w:kern w:val="0"/>
          <w:sz w:val="24"/>
          <w:szCs w:val="24"/>
        </w:rPr>
        <w:br w:type="page"/>
      </w:r>
      <w:bookmarkStart w:id="5" w:name="_Toc497759436"/>
      <w:r>
        <w:rPr>
          <w:rFonts w:ascii="Times New Roman" w:eastAsia="宋体" w:hAnsi="Times New Roman"/>
          <w:color w:val="000000"/>
          <w:sz w:val="30"/>
          <w:szCs w:val="30"/>
        </w:rPr>
        <w:lastRenderedPageBreak/>
        <w:t>一、基金托管协议当事人</w:t>
      </w:r>
      <w:bookmarkEnd w:id="5"/>
    </w:p>
    <w:p w14:paraId="5C94B4C2" w14:textId="77777777" w:rsidR="007F0ECF" w:rsidRDefault="005B4DD9">
      <w:pPr>
        <w:adjustRightInd w:val="0"/>
        <w:spacing w:line="360" w:lineRule="auto"/>
        <w:ind w:firstLineChars="200" w:firstLine="480"/>
        <w:rPr>
          <w:color w:val="000000"/>
          <w:sz w:val="24"/>
          <w:szCs w:val="24"/>
        </w:rPr>
      </w:pPr>
      <w:r>
        <w:rPr>
          <w:color w:val="000000"/>
          <w:sz w:val="24"/>
          <w:szCs w:val="24"/>
        </w:rPr>
        <w:t>（一）基金管理人</w:t>
      </w:r>
    </w:p>
    <w:p w14:paraId="4FE768EE" w14:textId="77777777" w:rsidR="007F0ECF" w:rsidRDefault="005B4DD9">
      <w:pPr>
        <w:spacing w:line="360" w:lineRule="auto"/>
        <w:ind w:firstLineChars="200" w:firstLine="480"/>
        <w:rPr>
          <w:bCs/>
          <w:sz w:val="24"/>
        </w:rPr>
      </w:pPr>
      <w:bookmarkStart w:id="6" w:name="_Toc15118236"/>
      <w:r>
        <w:rPr>
          <w:bCs/>
          <w:sz w:val="24"/>
        </w:rPr>
        <w:t>名称：</w:t>
      </w:r>
      <w:bookmarkEnd w:id="6"/>
      <w:r>
        <w:rPr>
          <w:rFonts w:hint="eastAsia"/>
          <w:bCs/>
          <w:sz w:val="24"/>
        </w:rPr>
        <w:t>华泰柏瑞基金管理有限公司</w:t>
      </w:r>
    </w:p>
    <w:p w14:paraId="7BB14A93" w14:textId="77777777" w:rsidR="007F0ECF" w:rsidRDefault="005B4DD9">
      <w:pPr>
        <w:spacing w:line="360" w:lineRule="auto"/>
        <w:ind w:firstLineChars="200" w:firstLine="480"/>
        <w:rPr>
          <w:bCs/>
          <w:sz w:val="24"/>
        </w:rPr>
      </w:pPr>
      <w:r>
        <w:rPr>
          <w:bCs/>
          <w:sz w:val="24"/>
        </w:rPr>
        <w:t>住所：</w:t>
      </w:r>
      <w:r>
        <w:rPr>
          <w:rFonts w:hint="eastAsia"/>
          <w:bCs/>
          <w:sz w:val="24"/>
        </w:rPr>
        <w:t>中国（上海）自由贸易试验区民生路</w:t>
      </w:r>
      <w:r>
        <w:rPr>
          <w:bCs/>
          <w:sz w:val="24"/>
        </w:rPr>
        <w:t>1199</w:t>
      </w:r>
      <w:r>
        <w:rPr>
          <w:rFonts w:hint="eastAsia"/>
          <w:bCs/>
          <w:sz w:val="24"/>
        </w:rPr>
        <w:t>弄上海证大五道口广场</w:t>
      </w:r>
      <w:r>
        <w:rPr>
          <w:bCs/>
          <w:sz w:val="24"/>
        </w:rPr>
        <w:t>1</w:t>
      </w:r>
      <w:r>
        <w:rPr>
          <w:rFonts w:hint="eastAsia"/>
          <w:bCs/>
          <w:sz w:val="24"/>
        </w:rPr>
        <w:t>号</w:t>
      </w:r>
      <w:r>
        <w:rPr>
          <w:bCs/>
          <w:sz w:val="24"/>
        </w:rPr>
        <w:t>17</w:t>
      </w:r>
      <w:r>
        <w:rPr>
          <w:rFonts w:hint="eastAsia"/>
          <w:bCs/>
          <w:sz w:val="24"/>
        </w:rPr>
        <w:t>层</w:t>
      </w:r>
      <w:r>
        <w:rPr>
          <w:bCs/>
          <w:sz w:val="24"/>
        </w:rPr>
        <w:t xml:space="preserve"> </w:t>
      </w:r>
    </w:p>
    <w:p w14:paraId="5B86DA9E" w14:textId="77777777" w:rsidR="007F0ECF" w:rsidRDefault="005B4DD9">
      <w:pPr>
        <w:spacing w:line="360" w:lineRule="auto"/>
        <w:ind w:firstLineChars="200" w:firstLine="480"/>
        <w:rPr>
          <w:bCs/>
          <w:sz w:val="24"/>
        </w:rPr>
      </w:pPr>
      <w:r>
        <w:rPr>
          <w:bCs/>
          <w:sz w:val="24"/>
        </w:rPr>
        <w:t>法定代表人：</w:t>
      </w:r>
      <w:r>
        <w:rPr>
          <w:rFonts w:hint="eastAsia"/>
          <w:bCs/>
          <w:sz w:val="24"/>
        </w:rPr>
        <w:t>贾波</w:t>
      </w:r>
    </w:p>
    <w:p w14:paraId="5F7DCAEB" w14:textId="77777777" w:rsidR="007F0ECF" w:rsidRDefault="005B4DD9">
      <w:pPr>
        <w:spacing w:line="360" w:lineRule="auto"/>
        <w:ind w:firstLineChars="200" w:firstLine="480"/>
        <w:rPr>
          <w:bCs/>
          <w:sz w:val="24"/>
        </w:rPr>
      </w:pPr>
      <w:r>
        <w:rPr>
          <w:bCs/>
          <w:sz w:val="24"/>
        </w:rPr>
        <w:t>设立日期：</w:t>
      </w:r>
      <w:r>
        <w:rPr>
          <w:rFonts w:hint="eastAsia"/>
          <w:bCs/>
          <w:sz w:val="24"/>
        </w:rPr>
        <w:t>2004</w:t>
      </w:r>
      <w:r>
        <w:rPr>
          <w:rFonts w:hint="eastAsia"/>
          <w:bCs/>
          <w:sz w:val="24"/>
        </w:rPr>
        <w:t>年</w:t>
      </w:r>
      <w:r>
        <w:rPr>
          <w:rFonts w:hint="eastAsia"/>
          <w:bCs/>
          <w:sz w:val="24"/>
        </w:rPr>
        <w:t>11</w:t>
      </w:r>
      <w:r>
        <w:rPr>
          <w:rFonts w:hint="eastAsia"/>
          <w:bCs/>
          <w:sz w:val="24"/>
        </w:rPr>
        <w:t>月</w:t>
      </w:r>
      <w:r>
        <w:rPr>
          <w:rFonts w:hint="eastAsia"/>
          <w:bCs/>
          <w:sz w:val="24"/>
        </w:rPr>
        <w:t>18</w:t>
      </w:r>
      <w:r>
        <w:rPr>
          <w:rFonts w:hint="eastAsia"/>
          <w:bCs/>
          <w:sz w:val="24"/>
        </w:rPr>
        <w:t>日</w:t>
      </w:r>
    </w:p>
    <w:p w14:paraId="77DE8C4F" w14:textId="77777777" w:rsidR="007F0ECF" w:rsidRDefault="005B4DD9">
      <w:pPr>
        <w:spacing w:line="360" w:lineRule="auto"/>
        <w:ind w:firstLineChars="200" w:firstLine="480"/>
        <w:rPr>
          <w:bCs/>
          <w:sz w:val="24"/>
        </w:rPr>
      </w:pPr>
      <w:r>
        <w:rPr>
          <w:bCs/>
          <w:sz w:val="24"/>
        </w:rPr>
        <w:t>批准设立机关及批准设立文号：</w:t>
      </w:r>
      <w:r>
        <w:rPr>
          <w:rFonts w:hint="eastAsia"/>
          <w:bCs/>
          <w:sz w:val="24"/>
        </w:rPr>
        <w:t>中国证监会证</w:t>
      </w:r>
      <w:proofErr w:type="gramStart"/>
      <w:r>
        <w:rPr>
          <w:rFonts w:hint="eastAsia"/>
          <w:bCs/>
          <w:sz w:val="24"/>
        </w:rPr>
        <w:t>监基金字</w:t>
      </w:r>
      <w:proofErr w:type="gramEnd"/>
      <w:r>
        <w:rPr>
          <w:rFonts w:hint="eastAsia"/>
          <w:bCs/>
          <w:sz w:val="24"/>
        </w:rPr>
        <w:t>【</w:t>
      </w:r>
      <w:r>
        <w:rPr>
          <w:bCs/>
          <w:sz w:val="24"/>
        </w:rPr>
        <w:t>2004</w:t>
      </w:r>
      <w:r>
        <w:rPr>
          <w:rFonts w:hint="eastAsia"/>
          <w:bCs/>
          <w:sz w:val="24"/>
        </w:rPr>
        <w:t>】</w:t>
      </w:r>
      <w:r>
        <w:rPr>
          <w:bCs/>
          <w:sz w:val="24"/>
        </w:rPr>
        <w:t>178</w:t>
      </w:r>
      <w:r>
        <w:rPr>
          <w:rFonts w:hint="eastAsia"/>
          <w:bCs/>
          <w:sz w:val="24"/>
        </w:rPr>
        <w:t>号</w:t>
      </w:r>
    </w:p>
    <w:p w14:paraId="2FB9A4F7" w14:textId="77777777" w:rsidR="007F0ECF" w:rsidRDefault="005B4DD9">
      <w:pPr>
        <w:spacing w:line="360" w:lineRule="auto"/>
        <w:ind w:firstLineChars="200" w:firstLine="480"/>
        <w:rPr>
          <w:bCs/>
          <w:sz w:val="24"/>
        </w:rPr>
      </w:pPr>
      <w:r>
        <w:rPr>
          <w:bCs/>
          <w:sz w:val="24"/>
        </w:rPr>
        <w:t>组织形式：</w:t>
      </w:r>
      <w:r>
        <w:rPr>
          <w:rFonts w:hint="eastAsia"/>
          <w:bCs/>
          <w:sz w:val="24"/>
        </w:rPr>
        <w:t>有限责任公司</w:t>
      </w:r>
      <w:r>
        <w:rPr>
          <w:bCs/>
          <w:sz w:val="24"/>
        </w:rPr>
        <w:t xml:space="preserve"> </w:t>
      </w:r>
    </w:p>
    <w:p w14:paraId="7FFA71B7" w14:textId="77777777" w:rsidR="007F0ECF" w:rsidRDefault="005B4DD9">
      <w:pPr>
        <w:spacing w:line="360" w:lineRule="auto"/>
        <w:ind w:firstLineChars="200" w:firstLine="480"/>
        <w:rPr>
          <w:bCs/>
          <w:sz w:val="24"/>
        </w:rPr>
      </w:pPr>
      <w:r>
        <w:rPr>
          <w:bCs/>
          <w:sz w:val="24"/>
        </w:rPr>
        <w:t>注册资本：</w:t>
      </w:r>
      <w:r>
        <w:rPr>
          <w:rFonts w:hint="eastAsia"/>
          <w:bCs/>
          <w:sz w:val="24"/>
        </w:rPr>
        <w:t>贰亿元人民币</w:t>
      </w:r>
    </w:p>
    <w:p w14:paraId="45E97F74" w14:textId="77777777" w:rsidR="007F0ECF" w:rsidRDefault="005B4DD9">
      <w:pPr>
        <w:spacing w:line="360" w:lineRule="auto"/>
        <w:ind w:firstLineChars="200" w:firstLine="480"/>
        <w:rPr>
          <w:bCs/>
          <w:sz w:val="24"/>
        </w:rPr>
      </w:pPr>
      <w:r>
        <w:rPr>
          <w:bCs/>
          <w:sz w:val="24"/>
        </w:rPr>
        <w:t>存续期限：</w:t>
      </w:r>
      <w:r>
        <w:rPr>
          <w:rFonts w:hint="eastAsia"/>
          <w:bCs/>
          <w:sz w:val="24"/>
        </w:rPr>
        <w:t>持续经营</w:t>
      </w:r>
    </w:p>
    <w:p w14:paraId="29CB564A" w14:textId="77777777" w:rsidR="007F0ECF" w:rsidRDefault="005B4DD9">
      <w:pPr>
        <w:adjustRightInd w:val="0"/>
        <w:spacing w:line="360" w:lineRule="auto"/>
        <w:ind w:firstLineChars="200" w:firstLine="480"/>
        <w:rPr>
          <w:sz w:val="24"/>
          <w:szCs w:val="24"/>
        </w:rPr>
      </w:pPr>
      <w:r>
        <w:rPr>
          <w:bCs/>
          <w:sz w:val="24"/>
        </w:rPr>
        <w:t>联系电话：</w:t>
      </w:r>
      <w:r>
        <w:rPr>
          <w:rFonts w:hint="eastAsia"/>
          <w:bCs/>
          <w:sz w:val="24"/>
        </w:rPr>
        <w:t>（</w:t>
      </w:r>
      <w:r>
        <w:rPr>
          <w:rFonts w:hint="eastAsia"/>
          <w:bCs/>
          <w:sz w:val="24"/>
        </w:rPr>
        <w:t>021</w:t>
      </w:r>
      <w:r>
        <w:rPr>
          <w:rFonts w:hint="eastAsia"/>
          <w:bCs/>
          <w:sz w:val="24"/>
        </w:rPr>
        <w:t>）</w:t>
      </w:r>
      <w:r>
        <w:rPr>
          <w:rFonts w:hint="eastAsia"/>
          <w:bCs/>
          <w:sz w:val="24"/>
        </w:rPr>
        <w:t>38601777</w:t>
      </w:r>
    </w:p>
    <w:p w14:paraId="78BA23DB" w14:textId="77777777" w:rsidR="007F0ECF" w:rsidRDefault="005B4DD9">
      <w:pPr>
        <w:adjustRightInd w:val="0"/>
        <w:spacing w:line="360" w:lineRule="auto"/>
        <w:ind w:firstLineChars="200" w:firstLine="480"/>
        <w:rPr>
          <w:color w:val="000000"/>
          <w:sz w:val="24"/>
          <w:szCs w:val="24"/>
        </w:rPr>
      </w:pPr>
      <w:r>
        <w:rPr>
          <w:color w:val="000000"/>
          <w:sz w:val="24"/>
          <w:szCs w:val="24"/>
        </w:rPr>
        <w:t>（二）基金托管人</w:t>
      </w:r>
    </w:p>
    <w:p w14:paraId="34FA40E2" w14:textId="77777777" w:rsidR="007F0ECF" w:rsidRDefault="005B4DD9">
      <w:pPr>
        <w:adjustRightInd w:val="0"/>
        <w:spacing w:line="360" w:lineRule="auto"/>
        <w:ind w:firstLineChars="200" w:firstLine="480"/>
        <w:rPr>
          <w:color w:val="000000"/>
          <w:kern w:val="0"/>
          <w:sz w:val="24"/>
          <w:szCs w:val="24"/>
        </w:rPr>
      </w:pPr>
      <w:r>
        <w:rPr>
          <w:rFonts w:hint="eastAsia"/>
          <w:color w:val="000000"/>
          <w:kern w:val="0"/>
          <w:sz w:val="24"/>
          <w:szCs w:val="24"/>
        </w:rPr>
        <w:t>名称：中信银行股份有限公司</w:t>
      </w:r>
    </w:p>
    <w:p w14:paraId="7F97F697" w14:textId="77777777" w:rsidR="007F0ECF" w:rsidRDefault="005B4DD9">
      <w:pPr>
        <w:adjustRightInd w:val="0"/>
        <w:spacing w:line="360" w:lineRule="auto"/>
        <w:ind w:firstLineChars="200" w:firstLine="480"/>
        <w:rPr>
          <w:color w:val="000000"/>
          <w:kern w:val="0"/>
          <w:sz w:val="24"/>
          <w:szCs w:val="24"/>
        </w:rPr>
      </w:pPr>
      <w:r>
        <w:rPr>
          <w:rFonts w:hint="eastAsia"/>
          <w:color w:val="000000"/>
          <w:kern w:val="0"/>
          <w:sz w:val="24"/>
          <w:szCs w:val="24"/>
        </w:rPr>
        <w:t>住所：北京市朝阳区光华路</w:t>
      </w:r>
      <w:r>
        <w:rPr>
          <w:rFonts w:hint="eastAsia"/>
          <w:color w:val="000000"/>
          <w:kern w:val="0"/>
          <w:sz w:val="24"/>
          <w:szCs w:val="24"/>
        </w:rPr>
        <w:t>10</w:t>
      </w:r>
      <w:r>
        <w:rPr>
          <w:rFonts w:hint="eastAsia"/>
          <w:color w:val="000000"/>
          <w:kern w:val="0"/>
          <w:sz w:val="24"/>
          <w:szCs w:val="24"/>
        </w:rPr>
        <w:t>号院</w:t>
      </w:r>
      <w:r>
        <w:rPr>
          <w:rFonts w:hint="eastAsia"/>
          <w:color w:val="000000"/>
          <w:kern w:val="0"/>
          <w:sz w:val="24"/>
          <w:szCs w:val="24"/>
        </w:rPr>
        <w:t>1</w:t>
      </w:r>
      <w:r>
        <w:rPr>
          <w:rFonts w:hint="eastAsia"/>
          <w:color w:val="000000"/>
          <w:kern w:val="0"/>
          <w:sz w:val="24"/>
          <w:szCs w:val="24"/>
        </w:rPr>
        <w:t>号楼</w:t>
      </w:r>
      <w:r>
        <w:rPr>
          <w:rFonts w:hint="eastAsia"/>
          <w:color w:val="000000"/>
          <w:kern w:val="0"/>
          <w:sz w:val="24"/>
          <w:szCs w:val="24"/>
        </w:rPr>
        <w:t>6-30</w:t>
      </w:r>
      <w:r>
        <w:rPr>
          <w:rFonts w:hint="eastAsia"/>
          <w:color w:val="000000"/>
          <w:kern w:val="0"/>
          <w:sz w:val="24"/>
          <w:szCs w:val="24"/>
        </w:rPr>
        <w:t>层、</w:t>
      </w:r>
      <w:r>
        <w:rPr>
          <w:rFonts w:hint="eastAsia"/>
          <w:color w:val="000000"/>
          <w:kern w:val="0"/>
          <w:sz w:val="24"/>
          <w:szCs w:val="24"/>
        </w:rPr>
        <w:t>32-42</w:t>
      </w:r>
      <w:r>
        <w:rPr>
          <w:rFonts w:hint="eastAsia"/>
          <w:color w:val="000000"/>
          <w:kern w:val="0"/>
          <w:sz w:val="24"/>
          <w:szCs w:val="24"/>
        </w:rPr>
        <w:t>层</w:t>
      </w:r>
    </w:p>
    <w:p w14:paraId="03DBEC8E" w14:textId="77777777" w:rsidR="007F0ECF" w:rsidRDefault="005B4DD9">
      <w:pPr>
        <w:adjustRightInd w:val="0"/>
        <w:spacing w:line="360" w:lineRule="auto"/>
        <w:ind w:firstLineChars="200" w:firstLine="480"/>
        <w:rPr>
          <w:color w:val="000000"/>
          <w:kern w:val="0"/>
          <w:sz w:val="24"/>
          <w:szCs w:val="24"/>
        </w:rPr>
      </w:pPr>
      <w:r>
        <w:rPr>
          <w:rFonts w:hint="eastAsia"/>
          <w:color w:val="000000"/>
          <w:kern w:val="0"/>
          <w:sz w:val="24"/>
          <w:szCs w:val="24"/>
        </w:rPr>
        <w:t>法定代表人：方合英</w:t>
      </w:r>
    </w:p>
    <w:p w14:paraId="270EB411" w14:textId="77777777" w:rsidR="007F0ECF" w:rsidRDefault="005B4DD9">
      <w:pPr>
        <w:adjustRightInd w:val="0"/>
        <w:spacing w:line="360" w:lineRule="auto"/>
        <w:ind w:firstLineChars="200" w:firstLine="480"/>
        <w:rPr>
          <w:color w:val="000000"/>
          <w:kern w:val="0"/>
          <w:sz w:val="24"/>
          <w:szCs w:val="24"/>
        </w:rPr>
      </w:pPr>
      <w:r>
        <w:rPr>
          <w:rFonts w:hint="eastAsia"/>
          <w:color w:val="000000"/>
          <w:kern w:val="0"/>
          <w:sz w:val="24"/>
          <w:szCs w:val="24"/>
        </w:rPr>
        <w:t>成立时间：</w:t>
      </w:r>
      <w:r>
        <w:rPr>
          <w:rFonts w:hint="eastAsia"/>
          <w:color w:val="000000"/>
          <w:kern w:val="0"/>
          <w:sz w:val="24"/>
          <w:szCs w:val="24"/>
        </w:rPr>
        <w:t>1987</w:t>
      </w:r>
      <w:r>
        <w:rPr>
          <w:rFonts w:hint="eastAsia"/>
          <w:color w:val="000000"/>
          <w:kern w:val="0"/>
          <w:sz w:val="24"/>
          <w:szCs w:val="24"/>
        </w:rPr>
        <w:t>年</w:t>
      </w:r>
      <w:r>
        <w:rPr>
          <w:rFonts w:hint="eastAsia"/>
          <w:color w:val="000000"/>
          <w:kern w:val="0"/>
          <w:sz w:val="24"/>
          <w:szCs w:val="24"/>
        </w:rPr>
        <w:t>4</w:t>
      </w:r>
      <w:r>
        <w:rPr>
          <w:rFonts w:hint="eastAsia"/>
          <w:color w:val="000000"/>
          <w:kern w:val="0"/>
          <w:sz w:val="24"/>
          <w:szCs w:val="24"/>
        </w:rPr>
        <w:t>月</w:t>
      </w:r>
      <w:r>
        <w:rPr>
          <w:rFonts w:hint="eastAsia"/>
          <w:color w:val="000000"/>
          <w:kern w:val="0"/>
          <w:sz w:val="24"/>
          <w:szCs w:val="24"/>
        </w:rPr>
        <w:t>20</w:t>
      </w:r>
      <w:r>
        <w:rPr>
          <w:rFonts w:hint="eastAsia"/>
          <w:color w:val="000000"/>
          <w:kern w:val="0"/>
          <w:sz w:val="24"/>
          <w:szCs w:val="24"/>
        </w:rPr>
        <w:t>日</w:t>
      </w:r>
    </w:p>
    <w:p w14:paraId="07788CD0" w14:textId="77777777" w:rsidR="007F0ECF" w:rsidRDefault="005B4DD9">
      <w:pPr>
        <w:adjustRightInd w:val="0"/>
        <w:spacing w:line="360" w:lineRule="auto"/>
        <w:ind w:firstLineChars="200" w:firstLine="480"/>
        <w:rPr>
          <w:color w:val="000000"/>
          <w:kern w:val="0"/>
          <w:sz w:val="24"/>
          <w:szCs w:val="24"/>
        </w:rPr>
      </w:pPr>
      <w:r>
        <w:rPr>
          <w:rFonts w:hint="eastAsia"/>
          <w:color w:val="000000"/>
          <w:kern w:val="0"/>
          <w:sz w:val="24"/>
          <w:szCs w:val="24"/>
        </w:rPr>
        <w:t>批准设立机关和批准设立文号：中华人民共和国国务院办公厅国办函</w:t>
      </w:r>
      <w:r>
        <w:rPr>
          <w:rFonts w:hint="eastAsia"/>
          <w:color w:val="000000"/>
          <w:kern w:val="0"/>
          <w:sz w:val="24"/>
          <w:szCs w:val="24"/>
        </w:rPr>
        <w:t>[1987]14</w:t>
      </w:r>
      <w:r>
        <w:rPr>
          <w:rFonts w:hint="eastAsia"/>
          <w:color w:val="000000"/>
          <w:kern w:val="0"/>
          <w:sz w:val="24"/>
          <w:szCs w:val="24"/>
        </w:rPr>
        <w:t>号</w:t>
      </w:r>
    </w:p>
    <w:p w14:paraId="36BEC6E1" w14:textId="77777777" w:rsidR="007F0ECF" w:rsidRDefault="005B4DD9">
      <w:pPr>
        <w:adjustRightInd w:val="0"/>
        <w:spacing w:line="360" w:lineRule="auto"/>
        <w:ind w:firstLineChars="200" w:firstLine="480"/>
        <w:rPr>
          <w:color w:val="000000"/>
          <w:kern w:val="0"/>
          <w:sz w:val="24"/>
          <w:szCs w:val="24"/>
        </w:rPr>
      </w:pPr>
      <w:r>
        <w:rPr>
          <w:rFonts w:hint="eastAsia"/>
          <w:color w:val="000000"/>
          <w:kern w:val="0"/>
          <w:sz w:val="24"/>
          <w:szCs w:val="24"/>
        </w:rPr>
        <w:t>基金托管资格批文及文号：中国证监会证</w:t>
      </w:r>
      <w:proofErr w:type="gramStart"/>
      <w:r>
        <w:rPr>
          <w:rFonts w:hint="eastAsia"/>
          <w:color w:val="000000"/>
          <w:kern w:val="0"/>
          <w:sz w:val="24"/>
          <w:szCs w:val="24"/>
        </w:rPr>
        <w:t>监基金字</w:t>
      </w:r>
      <w:proofErr w:type="gramEnd"/>
      <w:r>
        <w:rPr>
          <w:rFonts w:hint="eastAsia"/>
          <w:color w:val="000000"/>
          <w:kern w:val="0"/>
          <w:sz w:val="24"/>
          <w:szCs w:val="24"/>
        </w:rPr>
        <w:t>[2004]125</w:t>
      </w:r>
      <w:r>
        <w:rPr>
          <w:rFonts w:hint="eastAsia"/>
          <w:color w:val="000000"/>
          <w:kern w:val="0"/>
          <w:sz w:val="24"/>
          <w:szCs w:val="24"/>
        </w:rPr>
        <w:t>号</w:t>
      </w:r>
    </w:p>
    <w:p w14:paraId="4FE06BDF" w14:textId="77777777" w:rsidR="007F0ECF" w:rsidRDefault="005B4DD9">
      <w:pPr>
        <w:adjustRightInd w:val="0"/>
        <w:spacing w:line="360" w:lineRule="auto"/>
        <w:ind w:firstLineChars="200" w:firstLine="480"/>
        <w:rPr>
          <w:color w:val="000000"/>
          <w:kern w:val="0"/>
          <w:sz w:val="24"/>
          <w:szCs w:val="24"/>
        </w:rPr>
      </w:pPr>
      <w:r>
        <w:rPr>
          <w:rFonts w:hint="eastAsia"/>
          <w:color w:val="000000"/>
          <w:kern w:val="0"/>
          <w:sz w:val="24"/>
          <w:szCs w:val="24"/>
        </w:rPr>
        <w:t>组织形式：其他股份有限公司</w:t>
      </w:r>
    </w:p>
    <w:p w14:paraId="6F972473" w14:textId="77777777" w:rsidR="007F0ECF" w:rsidRDefault="005B4DD9">
      <w:pPr>
        <w:adjustRightInd w:val="0"/>
        <w:spacing w:line="360" w:lineRule="auto"/>
        <w:ind w:firstLineChars="200" w:firstLine="480"/>
        <w:rPr>
          <w:color w:val="000000"/>
          <w:kern w:val="0"/>
          <w:sz w:val="24"/>
          <w:szCs w:val="24"/>
        </w:rPr>
      </w:pPr>
      <w:r>
        <w:rPr>
          <w:rFonts w:hint="eastAsia"/>
          <w:color w:val="000000"/>
          <w:kern w:val="0"/>
          <w:sz w:val="24"/>
          <w:szCs w:val="24"/>
        </w:rPr>
        <w:t>注册资本：</w:t>
      </w:r>
      <w:r>
        <w:rPr>
          <w:rFonts w:hint="eastAsia"/>
          <w:color w:val="000000"/>
          <w:kern w:val="0"/>
          <w:sz w:val="24"/>
          <w:szCs w:val="24"/>
        </w:rPr>
        <w:t>489.35</w:t>
      </w:r>
      <w:r>
        <w:rPr>
          <w:rFonts w:hint="eastAsia"/>
          <w:color w:val="000000"/>
          <w:kern w:val="0"/>
          <w:sz w:val="24"/>
          <w:szCs w:val="24"/>
        </w:rPr>
        <w:t>亿元人民币</w:t>
      </w:r>
    </w:p>
    <w:p w14:paraId="09FB3111" w14:textId="77777777" w:rsidR="007F0ECF" w:rsidRDefault="005B4DD9">
      <w:pPr>
        <w:adjustRightInd w:val="0"/>
        <w:spacing w:line="360" w:lineRule="auto"/>
        <w:ind w:firstLineChars="200" w:firstLine="480"/>
        <w:rPr>
          <w:color w:val="000000"/>
          <w:kern w:val="0"/>
          <w:sz w:val="24"/>
          <w:szCs w:val="24"/>
        </w:rPr>
      </w:pPr>
      <w:r>
        <w:rPr>
          <w:rFonts w:hint="eastAsia"/>
          <w:color w:val="000000"/>
          <w:kern w:val="0"/>
          <w:sz w:val="24"/>
          <w:szCs w:val="24"/>
        </w:rPr>
        <w:t>存续期间：持续经营</w:t>
      </w:r>
    </w:p>
    <w:p w14:paraId="5E670653" w14:textId="77777777" w:rsidR="007F0ECF" w:rsidRDefault="005B4DD9">
      <w:pPr>
        <w:rPr>
          <w:color w:val="000000"/>
          <w:kern w:val="0"/>
          <w:sz w:val="24"/>
          <w:szCs w:val="24"/>
        </w:rPr>
      </w:pPr>
      <w:r>
        <w:rPr>
          <w:color w:val="000000"/>
          <w:kern w:val="0"/>
          <w:sz w:val="24"/>
          <w:szCs w:val="24"/>
        </w:rPr>
        <w:br w:type="page"/>
      </w:r>
    </w:p>
    <w:p w14:paraId="62AB92BC" w14:textId="77777777" w:rsidR="007F0ECF" w:rsidRDefault="005B4DD9">
      <w:pPr>
        <w:pStyle w:val="2"/>
        <w:spacing w:line="360" w:lineRule="auto"/>
        <w:jc w:val="center"/>
        <w:rPr>
          <w:rFonts w:ascii="Times New Roman" w:eastAsia="宋体" w:hAnsi="Times New Roman"/>
          <w:color w:val="000000"/>
          <w:sz w:val="30"/>
          <w:szCs w:val="30"/>
        </w:rPr>
      </w:pPr>
      <w:bookmarkStart w:id="7" w:name="_Toc497759437"/>
      <w:r>
        <w:rPr>
          <w:rFonts w:ascii="Times New Roman" w:eastAsia="宋体" w:hAnsi="Times New Roman"/>
          <w:color w:val="000000"/>
          <w:sz w:val="30"/>
          <w:szCs w:val="30"/>
        </w:rPr>
        <w:lastRenderedPageBreak/>
        <w:t>二、基金托管协议的依据、目的和原则</w:t>
      </w:r>
      <w:bookmarkEnd w:id="7"/>
    </w:p>
    <w:p w14:paraId="6B291813" w14:textId="77777777" w:rsidR="007F0ECF" w:rsidRDefault="005B4DD9">
      <w:pPr>
        <w:adjustRightInd w:val="0"/>
        <w:spacing w:line="360" w:lineRule="auto"/>
        <w:ind w:firstLineChars="200" w:firstLine="480"/>
        <w:rPr>
          <w:color w:val="000000"/>
          <w:sz w:val="24"/>
          <w:szCs w:val="24"/>
        </w:rPr>
      </w:pPr>
      <w:r>
        <w:rPr>
          <w:color w:val="000000"/>
          <w:sz w:val="24"/>
          <w:szCs w:val="24"/>
        </w:rPr>
        <w:t>（一）订立托管协议的依据</w:t>
      </w:r>
    </w:p>
    <w:p w14:paraId="228D92AE" w14:textId="77777777" w:rsidR="007F0ECF" w:rsidRDefault="005B4DD9">
      <w:pPr>
        <w:adjustRightInd w:val="0"/>
        <w:spacing w:line="360" w:lineRule="auto"/>
        <w:ind w:firstLineChars="200" w:firstLine="480"/>
        <w:rPr>
          <w:color w:val="000000"/>
          <w:sz w:val="24"/>
          <w:szCs w:val="24"/>
        </w:rPr>
      </w:pPr>
      <w:r>
        <w:rPr>
          <w:rFonts w:hAnsi="宋体" w:hint="eastAsia"/>
          <w:sz w:val="24"/>
        </w:rPr>
        <w:t>订立本协议的依据是《中华人民共和国证券投资基金法》（以下简称《基金法》）、《公开募集证券投资基金运作管理办法》（以下简称《运作办法》）、《公开募集证券投资基金销售机构监督管理办法》、《公开募集证券投资基金信息披露管理办法》（以下简称《信息披露办法》）、《证券投资基金信息披露内容与格式准则第</w:t>
      </w:r>
      <w:r>
        <w:rPr>
          <w:sz w:val="24"/>
        </w:rPr>
        <w:t>7</w:t>
      </w:r>
      <w:r>
        <w:rPr>
          <w:rFonts w:hAnsi="宋体" w:hint="eastAsia"/>
          <w:sz w:val="24"/>
        </w:rPr>
        <w:t>号〈托管协议的内容与格式〉》、</w:t>
      </w:r>
      <w:r>
        <w:rPr>
          <w:rFonts w:hint="eastAsia"/>
          <w:bCs/>
          <w:sz w:val="24"/>
        </w:rPr>
        <w:t>《公开</w:t>
      </w:r>
      <w:r>
        <w:rPr>
          <w:bCs/>
          <w:sz w:val="24"/>
        </w:rPr>
        <w:t>募集</w:t>
      </w:r>
      <w:r>
        <w:rPr>
          <w:rFonts w:hint="eastAsia"/>
          <w:bCs/>
          <w:sz w:val="24"/>
        </w:rPr>
        <w:t>开放式</w:t>
      </w:r>
      <w:r>
        <w:rPr>
          <w:bCs/>
          <w:sz w:val="24"/>
        </w:rPr>
        <w:t>证券投资基金流动性风险管理规定</w:t>
      </w:r>
      <w:r>
        <w:rPr>
          <w:rFonts w:hint="eastAsia"/>
          <w:bCs/>
          <w:sz w:val="24"/>
        </w:rPr>
        <w:t>》（以下</w:t>
      </w:r>
      <w:r>
        <w:rPr>
          <w:bCs/>
          <w:sz w:val="24"/>
        </w:rPr>
        <w:t>简称</w:t>
      </w:r>
      <w:r>
        <w:rPr>
          <w:rFonts w:hint="eastAsia"/>
          <w:bCs/>
          <w:sz w:val="24"/>
        </w:rPr>
        <w:t>《流动性风险管理规定》）、《公开募集证券投资基金运作指引第</w:t>
      </w:r>
      <w:r>
        <w:rPr>
          <w:rFonts w:hint="eastAsia"/>
          <w:bCs/>
          <w:sz w:val="24"/>
        </w:rPr>
        <w:t>3</w:t>
      </w:r>
      <w:r>
        <w:rPr>
          <w:rFonts w:hint="eastAsia"/>
          <w:bCs/>
          <w:sz w:val="24"/>
        </w:rPr>
        <w:t>号——指数基金指引》、</w:t>
      </w:r>
      <w:r>
        <w:rPr>
          <w:rFonts w:hAnsi="宋体" w:hint="eastAsia"/>
          <w:sz w:val="24"/>
        </w:rPr>
        <w:t>《基金合同》及其他有关规定。</w:t>
      </w:r>
    </w:p>
    <w:p w14:paraId="2C40E7C4" w14:textId="77777777" w:rsidR="007F0ECF" w:rsidRDefault="005B4DD9">
      <w:pPr>
        <w:adjustRightInd w:val="0"/>
        <w:spacing w:line="360" w:lineRule="auto"/>
        <w:ind w:firstLineChars="200" w:firstLine="480"/>
        <w:rPr>
          <w:color w:val="000000"/>
          <w:sz w:val="24"/>
          <w:szCs w:val="24"/>
        </w:rPr>
      </w:pPr>
      <w:r>
        <w:rPr>
          <w:color w:val="000000"/>
          <w:sz w:val="24"/>
          <w:szCs w:val="24"/>
        </w:rPr>
        <w:t>（二）订立托管协议的目的</w:t>
      </w:r>
    </w:p>
    <w:p w14:paraId="510819C7" w14:textId="77777777" w:rsidR="007F0ECF" w:rsidRDefault="005B4DD9">
      <w:pPr>
        <w:adjustRightInd w:val="0"/>
        <w:spacing w:line="360" w:lineRule="auto"/>
        <w:ind w:firstLineChars="200" w:firstLine="480"/>
        <w:rPr>
          <w:color w:val="000000"/>
          <w:sz w:val="24"/>
          <w:szCs w:val="24"/>
        </w:rPr>
      </w:pPr>
      <w:r>
        <w:rPr>
          <w:color w:val="000000"/>
          <w:sz w:val="24"/>
          <w:szCs w:val="24"/>
        </w:rPr>
        <w:t>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3ED1BD63" w14:textId="77777777" w:rsidR="007F0ECF" w:rsidRDefault="005B4DD9">
      <w:pPr>
        <w:adjustRightInd w:val="0"/>
        <w:spacing w:line="360" w:lineRule="auto"/>
        <w:ind w:firstLineChars="200" w:firstLine="480"/>
        <w:rPr>
          <w:color w:val="000000"/>
          <w:sz w:val="24"/>
          <w:szCs w:val="24"/>
        </w:rPr>
      </w:pPr>
      <w:r>
        <w:rPr>
          <w:color w:val="000000"/>
          <w:sz w:val="24"/>
          <w:szCs w:val="24"/>
        </w:rPr>
        <w:t>（三）订立托管协议的原则</w:t>
      </w:r>
    </w:p>
    <w:p w14:paraId="0F5B4D7E" w14:textId="77777777" w:rsidR="007F0ECF" w:rsidRDefault="005B4DD9">
      <w:pPr>
        <w:pStyle w:val="Style6"/>
        <w:snapToGrid/>
        <w:spacing w:line="360" w:lineRule="auto"/>
        <w:rPr>
          <w:rFonts w:ascii="Times New Roman" w:eastAsia="宋体" w:hAnsi="Times New Roman"/>
          <w:szCs w:val="24"/>
        </w:rPr>
      </w:pPr>
      <w:r>
        <w:rPr>
          <w:rFonts w:ascii="Times New Roman" w:eastAsia="宋体" w:hAnsi="Times New Roman" w:hint="eastAsia"/>
          <w:szCs w:val="24"/>
        </w:rPr>
        <w:t>基金管理人和基金托管人本着平等自愿、诚实信用、充分保护基金投资者合法权益的原则，经协商一致，签订本协议。</w:t>
      </w:r>
    </w:p>
    <w:p w14:paraId="3CB89C09" w14:textId="77777777" w:rsidR="007F0ECF" w:rsidRDefault="005B4DD9">
      <w:pPr>
        <w:pStyle w:val="2"/>
        <w:spacing w:line="360" w:lineRule="auto"/>
        <w:jc w:val="center"/>
        <w:rPr>
          <w:rFonts w:ascii="Times New Roman" w:eastAsia="宋体" w:hAnsi="Times New Roman"/>
          <w:color w:val="000000"/>
          <w:sz w:val="30"/>
          <w:szCs w:val="30"/>
        </w:rPr>
      </w:pPr>
      <w:r>
        <w:rPr>
          <w:rFonts w:ascii="Times New Roman" w:eastAsia="宋体" w:hAnsi="Times New Roman"/>
          <w:b w:val="0"/>
          <w:kern w:val="0"/>
          <w:sz w:val="24"/>
          <w:szCs w:val="24"/>
        </w:rPr>
        <w:br w:type="page"/>
      </w:r>
      <w:bookmarkStart w:id="8" w:name="_Toc497759438"/>
      <w:r>
        <w:rPr>
          <w:rFonts w:ascii="Times New Roman" w:eastAsia="宋体" w:hAnsi="Times New Roman"/>
          <w:color w:val="000000"/>
          <w:sz w:val="30"/>
          <w:szCs w:val="30"/>
        </w:rPr>
        <w:lastRenderedPageBreak/>
        <w:t>三、基金托管人对基金管理人的业务监督和核查</w:t>
      </w:r>
      <w:bookmarkEnd w:id="8"/>
    </w:p>
    <w:p w14:paraId="1146E721" w14:textId="77777777" w:rsidR="007F0ECF" w:rsidRDefault="005B4DD9">
      <w:pPr>
        <w:adjustRightInd w:val="0"/>
        <w:spacing w:line="360" w:lineRule="auto"/>
        <w:ind w:firstLineChars="200" w:firstLine="480"/>
        <w:rPr>
          <w:color w:val="000000"/>
          <w:sz w:val="24"/>
          <w:szCs w:val="24"/>
        </w:rPr>
      </w:pPr>
      <w:bookmarkStart w:id="9" w:name="OLE_LINK56"/>
      <w:r>
        <w:rPr>
          <w:color w:val="000000"/>
          <w:sz w:val="24"/>
          <w:szCs w:val="24"/>
        </w:rPr>
        <w:t>（一）基金托管人根据有关法律法规的规定及基金合同的约定，对基金投资范围、投资对象进行监督。</w:t>
      </w:r>
      <w:r>
        <w:rPr>
          <w:rFonts w:hint="eastAsia"/>
          <w:color w:val="000000"/>
          <w:sz w:val="24"/>
          <w:szCs w:val="24"/>
        </w:rPr>
        <w:t>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14:paraId="744BAF73" w14:textId="77777777" w:rsidR="007F0ECF" w:rsidRDefault="005B4DD9">
      <w:pPr>
        <w:adjustRightInd w:val="0"/>
        <w:spacing w:line="360" w:lineRule="auto"/>
        <w:ind w:firstLineChars="200" w:firstLine="480"/>
        <w:rPr>
          <w:bCs/>
          <w:sz w:val="24"/>
        </w:rPr>
      </w:pPr>
      <w:r>
        <w:rPr>
          <w:rFonts w:hint="eastAsia"/>
          <w:bCs/>
          <w:sz w:val="24"/>
        </w:rPr>
        <w:t>本基金的投资范围为具有良好流动性的金融工具，包括国内依法发行上市的股票（包括主板、</w:t>
      </w:r>
      <w:proofErr w:type="gramStart"/>
      <w:r>
        <w:rPr>
          <w:rFonts w:hint="eastAsia"/>
          <w:bCs/>
          <w:sz w:val="24"/>
        </w:rPr>
        <w:t>科创板</w:t>
      </w:r>
      <w:proofErr w:type="gramEnd"/>
      <w:r>
        <w:rPr>
          <w:rFonts w:hint="eastAsia"/>
          <w:bCs/>
          <w:sz w:val="24"/>
        </w:rPr>
        <w:t>、创业板及其他中国证监会核准或注册上市的股票）、内地与香港股票市场交易互联互通机制下允许投资的香港联合交易所上市的股票（以下简称“港股通标的股票”）、存托凭证、债券（包括国债、央行票据、金融债券、企业债券、公司债券、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公开发行的次级债券、政府支持机构债券、政府支持债券、地方政府债券、可交换债券、可转换债券（含分离交易可转债）及其他经中国证监会允许投资的债券）、衍生品（包括股指期货、国债期货、股票期权等）、货币市场工具、同业存单、债券回购、银行存款（包括定期存款、协议存款、通知存款等）、资产支持证券以及法律法规或中国证监会允许基金投资的其他金融工具。</w:t>
      </w:r>
    </w:p>
    <w:p w14:paraId="1696D175" w14:textId="77777777" w:rsidR="007F0ECF" w:rsidRDefault="005B4DD9">
      <w:pPr>
        <w:adjustRightInd w:val="0"/>
        <w:spacing w:line="360" w:lineRule="auto"/>
        <w:ind w:firstLineChars="200" w:firstLine="480"/>
        <w:rPr>
          <w:bCs/>
          <w:sz w:val="24"/>
        </w:rPr>
      </w:pPr>
      <w:r>
        <w:rPr>
          <w:rFonts w:hint="eastAsia"/>
          <w:bCs/>
          <w:sz w:val="24"/>
        </w:rPr>
        <w:t>在符合法律法规规定的情况下，本基金可以参与融资和转融通证券出借业务。</w:t>
      </w:r>
    </w:p>
    <w:p w14:paraId="32EE2097" w14:textId="77777777" w:rsidR="007F0ECF" w:rsidRDefault="005B4DD9">
      <w:pPr>
        <w:adjustRightInd w:val="0"/>
        <w:spacing w:line="360" w:lineRule="auto"/>
        <w:ind w:firstLineChars="200" w:firstLine="480"/>
        <w:rPr>
          <w:bCs/>
          <w:sz w:val="24"/>
        </w:rPr>
      </w:pPr>
      <w:r>
        <w:rPr>
          <w:rFonts w:hint="eastAsia"/>
          <w:bCs/>
          <w:sz w:val="24"/>
        </w:rPr>
        <w:t>如法律法规或监管机构以后允许基金投资其他品种，基金管理人在履行适当程序后，可以将其纳入投资范围。</w:t>
      </w:r>
    </w:p>
    <w:p w14:paraId="5283A829" w14:textId="77777777" w:rsidR="007F0ECF" w:rsidRDefault="005B4DD9">
      <w:pPr>
        <w:adjustRightInd w:val="0"/>
        <w:spacing w:line="360" w:lineRule="auto"/>
        <w:ind w:firstLineChars="200" w:firstLine="480"/>
        <w:rPr>
          <w:bCs/>
          <w:sz w:val="24"/>
        </w:rPr>
      </w:pPr>
      <w:r>
        <w:rPr>
          <w:rFonts w:hint="eastAsia"/>
          <w:bCs/>
          <w:sz w:val="24"/>
        </w:rPr>
        <w:t>本基金投资于股票及存托凭证资产的比例不低于基金资产的</w:t>
      </w:r>
      <w:r>
        <w:rPr>
          <w:rFonts w:hint="eastAsia"/>
          <w:bCs/>
          <w:sz w:val="24"/>
        </w:rPr>
        <w:t>80%</w:t>
      </w:r>
      <w:r>
        <w:rPr>
          <w:rFonts w:hint="eastAsia"/>
          <w:bCs/>
          <w:sz w:val="24"/>
        </w:rPr>
        <w:t>，投资于标的指数成份股及其备选成份股（均含存托凭证）的资产不低于非现金基金资产的</w:t>
      </w:r>
      <w:r>
        <w:rPr>
          <w:rFonts w:hint="eastAsia"/>
          <w:bCs/>
          <w:sz w:val="24"/>
        </w:rPr>
        <w:t>80%</w:t>
      </w:r>
      <w:r>
        <w:rPr>
          <w:rFonts w:hint="eastAsia"/>
          <w:bCs/>
          <w:sz w:val="24"/>
        </w:rPr>
        <w:t>；投资于港股通标的股票的比例不超过股票资产的</w:t>
      </w:r>
      <w:r>
        <w:rPr>
          <w:rFonts w:hint="eastAsia"/>
          <w:bCs/>
          <w:sz w:val="24"/>
        </w:rPr>
        <w:t>50%</w:t>
      </w:r>
      <w:r>
        <w:rPr>
          <w:rFonts w:hint="eastAsia"/>
          <w:bCs/>
          <w:sz w:val="24"/>
        </w:rPr>
        <w:t>；每个交易日日终在扣除股指期货、国债期货、股票期权合约需缴纳的交易保证金后，现金或到期日在一年以内的政府债券投资比例不低于基金资产净值的</w:t>
      </w:r>
      <w:r>
        <w:rPr>
          <w:rFonts w:hint="eastAsia"/>
          <w:bCs/>
          <w:sz w:val="24"/>
        </w:rPr>
        <w:t>5%</w:t>
      </w:r>
      <w:r>
        <w:rPr>
          <w:rFonts w:hint="eastAsia"/>
          <w:bCs/>
          <w:sz w:val="24"/>
        </w:rPr>
        <w:t>，其中，现金不包括结算备付金、存出保证金、应收申购款等。</w:t>
      </w:r>
    </w:p>
    <w:p w14:paraId="32BD7346" w14:textId="77777777" w:rsidR="007F0ECF" w:rsidRDefault="005B4DD9">
      <w:pPr>
        <w:adjustRightInd w:val="0"/>
        <w:spacing w:line="360" w:lineRule="auto"/>
        <w:ind w:firstLineChars="200" w:firstLine="480"/>
        <w:rPr>
          <w:bCs/>
          <w:sz w:val="24"/>
        </w:rPr>
      </w:pPr>
      <w:r>
        <w:rPr>
          <w:rFonts w:hint="eastAsia"/>
          <w:bCs/>
          <w:sz w:val="24"/>
        </w:rPr>
        <w:t>如法律法规或监管机构变更投资品种的投资比例限制，基金管理人在履行适当程序后，可以调整上述投资品种的投资比例。</w:t>
      </w:r>
    </w:p>
    <w:p w14:paraId="1FD6FCD8" w14:textId="77777777" w:rsidR="007F0ECF" w:rsidRDefault="005B4DD9">
      <w:pPr>
        <w:adjustRightInd w:val="0"/>
        <w:spacing w:line="360" w:lineRule="auto"/>
        <w:ind w:firstLineChars="200" w:firstLine="480"/>
        <w:rPr>
          <w:color w:val="000000"/>
          <w:sz w:val="24"/>
          <w:szCs w:val="24"/>
        </w:rPr>
      </w:pPr>
      <w:r>
        <w:rPr>
          <w:color w:val="000000"/>
          <w:sz w:val="24"/>
          <w:szCs w:val="24"/>
        </w:rPr>
        <w:t>（二）基金托管人根据有关法律法规的规定及基金合同的约定，对基金投资、融资比例进行监督。基金托管人按下述比例和调整期限进行监督：</w:t>
      </w:r>
    </w:p>
    <w:p w14:paraId="59D93747" w14:textId="77777777" w:rsidR="007F0ECF" w:rsidRDefault="005B4DD9">
      <w:pPr>
        <w:adjustRightInd w:val="0"/>
        <w:spacing w:line="360" w:lineRule="auto"/>
        <w:ind w:firstLineChars="200" w:firstLine="480"/>
        <w:rPr>
          <w:bCs/>
          <w:sz w:val="24"/>
        </w:rPr>
      </w:pPr>
      <w:bookmarkStart w:id="10" w:name="OLE_LINK8"/>
      <w:r>
        <w:rPr>
          <w:rFonts w:hint="eastAsia"/>
          <w:bCs/>
          <w:sz w:val="24"/>
        </w:rPr>
        <w:lastRenderedPageBreak/>
        <w:t>（</w:t>
      </w:r>
      <w:r>
        <w:rPr>
          <w:rFonts w:hint="eastAsia"/>
          <w:bCs/>
          <w:sz w:val="24"/>
        </w:rPr>
        <w:t>1</w:t>
      </w:r>
      <w:r>
        <w:rPr>
          <w:rFonts w:hint="eastAsia"/>
          <w:bCs/>
          <w:sz w:val="24"/>
        </w:rPr>
        <w:t>）本基金投资于股票及存托凭证资产的比例不低于基金资产的</w:t>
      </w:r>
      <w:r>
        <w:rPr>
          <w:rFonts w:hint="eastAsia"/>
          <w:bCs/>
          <w:sz w:val="24"/>
        </w:rPr>
        <w:t>80%</w:t>
      </w:r>
      <w:r>
        <w:rPr>
          <w:rFonts w:hint="eastAsia"/>
          <w:bCs/>
          <w:sz w:val="24"/>
        </w:rPr>
        <w:t>，投资于标的指数成份股及其备选成份股（均含存托凭证）资产的比例不低于非现金基金资产的</w:t>
      </w:r>
      <w:r>
        <w:rPr>
          <w:bCs/>
          <w:sz w:val="24"/>
        </w:rPr>
        <w:t>80%</w:t>
      </w:r>
      <w:r>
        <w:rPr>
          <w:rFonts w:hint="eastAsia"/>
          <w:bCs/>
          <w:sz w:val="24"/>
        </w:rPr>
        <w:t>；投资于港股通标的股票的比例不超过股票资产的</w:t>
      </w:r>
      <w:r>
        <w:rPr>
          <w:rFonts w:hint="eastAsia"/>
          <w:bCs/>
          <w:sz w:val="24"/>
        </w:rPr>
        <w:t>50%</w:t>
      </w:r>
      <w:r>
        <w:rPr>
          <w:rFonts w:hint="eastAsia"/>
          <w:bCs/>
          <w:sz w:val="24"/>
        </w:rPr>
        <w:t>；</w:t>
      </w:r>
    </w:p>
    <w:p w14:paraId="7D2A7C86" w14:textId="77777777" w:rsidR="007F0ECF" w:rsidRDefault="005B4DD9">
      <w:pPr>
        <w:adjustRightInd w:val="0"/>
        <w:spacing w:line="360" w:lineRule="auto"/>
        <w:ind w:firstLineChars="200" w:firstLine="480"/>
        <w:rPr>
          <w:bCs/>
          <w:sz w:val="24"/>
        </w:rPr>
      </w:pPr>
      <w:r>
        <w:rPr>
          <w:rFonts w:hint="eastAsia"/>
          <w:bCs/>
          <w:sz w:val="24"/>
        </w:rPr>
        <w:t>（</w:t>
      </w:r>
      <w:r>
        <w:rPr>
          <w:bCs/>
          <w:sz w:val="24"/>
        </w:rPr>
        <w:t>2</w:t>
      </w:r>
      <w:r>
        <w:rPr>
          <w:rFonts w:hint="eastAsia"/>
          <w:bCs/>
          <w:sz w:val="24"/>
        </w:rPr>
        <w:t>）每个交易日日终在扣除股指期货、国债期货、股票期权合约需缴纳的交易保证金后，保持不低于基金资产净值</w:t>
      </w:r>
      <w:r>
        <w:rPr>
          <w:bCs/>
          <w:sz w:val="24"/>
        </w:rPr>
        <w:t>5%</w:t>
      </w:r>
      <w:r>
        <w:rPr>
          <w:rFonts w:hint="eastAsia"/>
          <w:bCs/>
          <w:sz w:val="24"/>
        </w:rPr>
        <w:t>的现金或者到期日在一年以内的政府债券，其中，现金不包括结算备付金、存出保证金、应收申购款等；</w:t>
      </w:r>
    </w:p>
    <w:p w14:paraId="61F829CC" w14:textId="77777777" w:rsidR="007F0ECF" w:rsidRDefault="005B4DD9">
      <w:pPr>
        <w:adjustRightInd w:val="0"/>
        <w:spacing w:line="360" w:lineRule="auto"/>
        <w:ind w:firstLineChars="200" w:firstLine="480"/>
        <w:rPr>
          <w:bCs/>
          <w:sz w:val="24"/>
        </w:rPr>
      </w:pPr>
      <w:r>
        <w:rPr>
          <w:rFonts w:hint="eastAsia"/>
          <w:bCs/>
          <w:sz w:val="24"/>
        </w:rPr>
        <w:t>（</w:t>
      </w:r>
      <w:r>
        <w:rPr>
          <w:bCs/>
          <w:sz w:val="24"/>
        </w:rPr>
        <w:t>3</w:t>
      </w:r>
      <w:r>
        <w:rPr>
          <w:rFonts w:hint="eastAsia"/>
          <w:bCs/>
          <w:sz w:val="24"/>
        </w:rPr>
        <w:t>）本基金持有一家公司发行的证券，其市值（同一家公司在境内和香港同时上市的</w:t>
      </w:r>
      <w:r>
        <w:rPr>
          <w:rFonts w:hint="eastAsia"/>
          <w:bCs/>
          <w:sz w:val="24"/>
        </w:rPr>
        <w:t>A+H</w:t>
      </w:r>
      <w:r>
        <w:rPr>
          <w:rFonts w:hint="eastAsia"/>
          <w:bCs/>
          <w:sz w:val="24"/>
        </w:rPr>
        <w:t>股合并计算）不超过基金资产净值的</w:t>
      </w:r>
      <w:r>
        <w:rPr>
          <w:bCs/>
          <w:sz w:val="24"/>
        </w:rPr>
        <w:t>10</w:t>
      </w:r>
      <w:r>
        <w:rPr>
          <w:rFonts w:hint="eastAsia"/>
          <w:bCs/>
          <w:sz w:val="24"/>
        </w:rPr>
        <w:t>％，但完全按照标的指数的构成比例进行投资的部分不受此限制；</w:t>
      </w:r>
    </w:p>
    <w:p w14:paraId="0868608A" w14:textId="77777777" w:rsidR="007F0ECF" w:rsidRDefault="005B4DD9">
      <w:pPr>
        <w:adjustRightInd w:val="0"/>
        <w:spacing w:line="360" w:lineRule="auto"/>
        <w:ind w:firstLineChars="200" w:firstLine="480"/>
        <w:rPr>
          <w:bCs/>
          <w:sz w:val="24"/>
        </w:rPr>
      </w:pPr>
      <w:r>
        <w:rPr>
          <w:rFonts w:hint="eastAsia"/>
          <w:bCs/>
          <w:sz w:val="24"/>
        </w:rPr>
        <w:t>（</w:t>
      </w:r>
      <w:r>
        <w:rPr>
          <w:bCs/>
          <w:sz w:val="24"/>
        </w:rPr>
        <w:t>4</w:t>
      </w:r>
      <w:r>
        <w:rPr>
          <w:rFonts w:hint="eastAsia"/>
          <w:bCs/>
          <w:sz w:val="24"/>
        </w:rPr>
        <w:t>）本基金管理人管理的全部基金持有一家公司发行的证券（同一家公司在境内和香港同时上市的</w:t>
      </w:r>
      <w:r>
        <w:rPr>
          <w:rFonts w:hint="eastAsia"/>
          <w:bCs/>
          <w:sz w:val="24"/>
        </w:rPr>
        <w:t>A+H</w:t>
      </w:r>
      <w:r>
        <w:rPr>
          <w:rFonts w:hint="eastAsia"/>
          <w:bCs/>
          <w:sz w:val="24"/>
        </w:rPr>
        <w:t>股合并计算），不超过该证券的</w:t>
      </w:r>
      <w:r>
        <w:rPr>
          <w:bCs/>
          <w:sz w:val="24"/>
        </w:rPr>
        <w:t>10</w:t>
      </w:r>
      <w:r>
        <w:rPr>
          <w:rFonts w:hint="eastAsia"/>
          <w:bCs/>
          <w:sz w:val="24"/>
        </w:rPr>
        <w:t>％，但完全按照标的指数的构成比例进行投资的部分不受此限制；</w:t>
      </w:r>
    </w:p>
    <w:bookmarkEnd w:id="9"/>
    <w:p w14:paraId="274C310D" w14:textId="77777777" w:rsidR="007F0ECF" w:rsidRDefault="005B4DD9">
      <w:pPr>
        <w:adjustRightInd w:val="0"/>
        <w:spacing w:line="360" w:lineRule="auto"/>
        <w:ind w:firstLineChars="200" w:firstLine="480"/>
        <w:rPr>
          <w:bCs/>
          <w:sz w:val="24"/>
        </w:rPr>
      </w:pPr>
      <w:r>
        <w:rPr>
          <w:rFonts w:hint="eastAsia"/>
          <w:bCs/>
          <w:sz w:val="24"/>
        </w:rPr>
        <w:t>（</w:t>
      </w:r>
      <w:r>
        <w:rPr>
          <w:bCs/>
          <w:sz w:val="24"/>
        </w:rPr>
        <w:t>5</w:t>
      </w:r>
      <w:r>
        <w:rPr>
          <w:rFonts w:hint="eastAsia"/>
          <w:bCs/>
          <w:sz w:val="24"/>
        </w:rPr>
        <w:t>）本基金投资于同一原始权益人的各类资产支持证券的比例，不得超过基金资产净值的</w:t>
      </w:r>
      <w:r>
        <w:rPr>
          <w:bCs/>
          <w:sz w:val="24"/>
        </w:rPr>
        <w:t>10</w:t>
      </w:r>
      <w:r>
        <w:rPr>
          <w:rFonts w:hint="eastAsia"/>
          <w:bCs/>
          <w:sz w:val="24"/>
        </w:rPr>
        <w:t>％；</w:t>
      </w:r>
    </w:p>
    <w:p w14:paraId="31028BED" w14:textId="77777777" w:rsidR="007F0ECF" w:rsidRDefault="005B4DD9">
      <w:pPr>
        <w:adjustRightInd w:val="0"/>
        <w:spacing w:line="360" w:lineRule="auto"/>
        <w:ind w:firstLineChars="200" w:firstLine="480"/>
        <w:rPr>
          <w:bCs/>
          <w:sz w:val="24"/>
        </w:rPr>
      </w:pPr>
      <w:r>
        <w:rPr>
          <w:rFonts w:hint="eastAsia"/>
          <w:bCs/>
          <w:sz w:val="24"/>
        </w:rPr>
        <w:t>（</w:t>
      </w:r>
      <w:r>
        <w:rPr>
          <w:bCs/>
          <w:sz w:val="24"/>
        </w:rPr>
        <w:t>6</w:t>
      </w:r>
      <w:r>
        <w:rPr>
          <w:rFonts w:hint="eastAsia"/>
          <w:bCs/>
          <w:sz w:val="24"/>
        </w:rPr>
        <w:t>）本基金持有的全部资产支持证券，其市值不得超过基金资产净值的</w:t>
      </w:r>
      <w:r>
        <w:rPr>
          <w:bCs/>
          <w:sz w:val="24"/>
        </w:rPr>
        <w:t>20</w:t>
      </w:r>
      <w:r>
        <w:rPr>
          <w:rFonts w:hint="eastAsia"/>
          <w:bCs/>
          <w:sz w:val="24"/>
        </w:rPr>
        <w:t>％；</w:t>
      </w:r>
    </w:p>
    <w:p w14:paraId="49BED285" w14:textId="77777777" w:rsidR="007F0ECF" w:rsidRDefault="005B4DD9">
      <w:pPr>
        <w:adjustRightInd w:val="0"/>
        <w:spacing w:line="360" w:lineRule="auto"/>
        <w:ind w:firstLineChars="200" w:firstLine="480"/>
        <w:rPr>
          <w:bCs/>
          <w:sz w:val="24"/>
        </w:rPr>
      </w:pPr>
      <w:r>
        <w:rPr>
          <w:rFonts w:hint="eastAsia"/>
          <w:bCs/>
          <w:sz w:val="24"/>
        </w:rPr>
        <w:t>（</w:t>
      </w:r>
      <w:r>
        <w:rPr>
          <w:bCs/>
          <w:sz w:val="24"/>
        </w:rPr>
        <w:t>7</w:t>
      </w:r>
      <w:r>
        <w:rPr>
          <w:rFonts w:hint="eastAsia"/>
          <w:bCs/>
          <w:sz w:val="24"/>
        </w:rPr>
        <w:t>）本基金持有的同一</w:t>
      </w:r>
      <w:r>
        <w:rPr>
          <w:bCs/>
          <w:sz w:val="24"/>
        </w:rPr>
        <w:t>(</w:t>
      </w:r>
      <w:r>
        <w:rPr>
          <w:rFonts w:hint="eastAsia"/>
          <w:bCs/>
          <w:sz w:val="24"/>
        </w:rPr>
        <w:t>指同一信用级别</w:t>
      </w:r>
      <w:r>
        <w:rPr>
          <w:bCs/>
          <w:sz w:val="24"/>
        </w:rPr>
        <w:t>)</w:t>
      </w:r>
      <w:r>
        <w:rPr>
          <w:rFonts w:hint="eastAsia"/>
          <w:bCs/>
          <w:sz w:val="24"/>
        </w:rPr>
        <w:t>资产支持证券的比例，不得超过该资产支持证券规模的</w:t>
      </w:r>
      <w:r>
        <w:rPr>
          <w:bCs/>
          <w:sz w:val="24"/>
        </w:rPr>
        <w:t>10</w:t>
      </w:r>
      <w:r>
        <w:rPr>
          <w:rFonts w:hint="eastAsia"/>
          <w:bCs/>
          <w:sz w:val="24"/>
        </w:rPr>
        <w:t>％；</w:t>
      </w:r>
    </w:p>
    <w:p w14:paraId="389F26D6" w14:textId="77777777" w:rsidR="007F0ECF" w:rsidRDefault="005B4DD9">
      <w:pPr>
        <w:adjustRightInd w:val="0"/>
        <w:spacing w:line="360" w:lineRule="auto"/>
        <w:ind w:firstLineChars="200" w:firstLine="480"/>
        <w:rPr>
          <w:bCs/>
          <w:sz w:val="24"/>
        </w:rPr>
      </w:pPr>
      <w:r>
        <w:rPr>
          <w:rFonts w:hint="eastAsia"/>
          <w:bCs/>
          <w:sz w:val="24"/>
        </w:rPr>
        <w:t>（</w:t>
      </w:r>
      <w:r>
        <w:rPr>
          <w:bCs/>
          <w:sz w:val="24"/>
        </w:rPr>
        <w:t>8</w:t>
      </w:r>
      <w:r>
        <w:rPr>
          <w:rFonts w:hint="eastAsia"/>
          <w:bCs/>
          <w:sz w:val="24"/>
        </w:rPr>
        <w:t>）本基金管理人管理的全部基金投资于同一原始权益人的各类资产支持证券，不得超过其各类资产支持证券合计规模的</w:t>
      </w:r>
      <w:r>
        <w:rPr>
          <w:bCs/>
          <w:sz w:val="24"/>
        </w:rPr>
        <w:t>10</w:t>
      </w:r>
      <w:r>
        <w:rPr>
          <w:rFonts w:hint="eastAsia"/>
          <w:bCs/>
          <w:sz w:val="24"/>
        </w:rPr>
        <w:t>％；</w:t>
      </w:r>
    </w:p>
    <w:p w14:paraId="4CA1B682" w14:textId="77777777" w:rsidR="007F0ECF" w:rsidRDefault="005B4DD9">
      <w:pPr>
        <w:adjustRightInd w:val="0"/>
        <w:spacing w:line="360" w:lineRule="auto"/>
        <w:ind w:firstLineChars="200" w:firstLine="480"/>
        <w:rPr>
          <w:bCs/>
          <w:sz w:val="24"/>
        </w:rPr>
      </w:pPr>
      <w:r>
        <w:rPr>
          <w:rFonts w:hint="eastAsia"/>
          <w:bCs/>
          <w:sz w:val="24"/>
        </w:rPr>
        <w:t>（</w:t>
      </w:r>
      <w:r>
        <w:rPr>
          <w:bCs/>
          <w:sz w:val="24"/>
        </w:rPr>
        <w:t>9</w:t>
      </w:r>
      <w:r>
        <w:rPr>
          <w:rFonts w:hint="eastAsia"/>
          <w:bCs/>
          <w:sz w:val="24"/>
        </w:rPr>
        <w:t>）本基金应投资于信用级别评级为</w:t>
      </w:r>
      <w:r>
        <w:rPr>
          <w:bCs/>
          <w:sz w:val="24"/>
        </w:rPr>
        <w:t>BBB</w:t>
      </w:r>
      <w:r>
        <w:rPr>
          <w:rFonts w:hint="eastAsia"/>
          <w:bCs/>
          <w:sz w:val="24"/>
        </w:rPr>
        <w:t>以上</w:t>
      </w:r>
      <w:r>
        <w:rPr>
          <w:bCs/>
          <w:sz w:val="24"/>
        </w:rPr>
        <w:t>(</w:t>
      </w:r>
      <w:r>
        <w:rPr>
          <w:rFonts w:hint="eastAsia"/>
          <w:bCs/>
          <w:sz w:val="24"/>
        </w:rPr>
        <w:t>含</w:t>
      </w:r>
      <w:r>
        <w:rPr>
          <w:bCs/>
          <w:sz w:val="24"/>
        </w:rPr>
        <w:t>BBB)</w:t>
      </w:r>
      <w:r>
        <w:rPr>
          <w:rFonts w:hint="eastAsia"/>
          <w:bCs/>
          <w:sz w:val="24"/>
        </w:rPr>
        <w:t>的资产支持证券。基金持有资产支持证券期间，如果其信用等级下降、不再符合投资标准，应在评级报告发布之日起</w:t>
      </w:r>
      <w:r>
        <w:rPr>
          <w:bCs/>
          <w:sz w:val="24"/>
        </w:rPr>
        <w:t>3</w:t>
      </w:r>
      <w:r>
        <w:rPr>
          <w:rFonts w:hint="eastAsia"/>
          <w:bCs/>
          <w:sz w:val="24"/>
        </w:rPr>
        <w:t>个月内予以全部卖出；</w:t>
      </w:r>
    </w:p>
    <w:p w14:paraId="72E3801A" w14:textId="77777777" w:rsidR="007F0ECF" w:rsidRDefault="005B4DD9">
      <w:pPr>
        <w:adjustRightInd w:val="0"/>
        <w:spacing w:line="360" w:lineRule="auto"/>
        <w:ind w:firstLineChars="200" w:firstLine="480"/>
        <w:rPr>
          <w:bCs/>
          <w:sz w:val="24"/>
        </w:rPr>
      </w:pPr>
      <w:r>
        <w:rPr>
          <w:rFonts w:hint="eastAsia"/>
          <w:bCs/>
          <w:sz w:val="24"/>
        </w:rPr>
        <w:t>（</w:t>
      </w:r>
      <w:r>
        <w:rPr>
          <w:bCs/>
          <w:sz w:val="24"/>
        </w:rPr>
        <w:t>10</w:t>
      </w:r>
      <w:r>
        <w:rPr>
          <w:rFonts w:hint="eastAsia"/>
          <w:bCs/>
          <w:sz w:val="24"/>
        </w:rPr>
        <w:t>）基金财产参与股票发行申购，本基金所申报的金额不超过本基金的总资产，本基金所申报的股票数量不超过拟发行股票公司本次发行股票的总量；</w:t>
      </w:r>
    </w:p>
    <w:p w14:paraId="1CB64E59" w14:textId="77777777" w:rsidR="007F0ECF" w:rsidRDefault="005B4DD9">
      <w:pPr>
        <w:adjustRightInd w:val="0"/>
        <w:spacing w:line="360" w:lineRule="auto"/>
        <w:ind w:firstLineChars="200" w:firstLine="480"/>
        <w:rPr>
          <w:bCs/>
          <w:sz w:val="24"/>
        </w:rPr>
      </w:pPr>
      <w:bookmarkStart w:id="11" w:name="OLE_LINK2"/>
      <w:r>
        <w:rPr>
          <w:rFonts w:hint="eastAsia"/>
          <w:bCs/>
          <w:sz w:val="24"/>
        </w:rPr>
        <w:t>（</w:t>
      </w:r>
      <w:r>
        <w:rPr>
          <w:bCs/>
          <w:sz w:val="24"/>
        </w:rPr>
        <w:t>11</w:t>
      </w:r>
      <w:r>
        <w:rPr>
          <w:rFonts w:hint="eastAsia"/>
          <w:bCs/>
          <w:sz w:val="24"/>
        </w:rPr>
        <w:t>）本基金管理人管理的全部开放式基金持有一家上市公司发行的可流通股票，不得超过该上市公司可流通股票的</w:t>
      </w:r>
      <w:r>
        <w:rPr>
          <w:bCs/>
          <w:sz w:val="24"/>
        </w:rPr>
        <w:t>15%</w:t>
      </w:r>
      <w:r>
        <w:rPr>
          <w:rFonts w:hint="eastAsia"/>
          <w:bCs/>
          <w:sz w:val="24"/>
        </w:rPr>
        <w:t>；本基金管理人管理的全部投资组合持有一家上市公司发行的可流通股票，不得超过该上市公司可流通股票的</w:t>
      </w:r>
      <w:r>
        <w:rPr>
          <w:bCs/>
          <w:sz w:val="24"/>
        </w:rPr>
        <w:t>30%</w:t>
      </w:r>
      <w:r>
        <w:rPr>
          <w:rFonts w:hint="eastAsia"/>
          <w:bCs/>
          <w:sz w:val="24"/>
        </w:rPr>
        <w:t>；本基金完全按照标的指数的构成比例进行投资的部分可不受该比例限制；</w:t>
      </w:r>
    </w:p>
    <w:bookmarkEnd w:id="11"/>
    <w:p w14:paraId="18E86B33" w14:textId="77777777" w:rsidR="007F0ECF" w:rsidRDefault="005B4DD9">
      <w:pPr>
        <w:adjustRightInd w:val="0"/>
        <w:spacing w:line="360" w:lineRule="auto"/>
        <w:ind w:firstLineChars="200" w:firstLine="480"/>
        <w:rPr>
          <w:bCs/>
          <w:sz w:val="24"/>
        </w:rPr>
      </w:pPr>
      <w:r>
        <w:rPr>
          <w:rFonts w:hint="eastAsia"/>
          <w:bCs/>
          <w:sz w:val="24"/>
        </w:rPr>
        <w:t>（</w:t>
      </w:r>
      <w:r>
        <w:rPr>
          <w:bCs/>
          <w:sz w:val="24"/>
        </w:rPr>
        <w:t>12</w:t>
      </w:r>
      <w:r>
        <w:rPr>
          <w:rFonts w:hint="eastAsia"/>
          <w:bCs/>
          <w:sz w:val="24"/>
        </w:rPr>
        <w:t>）本基金参与股指期货、国债期货交易，应当遵守下列要求：本基金在</w:t>
      </w:r>
      <w:r>
        <w:rPr>
          <w:rFonts w:hint="eastAsia"/>
          <w:bCs/>
          <w:sz w:val="24"/>
        </w:rPr>
        <w:lastRenderedPageBreak/>
        <w:t>任何交易日日终，持有的买入国债期货和股指期货合约价值与有价证券市值之和，不得超过基金资产净值的</w:t>
      </w:r>
      <w:r>
        <w:rPr>
          <w:bCs/>
          <w:sz w:val="24"/>
        </w:rPr>
        <w:t>95%</w:t>
      </w:r>
      <w:r>
        <w:rPr>
          <w:rFonts w:hint="eastAsia"/>
          <w:bCs/>
          <w:sz w:val="24"/>
        </w:rPr>
        <w:t>；其中，有价证券指股票、债券（不含到期日在一年以内的政府债券）、资产支持证券、买入返售金融资产（不含质押式回购）等；</w:t>
      </w:r>
    </w:p>
    <w:p w14:paraId="27654637" w14:textId="77777777" w:rsidR="007F0ECF" w:rsidRDefault="005B4DD9">
      <w:pPr>
        <w:adjustRightInd w:val="0"/>
        <w:spacing w:line="360" w:lineRule="auto"/>
        <w:ind w:firstLineChars="200" w:firstLine="480"/>
        <w:rPr>
          <w:bCs/>
          <w:sz w:val="24"/>
        </w:rPr>
      </w:pPr>
      <w:r>
        <w:rPr>
          <w:rFonts w:hint="eastAsia"/>
          <w:bCs/>
          <w:sz w:val="24"/>
        </w:rPr>
        <w:t>（</w:t>
      </w:r>
      <w:r>
        <w:rPr>
          <w:bCs/>
          <w:sz w:val="24"/>
        </w:rPr>
        <w:t>13</w:t>
      </w:r>
      <w:r>
        <w:rPr>
          <w:rFonts w:hint="eastAsia"/>
          <w:bCs/>
          <w:sz w:val="24"/>
        </w:rPr>
        <w:t>）本基金在任何交易日日终，持有的买入股指期货合约价值，不得超过基金资产净值的</w:t>
      </w:r>
      <w:r>
        <w:rPr>
          <w:bCs/>
          <w:sz w:val="24"/>
        </w:rPr>
        <w:t>10%</w:t>
      </w:r>
      <w:r>
        <w:rPr>
          <w:rFonts w:hint="eastAsia"/>
          <w:bCs/>
          <w:sz w:val="24"/>
        </w:rPr>
        <w:t>；本基金在任何交易日日终，持有的卖出股指期货合约价值不得超过基金持有的股票总市值的</w:t>
      </w:r>
      <w:r>
        <w:rPr>
          <w:bCs/>
          <w:sz w:val="24"/>
        </w:rPr>
        <w:t>20%</w:t>
      </w:r>
      <w:r>
        <w:rPr>
          <w:rFonts w:hint="eastAsia"/>
          <w:bCs/>
          <w:sz w:val="24"/>
        </w:rPr>
        <w:t>；本基金在任何交易日内交易（不包括平仓）的股指期货合约的成交金额不得超过上一交易日基金资产净值的</w:t>
      </w:r>
      <w:r>
        <w:rPr>
          <w:bCs/>
          <w:sz w:val="24"/>
        </w:rPr>
        <w:t>20%</w:t>
      </w:r>
      <w:r>
        <w:rPr>
          <w:rFonts w:hint="eastAsia"/>
          <w:bCs/>
          <w:sz w:val="24"/>
        </w:rPr>
        <w:t>；</w:t>
      </w:r>
    </w:p>
    <w:p w14:paraId="734378C7" w14:textId="77777777" w:rsidR="007F0ECF" w:rsidRDefault="005B4DD9">
      <w:pPr>
        <w:adjustRightInd w:val="0"/>
        <w:spacing w:line="360" w:lineRule="auto"/>
        <w:ind w:firstLineChars="200" w:firstLine="480"/>
        <w:rPr>
          <w:bCs/>
          <w:sz w:val="24"/>
        </w:rPr>
      </w:pPr>
      <w:r>
        <w:rPr>
          <w:rFonts w:hint="eastAsia"/>
          <w:bCs/>
          <w:sz w:val="24"/>
        </w:rPr>
        <w:t>（</w:t>
      </w:r>
      <w:r>
        <w:rPr>
          <w:bCs/>
          <w:sz w:val="24"/>
        </w:rPr>
        <w:t>14</w:t>
      </w:r>
      <w:r>
        <w:rPr>
          <w:rFonts w:hint="eastAsia"/>
          <w:bCs/>
          <w:sz w:val="24"/>
        </w:rPr>
        <w:t>）本基金在任何交易日日终，持有的买入国债期货合约价值，不得超过基金资产净值的</w:t>
      </w:r>
      <w:r>
        <w:rPr>
          <w:bCs/>
          <w:sz w:val="24"/>
        </w:rPr>
        <w:t>15%</w:t>
      </w:r>
      <w:r>
        <w:rPr>
          <w:rFonts w:hint="eastAsia"/>
          <w:bCs/>
          <w:sz w:val="24"/>
        </w:rPr>
        <w:t>；本基金在任何交易日日终，持有的卖出国债期货合约价值不得超过基金持有的债券总市值的</w:t>
      </w:r>
      <w:r>
        <w:rPr>
          <w:bCs/>
          <w:sz w:val="24"/>
        </w:rPr>
        <w:t>30%</w:t>
      </w:r>
      <w:r>
        <w:rPr>
          <w:rFonts w:hint="eastAsia"/>
          <w:bCs/>
          <w:sz w:val="24"/>
        </w:rPr>
        <w:t>；本基金在任何交易日内交易（不包括平仓）的国债期货合约的成交金额不得超过上一交易日基金资产净值的</w:t>
      </w:r>
      <w:r>
        <w:rPr>
          <w:bCs/>
          <w:sz w:val="24"/>
        </w:rPr>
        <w:t>30%</w:t>
      </w:r>
      <w:r>
        <w:rPr>
          <w:rFonts w:hint="eastAsia"/>
          <w:bCs/>
          <w:sz w:val="24"/>
        </w:rPr>
        <w:t>；</w:t>
      </w:r>
    </w:p>
    <w:p w14:paraId="7E7D7176" w14:textId="77777777" w:rsidR="007F0ECF" w:rsidRDefault="005B4DD9">
      <w:pPr>
        <w:adjustRightInd w:val="0"/>
        <w:spacing w:line="360" w:lineRule="auto"/>
        <w:ind w:firstLineChars="200" w:firstLine="480"/>
        <w:rPr>
          <w:bCs/>
          <w:sz w:val="24"/>
        </w:rPr>
      </w:pPr>
      <w:r>
        <w:rPr>
          <w:rFonts w:hint="eastAsia"/>
          <w:bCs/>
          <w:sz w:val="24"/>
        </w:rPr>
        <w:t>（</w:t>
      </w:r>
      <w:r>
        <w:rPr>
          <w:bCs/>
          <w:sz w:val="24"/>
        </w:rPr>
        <w:t>15</w:t>
      </w:r>
      <w:r>
        <w:rPr>
          <w:rFonts w:hint="eastAsia"/>
          <w:bCs/>
          <w:sz w:val="24"/>
        </w:rPr>
        <w:t>）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2D76AFC8" w14:textId="77777777" w:rsidR="007F0ECF" w:rsidRDefault="005B4DD9">
      <w:pPr>
        <w:adjustRightInd w:val="0"/>
        <w:spacing w:line="360" w:lineRule="auto"/>
        <w:ind w:firstLineChars="200" w:firstLine="480"/>
        <w:rPr>
          <w:bCs/>
          <w:sz w:val="24"/>
        </w:rPr>
      </w:pPr>
      <w:r>
        <w:rPr>
          <w:rFonts w:hint="eastAsia"/>
          <w:bCs/>
          <w:sz w:val="24"/>
        </w:rPr>
        <w:t>（</w:t>
      </w:r>
      <w:r>
        <w:rPr>
          <w:bCs/>
          <w:sz w:val="24"/>
        </w:rPr>
        <w:t>16</w:t>
      </w:r>
      <w:r>
        <w:rPr>
          <w:rFonts w:hint="eastAsia"/>
          <w:bCs/>
          <w:sz w:val="24"/>
        </w:rPr>
        <w:t>）本基金总资产不得超过基金净资产的</w:t>
      </w:r>
      <w:r>
        <w:rPr>
          <w:bCs/>
          <w:sz w:val="24"/>
        </w:rPr>
        <w:t>140%</w:t>
      </w:r>
      <w:r>
        <w:rPr>
          <w:rFonts w:hint="eastAsia"/>
          <w:bCs/>
          <w:sz w:val="24"/>
        </w:rPr>
        <w:t>；</w:t>
      </w:r>
    </w:p>
    <w:p w14:paraId="3D42657F" w14:textId="77777777" w:rsidR="007F0ECF" w:rsidRDefault="005B4DD9">
      <w:pPr>
        <w:adjustRightInd w:val="0"/>
        <w:spacing w:line="360" w:lineRule="auto"/>
        <w:ind w:firstLineChars="200" w:firstLine="480"/>
        <w:rPr>
          <w:bCs/>
          <w:sz w:val="24"/>
        </w:rPr>
      </w:pPr>
      <w:r>
        <w:rPr>
          <w:rFonts w:hint="eastAsia"/>
          <w:bCs/>
          <w:sz w:val="24"/>
        </w:rPr>
        <w:t>（</w:t>
      </w:r>
      <w:r>
        <w:rPr>
          <w:bCs/>
          <w:sz w:val="24"/>
        </w:rPr>
        <w:t>17</w:t>
      </w:r>
      <w:r>
        <w:rPr>
          <w:rFonts w:hint="eastAsia"/>
          <w:bCs/>
          <w:sz w:val="24"/>
        </w:rPr>
        <w:t>）基金因未平仓的期权合约支付和收取的权利金总额不得超过基金资产净值的</w:t>
      </w:r>
      <w:r>
        <w:rPr>
          <w:bCs/>
          <w:sz w:val="24"/>
        </w:rPr>
        <w:t>10%</w:t>
      </w:r>
      <w:r>
        <w:rPr>
          <w:rFonts w:hint="eastAsia"/>
          <w:bCs/>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Pr>
          <w:bCs/>
          <w:sz w:val="24"/>
        </w:rPr>
        <w:t>20%</w:t>
      </w:r>
      <w:r>
        <w:rPr>
          <w:rFonts w:hint="eastAsia"/>
          <w:bCs/>
          <w:sz w:val="24"/>
        </w:rPr>
        <w:t>，其中，合约面值按照行权价乘以合约乘数计算；</w:t>
      </w:r>
    </w:p>
    <w:p w14:paraId="373C8ACF" w14:textId="77777777" w:rsidR="007F0ECF" w:rsidRDefault="005B4DD9">
      <w:pPr>
        <w:adjustRightInd w:val="0"/>
        <w:spacing w:line="360" w:lineRule="auto"/>
        <w:ind w:firstLineChars="200" w:firstLine="480"/>
        <w:rPr>
          <w:bCs/>
          <w:sz w:val="24"/>
        </w:rPr>
      </w:pPr>
      <w:r>
        <w:rPr>
          <w:rFonts w:hint="eastAsia"/>
          <w:bCs/>
          <w:sz w:val="24"/>
        </w:rPr>
        <w:t>（</w:t>
      </w:r>
      <w:r>
        <w:rPr>
          <w:bCs/>
          <w:sz w:val="24"/>
        </w:rPr>
        <w:t>18</w:t>
      </w:r>
      <w:r>
        <w:rPr>
          <w:rFonts w:hint="eastAsia"/>
          <w:bCs/>
          <w:sz w:val="24"/>
        </w:rPr>
        <w:t>）本基金主动投资于流动性受限资产的市值合计不得超过该基金资产净值的</w:t>
      </w:r>
      <w:r>
        <w:rPr>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28A60097" w14:textId="77777777" w:rsidR="007F0ECF" w:rsidRDefault="005B4DD9">
      <w:pPr>
        <w:adjustRightInd w:val="0"/>
        <w:spacing w:line="360" w:lineRule="auto"/>
        <w:ind w:firstLineChars="200" w:firstLine="480"/>
        <w:rPr>
          <w:bCs/>
          <w:sz w:val="24"/>
        </w:rPr>
      </w:pPr>
      <w:r>
        <w:rPr>
          <w:rFonts w:hint="eastAsia"/>
          <w:bCs/>
          <w:sz w:val="24"/>
        </w:rPr>
        <w:t>（</w:t>
      </w:r>
      <w:r>
        <w:rPr>
          <w:bCs/>
          <w:sz w:val="24"/>
        </w:rPr>
        <w:t>19</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14:paraId="03716F16" w14:textId="77777777" w:rsidR="007F0ECF" w:rsidRDefault="005B4DD9">
      <w:pPr>
        <w:adjustRightInd w:val="0"/>
        <w:spacing w:line="360" w:lineRule="auto"/>
        <w:ind w:firstLineChars="200" w:firstLine="480"/>
        <w:rPr>
          <w:bCs/>
          <w:sz w:val="24"/>
        </w:rPr>
      </w:pPr>
      <w:r>
        <w:rPr>
          <w:rFonts w:hint="eastAsia"/>
          <w:bCs/>
          <w:sz w:val="24"/>
        </w:rPr>
        <w:t>（</w:t>
      </w:r>
      <w:r>
        <w:rPr>
          <w:bCs/>
          <w:sz w:val="24"/>
        </w:rPr>
        <w:t>20</w:t>
      </w:r>
      <w:r>
        <w:rPr>
          <w:rFonts w:hint="eastAsia"/>
          <w:bCs/>
          <w:sz w:val="24"/>
        </w:rPr>
        <w:t>）任何交易日日终，本基金持有的融资买入股票与其他有价证券市值之</w:t>
      </w:r>
      <w:r>
        <w:rPr>
          <w:rFonts w:hint="eastAsia"/>
          <w:bCs/>
          <w:sz w:val="24"/>
        </w:rPr>
        <w:lastRenderedPageBreak/>
        <w:t>和，不得超过基金资产净值的</w:t>
      </w:r>
      <w:r>
        <w:rPr>
          <w:bCs/>
          <w:sz w:val="24"/>
        </w:rPr>
        <w:t>95%</w:t>
      </w:r>
      <w:r>
        <w:rPr>
          <w:rFonts w:hint="eastAsia"/>
          <w:bCs/>
          <w:sz w:val="24"/>
        </w:rPr>
        <w:t>；</w:t>
      </w:r>
    </w:p>
    <w:p w14:paraId="31BF4462" w14:textId="77777777" w:rsidR="007F0ECF" w:rsidRDefault="005B4DD9">
      <w:pPr>
        <w:adjustRightInd w:val="0"/>
        <w:spacing w:line="360" w:lineRule="auto"/>
        <w:ind w:firstLineChars="200" w:firstLine="480"/>
        <w:rPr>
          <w:bCs/>
          <w:sz w:val="24"/>
        </w:rPr>
      </w:pPr>
      <w:r>
        <w:rPr>
          <w:rFonts w:hint="eastAsia"/>
          <w:bCs/>
          <w:sz w:val="24"/>
        </w:rPr>
        <w:t>（</w:t>
      </w:r>
      <w:r>
        <w:rPr>
          <w:bCs/>
          <w:sz w:val="24"/>
        </w:rPr>
        <w:t>21</w:t>
      </w:r>
      <w:r>
        <w:rPr>
          <w:rFonts w:hint="eastAsia"/>
          <w:bCs/>
          <w:sz w:val="24"/>
        </w:rPr>
        <w:t>）本基金参与转融通证券出借业务应当符合以下要求：</w:t>
      </w:r>
    </w:p>
    <w:p w14:paraId="11AF2F95" w14:textId="77777777" w:rsidR="007F0ECF" w:rsidRDefault="005B4DD9">
      <w:pPr>
        <w:adjustRightInd w:val="0"/>
        <w:spacing w:line="360" w:lineRule="auto"/>
        <w:ind w:firstLineChars="200" w:firstLine="480"/>
        <w:rPr>
          <w:bCs/>
          <w:sz w:val="24"/>
        </w:rPr>
      </w:pPr>
      <w:r>
        <w:rPr>
          <w:bCs/>
          <w:sz w:val="24"/>
        </w:rPr>
        <w:t>1</w:t>
      </w:r>
      <w:r>
        <w:rPr>
          <w:rFonts w:hint="eastAsia"/>
          <w:bCs/>
          <w:sz w:val="24"/>
        </w:rPr>
        <w:t>）出借证券资产不得超过基金资产净值的</w:t>
      </w:r>
      <w:r>
        <w:rPr>
          <w:bCs/>
          <w:sz w:val="24"/>
        </w:rPr>
        <w:t>30%</w:t>
      </w:r>
      <w:r>
        <w:rPr>
          <w:rFonts w:hint="eastAsia"/>
          <w:bCs/>
          <w:sz w:val="24"/>
        </w:rPr>
        <w:t>，出借期限在</w:t>
      </w:r>
      <w:r>
        <w:rPr>
          <w:bCs/>
          <w:sz w:val="24"/>
        </w:rPr>
        <w:t>10</w:t>
      </w:r>
      <w:r>
        <w:rPr>
          <w:rFonts w:hint="eastAsia"/>
          <w:bCs/>
          <w:sz w:val="24"/>
        </w:rPr>
        <w:t>个交易日以上的出借证券应纳入流动性受限证券的范围；</w:t>
      </w:r>
    </w:p>
    <w:p w14:paraId="08C121A7" w14:textId="77777777" w:rsidR="007F0ECF" w:rsidRDefault="005B4DD9">
      <w:pPr>
        <w:adjustRightInd w:val="0"/>
        <w:spacing w:line="360" w:lineRule="auto"/>
        <w:ind w:firstLineChars="200" w:firstLine="480"/>
        <w:rPr>
          <w:bCs/>
          <w:sz w:val="24"/>
        </w:rPr>
      </w:pPr>
      <w:r>
        <w:rPr>
          <w:bCs/>
          <w:sz w:val="24"/>
        </w:rPr>
        <w:t>2</w:t>
      </w:r>
      <w:r>
        <w:rPr>
          <w:rFonts w:hint="eastAsia"/>
          <w:bCs/>
          <w:sz w:val="24"/>
        </w:rPr>
        <w:t>）参与出借业务的单只证券不得超过基金持有该证券总量的</w:t>
      </w:r>
      <w:r>
        <w:rPr>
          <w:bCs/>
          <w:sz w:val="24"/>
        </w:rPr>
        <w:t>50%</w:t>
      </w:r>
      <w:r>
        <w:rPr>
          <w:rFonts w:hint="eastAsia"/>
          <w:bCs/>
          <w:sz w:val="24"/>
        </w:rPr>
        <w:t>；</w:t>
      </w:r>
    </w:p>
    <w:p w14:paraId="7434B1D2" w14:textId="77777777" w:rsidR="007F0ECF" w:rsidRDefault="005B4DD9">
      <w:pPr>
        <w:adjustRightInd w:val="0"/>
        <w:spacing w:line="360" w:lineRule="auto"/>
        <w:ind w:firstLineChars="200" w:firstLine="480"/>
        <w:rPr>
          <w:bCs/>
          <w:sz w:val="24"/>
        </w:rPr>
      </w:pPr>
      <w:r>
        <w:rPr>
          <w:bCs/>
          <w:sz w:val="24"/>
        </w:rPr>
        <w:t>3</w:t>
      </w:r>
      <w:r>
        <w:rPr>
          <w:rFonts w:hint="eastAsia"/>
          <w:bCs/>
          <w:sz w:val="24"/>
        </w:rPr>
        <w:t>）最近</w:t>
      </w:r>
      <w:r>
        <w:rPr>
          <w:bCs/>
          <w:sz w:val="24"/>
        </w:rPr>
        <w:t>6</w:t>
      </w:r>
      <w:r>
        <w:rPr>
          <w:rFonts w:hint="eastAsia"/>
          <w:bCs/>
          <w:sz w:val="24"/>
        </w:rPr>
        <w:t>个月内日均基金资产净值不得低于</w:t>
      </w:r>
      <w:r>
        <w:rPr>
          <w:bCs/>
          <w:sz w:val="24"/>
        </w:rPr>
        <w:t>2</w:t>
      </w:r>
      <w:r>
        <w:rPr>
          <w:rFonts w:hint="eastAsia"/>
          <w:bCs/>
          <w:sz w:val="24"/>
        </w:rPr>
        <w:t>亿元；</w:t>
      </w:r>
    </w:p>
    <w:p w14:paraId="2496C14C" w14:textId="77777777" w:rsidR="007F0ECF" w:rsidRDefault="005B4DD9">
      <w:pPr>
        <w:adjustRightInd w:val="0"/>
        <w:spacing w:line="360" w:lineRule="auto"/>
        <w:ind w:firstLineChars="200" w:firstLine="480"/>
        <w:rPr>
          <w:bCs/>
          <w:sz w:val="24"/>
        </w:rPr>
      </w:pPr>
      <w:r>
        <w:rPr>
          <w:bCs/>
          <w:sz w:val="24"/>
        </w:rPr>
        <w:t>4</w:t>
      </w:r>
      <w:r>
        <w:rPr>
          <w:rFonts w:hint="eastAsia"/>
          <w:bCs/>
          <w:sz w:val="24"/>
        </w:rPr>
        <w:t>）本基金参与证券出借的平均剩余期限不得超过</w:t>
      </w:r>
      <w:r>
        <w:rPr>
          <w:bCs/>
          <w:sz w:val="24"/>
        </w:rPr>
        <w:t>30</w:t>
      </w:r>
      <w:r>
        <w:rPr>
          <w:rFonts w:hint="eastAsia"/>
          <w:bCs/>
          <w:sz w:val="24"/>
        </w:rPr>
        <w:t>天，平均剩余期限按照市值加权平均计算；</w:t>
      </w:r>
    </w:p>
    <w:p w14:paraId="46824BC3" w14:textId="77777777" w:rsidR="007F0ECF" w:rsidRDefault="005B4DD9">
      <w:pPr>
        <w:adjustRightInd w:val="0"/>
        <w:spacing w:line="360" w:lineRule="auto"/>
        <w:ind w:firstLineChars="200" w:firstLine="480"/>
        <w:rPr>
          <w:bCs/>
          <w:sz w:val="24"/>
        </w:rPr>
      </w:pPr>
      <w:r>
        <w:rPr>
          <w:rFonts w:hint="eastAsia"/>
          <w:bCs/>
          <w:sz w:val="24"/>
        </w:rPr>
        <w:t>因证券市场波动、上市公司合并、基金规模变动等基金管理人之外的因素致使基金投资不符合上述规定的，基金管理人不得新增转融通证券出借业务；</w:t>
      </w:r>
    </w:p>
    <w:p w14:paraId="0FA158CD" w14:textId="77777777" w:rsidR="007F0ECF" w:rsidRDefault="005B4DD9">
      <w:pPr>
        <w:adjustRightInd w:val="0"/>
        <w:spacing w:line="360" w:lineRule="auto"/>
        <w:ind w:firstLineChars="200" w:firstLine="480"/>
        <w:rPr>
          <w:bCs/>
          <w:sz w:val="24"/>
        </w:rPr>
      </w:pPr>
      <w:r>
        <w:rPr>
          <w:rFonts w:hint="eastAsia"/>
          <w:bCs/>
          <w:sz w:val="24"/>
        </w:rPr>
        <w:t>（</w:t>
      </w:r>
      <w:r>
        <w:rPr>
          <w:bCs/>
          <w:sz w:val="24"/>
        </w:rPr>
        <w:t>22</w:t>
      </w:r>
      <w:r>
        <w:rPr>
          <w:rFonts w:hint="eastAsia"/>
          <w:bCs/>
          <w:sz w:val="24"/>
        </w:rPr>
        <w:t>）本基金投资存托凭证的比例限制依照境内上市交易的股票执行，与境内上市交易的股票合并计算；</w:t>
      </w:r>
    </w:p>
    <w:p w14:paraId="3BD86599" w14:textId="77777777" w:rsidR="007F0ECF" w:rsidRDefault="005B4DD9">
      <w:pPr>
        <w:adjustRightInd w:val="0"/>
        <w:spacing w:line="360" w:lineRule="auto"/>
        <w:ind w:firstLineChars="200" w:firstLine="480"/>
        <w:rPr>
          <w:bCs/>
          <w:sz w:val="24"/>
        </w:rPr>
      </w:pPr>
      <w:r>
        <w:rPr>
          <w:rFonts w:hint="eastAsia"/>
          <w:bCs/>
          <w:sz w:val="24"/>
        </w:rPr>
        <w:t>（</w:t>
      </w:r>
      <w:r>
        <w:rPr>
          <w:bCs/>
          <w:sz w:val="24"/>
        </w:rPr>
        <w:t>23</w:t>
      </w:r>
      <w:r>
        <w:rPr>
          <w:rFonts w:hint="eastAsia"/>
          <w:bCs/>
          <w:sz w:val="24"/>
        </w:rPr>
        <w:t>）法律法规及中国证监会规定的和基金合同约定的其他投资限制。</w:t>
      </w:r>
    </w:p>
    <w:p w14:paraId="77BE701A" w14:textId="77777777" w:rsidR="007F0ECF" w:rsidRDefault="005B4DD9">
      <w:pPr>
        <w:adjustRightInd w:val="0"/>
        <w:spacing w:line="360" w:lineRule="auto"/>
        <w:ind w:firstLineChars="200" w:firstLine="480"/>
        <w:rPr>
          <w:bCs/>
          <w:sz w:val="24"/>
        </w:rPr>
      </w:pPr>
      <w:r>
        <w:rPr>
          <w:rFonts w:hint="eastAsia"/>
          <w:bCs/>
          <w:sz w:val="24"/>
        </w:rPr>
        <w:t>除上述第（</w:t>
      </w:r>
      <w:r>
        <w:rPr>
          <w:bCs/>
          <w:sz w:val="24"/>
        </w:rPr>
        <w:t>2</w:t>
      </w:r>
      <w:r>
        <w:rPr>
          <w:rFonts w:hint="eastAsia"/>
          <w:bCs/>
          <w:sz w:val="24"/>
        </w:rPr>
        <w:t>）、（</w:t>
      </w:r>
      <w:r>
        <w:rPr>
          <w:bCs/>
          <w:sz w:val="24"/>
        </w:rPr>
        <w:t>9</w:t>
      </w:r>
      <w:r>
        <w:rPr>
          <w:rFonts w:hint="eastAsia"/>
          <w:bCs/>
          <w:sz w:val="24"/>
        </w:rPr>
        <w:t>）、（</w:t>
      </w:r>
      <w:r>
        <w:rPr>
          <w:bCs/>
          <w:sz w:val="24"/>
        </w:rPr>
        <w:t>18</w:t>
      </w:r>
      <w:r>
        <w:rPr>
          <w:rFonts w:hint="eastAsia"/>
          <w:bCs/>
          <w:sz w:val="24"/>
        </w:rPr>
        <w:t>）、（</w:t>
      </w:r>
      <w:r>
        <w:rPr>
          <w:bCs/>
          <w:sz w:val="24"/>
        </w:rPr>
        <w:t>19</w:t>
      </w:r>
      <w:r>
        <w:rPr>
          <w:rFonts w:hint="eastAsia"/>
          <w:bCs/>
          <w:sz w:val="24"/>
        </w:rPr>
        <w:t>）、（</w:t>
      </w:r>
      <w:r>
        <w:rPr>
          <w:bCs/>
          <w:sz w:val="24"/>
        </w:rPr>
        <w:t>21</w:t>
      </w:r>
      <w:r>
        <w:rPr>
          <w:rFonts w:hint="eastAsia"/>
          <w:bCs/>
          <w:sz w:val="24"/>
        </w:rPr>
        <w:t>）项外，因证券、期货市场波动、证券发行人合并、基金规模变动、标的指数成份股调整、标的指数成份股流动性限制等基金管理人之外的因素致使基金投资比例不符合上述规定投资比例的，基金管理人应当在</w:t>
      </w:r>
      <w:r>
        <w:rPr>
          <w:bCs/>
          <w:sz w:val="24"/>
        </w:rPr>
        <w:t>10</w:t>
      </w:r>
      <w:r>
        <w:rPr>
          <w:rFonts w:hint="eastAsia"/>
          <w:bCs/>
          <w:sz w:val="24"/>
        </w:rPr>
        <w:t>个交易日内进行调整，但中国证监会规定的特殊情形除外。法律法规另有规定的，从其规定。</w:t>
      </w:r>
    </w:p>
    <w:p w14:paraId="5FDF8743" w14:textId="77777777" w:rsidR="007F0ECF" w:rsidRDefault="005B4DD9">
      <w:pPr>
        <w:adjustRightInd w:val="0"/>
        <w:spacing w:line="360"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基金合同生效之日起开始。法律法规或监管部门另有规定的，从其规定。</w:t>
      </w:r>
    </w:p>
    <w:p w14:paraId="066910DF" w14:textId="77777777" w:rsidR="007F0ECF" w:rsidRDefault="005B4DD9">
      <w:pPr>
        <w:spacing w:line="360" w:lineRule="auto"/>
        <w:ind w:firstLine="480"/>
        <w:rPr>
          <w:bCs/>
          <w:sz w:val="24"/>
          <w:szCs w:val="24"/>
        </w:rPr>
      </w:pPr>
      <w:r>
        <w:rPr>
          <w:rFonts w:hint="eastAsia"/>
          <w:bCs/>
          <w:sz w:val="24"/>
        </w:rPr>
        <w:t>如法律法规或监管部门对上述投资比例限制进行变更或取消上述限制，且适用于本基金，基金管理人在履行适当程序后，则本基金投资不再受相关限制或以变更后的规定为准。</w:t>
      </w:r>
    </w:p>
    <w:bookmarkEnd w:id="10"/>
    <w:p w14:paraId="07B8F17D" w14:textId="77777777" w:rsidR="007F0ECF" w:rsidRDefault="005B4DD9">
      <w:pPr>
        <w:adjustRightInd w:val="0"/>
        <w:spacing w:line="360" w:lineRule="auto"/>
        <w:ind w:firstLineChars="200" w:firstLine="480"/>
        <w:rPr>
          <w:color w:val="000000"/>
          <w:sz w:val="24"/>
          <w:szCs w:val="24"/>
        </w:rPr>
      </w:pPr>
      <w:r>
        <w:rPr>
          <w:color w:val="000000"/>
          <w:sz w:val="24"/>
          <w:szCs w:val="24"/>
        </w:rPr>
        <w:t>（三）基金托管人根据有关法律法规的规定及基金合同的约定，对本</w:t>
      </w:r>
      <w:r>
        <w:rPr>
          <w:rFonts w:hint="eastAsia"/>
          <w:color w:val="000000"/>
          <w:sz w:val="24"/>
          <w:szCs w:val="24"/>
        </w:rPr>
        <w:t>托管</w:t>
      </w:r>
      <w:r>
        <w:rPr>
          <w:color w:val="000000"/>
          <w:sz w:val="24"/>
          <w:szCs w:val="24"/>
        </w:rPr>
        <w:t>协议第十五条第</w:t>
      </w:r>
      <w:r>
        <w:rPr>
          <w:rFonts w:hint="eastAsia"/>
          <w:color w:val="000000"/>
          <w:sz w:val="24"/>
          <w:szCs w:val="24"/>
        </w:rPr>
        <w:t>（十一）</w:t>
      </w:r>
      <w:r>
        <w:rPr>
          <w:color w:val="000000"/>
          <w:sz w:val="24"/>
          <w:szCs w:val="24"/>
        </w:rPr>
        <w:t>项基金投资禁止行为进行监督。</w:t>
      </w:r>
    </w:p>
    <w:p w14:paraId="5D14FDE8" w14:textId="77777777" w:rsidR="007F0ECF" w:rsidRDefault="005B4DD9">
      <w:pPr>
        <w:spacing w:line="360" w:lineRule="auto"/>
        <w:ind w:firstLineChars="200" w:firstLine="480"/>
        <w:rPr>
          <w:color w:val="000000"/>
          <w:sz w:val="24"/>
          <w:szCs w:val="24"/>
        </w:rPr>
      </w:pPr>
      <w:r>
        <w:rPr>
          <w:color w:val="000000"/>
          <w:sz w:val="24"/>
          <w:szCs w:val="24"/>
        </w:rPr>
        <w:t>根据法律法规有关基金</w:t>
      </w:r>
      <w:r>
        <w:rPr>
          <w:rFonts w:hint="eastAsia"/>
          <w:color w:val="000000"/>
          <w:sz w:val="24"/>
          <w:szCs w:val="24"/>
        </w:rPr>
        <w:t>从事关联交易的规定，基金管理人和基金托管</w:t>
      </w:r>
      <w:r>
        <w:rPr>
          <w:color w:val="000000"/>
          <w:sz w:val="24"/>
          <w:szCs w:val="24"/>
        </w:rPr>
        <w:t>人应事先相互提供与本机构有控股关系的股东或与本机构有重大利害关系的公司名单</w:t>
      </w:r>
      <w:r>
        <w:rPr>
          <w:color w:val="000000"/>
          <w:sz w:val="24"/>
          <w:szCs w:val="24"/>
        </w:rPr>
        <w:lastRenderedPageBreak/>
        <w:t>及其更新，并以双方约定的方式提交，确保所提供的关联交易名单的真实性、完整性、全面性。基金管理人和基金托管人有责任保管真实、完整、全面的关联交易名单，并负责及时更新该名单。名单变更后基金管理人</w:t>
      </w:r>
      <w:r>
        <w:rPr>
          <w:rFonts w:hint="eastAsia"/>
          <w:color w:val="000000"/>
          <w:sz w:val="24"/>
          <w:szCs w:val="24"/>
        </w:rPr>
        <w:t>和基金托管人</w:t>
      </w:r>
      <w:r>
        <w:rPr>
          <w:color w:val="000000"/>
          <w:sz w:val="24"/>
          <w:szCs w:val="24"/>
        </w:rPr>
        <w:t>应及时发送另一方，</w:t>
      </w:r>
      <w:r>
        <w:rPr>
          <w:rFonts w:hint="eastAsia"/>
          <w:color w:val="000000"/>
          <w:sz w:val="24"/>
          <w:szCs w:val="24"/>
        </w:rPr>
        <w:t>另一方</w:t>
      </w:r>
      <w:r>
        <w:rPr>
          <w:color w:val="000000"/>
          <w:sz w:val="24"/>
          <w:szCs w:val="24"/>
        </w:rPr>
        <w:t>应及时确认已知名单的变更。如果基金托管人在运作中严格遵循了监督流程，基金管理人仍违规进行关联交易，并造成基金资产损失的，由基金管理人承担责任，</w:t>
      </w:r>
      <w:r>
        <w:rPr>
          <w:rFonts w:hint="eastAsia"/>
          <w:color w:val="000000"/>
          <w:sz w:val="24"/>
          <w:szCs w:val="24"/>
        </w:rPr>
        <w:t>基金托管人有权向中国证监会报告</w:t>
      </w:r>
      <w:r>
        <w:rPr>
          <w:color w:val="000000"/>
          <w:sz w:val="24"/>
          <w:szCs w:val="24"/>
        </w:rPr>
        <w:t>。</w:t>
      </w:r>
    </w:p>
    <w:p w14:paraId="680F1426" w14:textId="77777777" w:rsidR="007F0ECF" w:rsidRDefault="005B4DD9">
      <w:pPr>
        <w:adjustRightInd w:val="0"/>
        <w:spacing w:line="360" w:lineRule="auto"/>
        <w:ind w:firstLineChars="200" w:firstLine="480"/>
        <w:rPr>
          <w:color w:val="000000"/>
          <w:sz w:val="24"/>
          <w:szCs w:val="24"/>
        </w:rPr>
      </w:pPr>
      <w:bookmarkStart w:id="12" w:name="OLE_LINK9"/>
      <w:r>
        <w:rPr>
          <w:rFonts w:hint="eastAsia"/>
          <w:color w:val="000000"/>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bookmarkEnd w:id="12"/>
    <w:p w14:paraId="2584F483" w14:textId="77777777" w:rsidR="007F0ECF" w:rsidRDefault="005B4DD9">
      <w:pPr>
        <w:adjustRightInd w:val="0"/>
        <w:spacing w:line="360" w:lineRule="auto"/>
        <w:ind w:firstLine="480"/>
        <w:rPr>
          <w:color w:val="000000"/>
          <w:sz w:val="24"/>
          <w:szCs w:val="24"/>
        </w:rPr>
      </w:pPr>
      <w:r>
        <w:rPr>
          <w:color w:val="000000"/>
          <w:sz w:val="24"/>
          <w:szCs w:val="24"/>
        </w:rPr>
        <w:t>（四）基金托管人根据有关法律法规的规定及基金合同的约定，对基金管理人参与银行间债券市场进行监督。</w:t>
      </w:r>
    </w:p>
    <w:p w14:paraId="78A4FEFB" w14:textId="77777777" w:rsidR="007F0ECF" w:rsidRDefault="005B4DD9">
      <w:pPr>
        <w:adjustRightInd w:val="0"/>
        <w:spacing w:line="360" w:lineRule="auto"/>
        <w:ind w:firstLine="480"/>
        <w:rPr>
          <w:color w:val="000000"/>
          <w:sz w:val="24"/>
          <w:szCs w:val="24"/>
        </w:rPr>
      </w:pPr>
      <w:r>
        <w:rPr>
          <w:color w:val="000000"/>
          <w:sz w:val="24"/>
          <w:szCs w:val="24"/>
        </w:rPr>
        <w:t>基金管理人应在基金投资运作之前向基金托管人提供经慎重选择的、本基金适用的银行间债券市场交易对手名单</w:t>
      </w:r>
      <w:r>
        <w:rPr>
          <w:rFonts w:hint="eastAsia"/>
          <w:color w:val="000000"/>
          <w:sz w:val="24"/>
          <w:szCs w:val="24"/>
        </w:rPr>
        <w:t>，并约定各交易对手所适用的交易结算方式</w:t>
      </w:r>
      <w:r>
        <w:rPr>
          <w:color w:val="000000"/>
          <w:sz w:val="24"/>
          <w:szCs w:val="24"/>
        </w:rPr>
        <w:t>。基金托管人监督基金管理人是否按事前提供的银行间债券市场交易对手名单进行交易。基金管理人可以</w:t>
      </w:r>
      <w:r>
        <w:rPr>
          <w:rFonts w:hint="eastAsia"/>
          <w:color w:val="000000"/>
          <w:sz w:val="24"/>
          <w:szCs w:val="24"/>
        </w:rPr>
        <w:t>定期</w:t>
      </w:r>
      <w:r>
        <w:rPr>
          <w:color w:val="000000"/>
          <w:sz w:val="24"/>
          <w:szCs w:val="24"/>
        </w:rPr>
        <w:t>对银行间债券市场交易对手名单进行更新，如基金管理人根据市场情况需要临时调整银行间债券市场交易对手名单，应向基金托管人说明理由，在与交易对手发生交易前</w:t>
      </w:r>
      <w:r>
        <w:rPr>
          <w:color w:val="000000"/>
          <w:sz w:val="24"/>
          <w:szCs w:val="24"/>
        </w:rPr>
        <w:t>3</w:t>
      </w:r>
      <w:r>
        <w:rPr>
          <w:color w:val="000000"/>
          <w:sz w:val="24"/>
          <w:szCs w:val="24"/>
        </w:rPr>
        <w:t>个工作日内与基金托管人协商解决。</w:t>
      </w:r>
      <w:r>
        <w:rPr>
          <w:rFonts w:hint="eastAsia"/>
          <w:color w:val="000000"/>
          <w:sz w:val="24"/>
          <w:szCs w:val="24"/>
        </w:rPr>
        <w:t>基金管理人收到基金托管人书面确认后，被确认调整的名单开始生效，新名单生效前已与本次剔除的交易对手所进行但尚未结算的交易，仍应按照相关协议进行结算。</w:t>
      </w:r>
      <w:r>
        <w:rPr>
          <w:color w:val="000000"/>
          <w:sz w:val="24"/>
          <w:szCs w:val="24"/>
        </w:rPr>
        <w:t>基金管理人负责对交易对手的资信控制，按银行间债券市场的交易规则进行交易，基金托管人则根据银行间债券市场成交单对</w:t>
      </w:r>
      <w:r>
        <w:rPr>
          <w:rFonts w:hint="eastAsia"/>
          <w:color w:val="000000"/>
          <w:sz w:val="24"/>
          <w:szCs w:val="24"/>
        </w:rPr>
        <w:t>相关</w:t>
      </w:r>
      <w:r>
        <w:rPr>
          <w:color w:val="000000"/>
          <w:sz w:val="24"/>
          <w:szCs w:val="24"/>
        </w:rPr>
        <w:t>合同履行情况进行监督</w:t>
      </w:r>
      <w:r>
        <w:rPr>
          <w:rFonts w:hint="eastAsia"/>
          <w:color w:val="000000"/>
          <w:sz w:val="24"/>
          <w:szCs w:val="24"/>
        </w:rPr>
        <w:t>，但不承担交易对手不履行合同造成的损失。如基金托管人事后发现基金管理人没有按照事先约定的交易对手或交易方式进行交易时，基金托管人应及时提醒基金管理人，基金托管人不承担由此造成的任何损失和责任</w:t>
      </w:r>
      <w:r>
        <w:rPr>
          <w:color w:val="000000"/>
          <w:sz w:val="24"/>
          <w:szCs w:val="24"/>
        </w:rPr>
        <w:t>。</w:t>
      </w:r>
    </w:p>
    <w:p w14:paraId="6CD6E8A1"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（五）基金托管人根据有关法律法规的规定及基金合同的约定，对基金管理</w:t>
      </w:r>
      <w:r>
        <w:rPr>
          <w:rFonts w:hint="eastAsia"/>
          <w:color w:val="000000"/>
          <w:sz w:val="24"/>
          <w:szCs w:val="24"/>
        </w:rPr>
        <w:lastRenderedPageBreak/>
        <w:t>人投资银行存款进行监督。</w:t>
      </w:r>
    </w:p>
    <w:p w14:paraId="0BA755AA"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基金投资银行存款的，基金管理人应根据法律法规的规定及基金合同的约定，建立投资制度、审慎选择存款银行，做好风险控制，并按照基金托管人的要求配合基金托管人完成相关业务办理。</w:t>
      </w:r>
    </w:p>
    <w:p w14:paraId="2AD91669" w14:textId="77777777" w:rsidR="007F0ECF" w:rsidRDefault="005B4DD9">
      <w:pPr>
        <w:adjustRightInd w:val="0"/>
        <w:spacing w:line="360" w:lineRule="auto"/>
        <w:ind w:firstLineChars="200" w:firstLine="480"/>
        <w:rPr>
          <w:color w:val="000000"/>
          <w:sz w:val="24"/>
          <w:szCs w:val="24"/>
        </w:rPr>
      </w:pPr>
      <w:bookmarkStart w:id="13" w:name="_Hlk145081758"/>
      <w:r>
        <w:rPr>
          <w:rFonts w:hint="eastAsia"/>
          <w:color w:val="000000"/>
          <w:sz w:val="24"/>
          <w:szCs w:val="24"/>
        </w:rPr>
        <w:t>（六）基金参与转融通证券出借业务，基金管理人应当遵守审慎经营原则，配备技术系统和专业人员，制定科学合理的投资策略和风险管理制度，完善业务流程，有效防范和控制风险。基金托管人将对基金参与转融通证券出借业务进行监督和复核。</w:t>
      </w:r>
      <w:bookmarkEnd w:id="13"/>
    </w:p>
    <w:p w14:paraId="2D8E00E6" w14:textId="77777777" w:rsidR="007F0ECF" w:rsidRDefault="005B4DD9">
      <w:pPr>
        <w:adjustRightInd w:val="0"/>
        <w:spacing w:line="360" w:lineRule="auto"/>
        <w:ind w:firstLineChars="200" w:firstLine="480"/>
        <w:rPr>
          <w:color w:val="000000"/>
          <w:sz w:val="24"/>
          <w:szCs w:val="24"/>
        </w:rPr>
      </w:pPr>
      <w:r>
        <w:rPr>
          <w:color w:val="000000"/>
          <w:sz w:val="24"/>
          <w:szCs w:val="24"/>
        </w:rPr>
        <w:t>（</w:t>
      </w:r>
      <w:r>
        <w:rPr>
          <w:rFonts w:hint="eastAsia"/>
          <w:color w:val="000000"/>
          <w:sz w:val="24"/>
          <w:szCs w:val="24"/>
        </w:rPr>
        <w:t>七</w:t>
      </w:r>
      <w:r>
        <w:rPr>
          <w:color w:val="000000"/>
          <w:sz w:val="24"/>
          <w:szCs w:val="24"/>
        </w:rPr>
        <w:t>）基金托管人根据有关法律法规的规定及基金合同的约定，对基金资产净值计算、</w:t>
      </w:r>
      <w:r>
        <w:rPr>
          <w:rFonts w:hint="eastAsia"/>
          <w:color w:val="000000"/>
          <w:sz w:val="24"/>
          <w:szCs w:val="24"/>
        </w:rPr>
        <w:t>各类</w:t>
      </w:r>
      <w:r>
        <w:rPr>
          <w:color w:val="000000"/>
          <w:sz w:val="24"/>
          <w:szCs w:val="24"/>
        </w:rPr>
        <w:t>基金份额净值计算、应收资金到账、基金费用开支及收入确定、基金收益分配、相关信息披露、基金宣传推介材料中登载基金业绩表现数据等进行监督和核查。</w:t>
      </w:r>
    </w:p>
    <w:p w14:paraId="3BC53C7D"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如果基金管理人未经基金托管人的审核擅自将不实的业绩表现数据印制在宣传推介材料上，</w:t>
      </w:r>
      <w:proofErr w:type="gramStart"/>
      <w:r>
        <w:rPr>
          <w:rFonts w:hint="eastAsia"/>
          <w:color w:val="000000"/>
          <w:sz w:val="24"/>
          <w:szCs w:val="24"/>
        </w:rPr>
        <w:t>则基金</w:t>
      </w:r>
      <w:proofErr w:type="gramEnd"/>
      <w:r>
        <w:rPr>
          <w:rFonts w:hint="eastAsia"/>
          <w:color w:val="000000"/>
          <w:sz w:val="24"/>
          <w:szCs w:val="24"/>
        </w:rPr>
        <w:t>托管人对此不承担任何责任，并将在发现后立即报告中国证监会。</w:t>
      </w:r>
    </w:p>
    <w:p w14:paraId="18AE6573" w14:textId="77777777" w:rsidR="007F0ECF" w:rsidRDefault="005B4DD9">
      <w:pPr>
        <w:pStyle w:val="CharCharChar1"/>
        <w:spacing w:line="360" w:lineRule="auto"/>
        <w:ind w:firstLineChars="200" w:firstLine="480"/>
        <w:rPr>
          <w:sz w:val="24"/>
          <w:szCs w:val="24"/>
        </w:rPr>
      </w:pPr>
      <w:r>
        <w:rPr>
          <w:rFonts w:hint="eastAsia"/>
          <w:sz w:val="24"/>
          <w:szCs w:val="24"/>
        </w:rPr>
        <w:t>（八）基金托管人</w:t>
      </w:r>
      <w:r>
        <w:rPr>
          <w:sz w:val="24"/>
          <w:szCs w:val="24"/>
        </w:rPr>
        <w:t>根据有关法律法规的规定及基金合同的约定</w:t>
      </w:r>
      <w:r>
        <w:rPr>
          <w:rFonts w:hint="eastAsia"/>
          <w:sz w:val="24"/>
          <w:szCs w:val="24"/>
        </w:rPr>
        <w:t>，对基金投资流通受限证券进行监督。</w:t>
      </w:r>
    </w:p>
    <w:p w14:paraId="75769EAD" w14:textId="77777777" w:rsidR="007F0ECF" w:rsidRDefault="005B4DD9">
      <w:pPr>
        <w:pStyle w:val="CharCharChar1"/>
        <w:spacing w:line="360" w:lineRule="auto"/>
        <w:ind w:firstLineChars="200" w:firstLine="480"/>
        <w:rPr>
          <w:sz w:val="24"/>
          <w:szCs w:val="24"/>
        </w:rPr>
      </w:pPr>
      <w:r>
        <w:rPr>
          <w:sz w:val="24"/>
          <w:szCs w:val="24"/>
        </w:rPr>
        <w:t>1</w:t>
      </w:r>
      <w:r>
        <w:rPr>
          <w:sz w:val="24"/>
          <w:szCs w:val="24"/>
        </w:rPr>
        <w:t>、基金投资流通受限证券，应遵守《关于基金投资非公开发行股票等流通受限证券有关问题的通知》等有关法律法规规定。</w:t>
      </w:r>
    </w:p>
    <w:p w14:paraId="62B25200" w14:textId="77777777" w:rsidR="007F0ECF" w:rsidRDefault="005B4DD9">
      <w:pPr>
        <w:pStyle w:val="CharCharChar1"/>
        <w:spacing w:line="360" w:lineRule="auto"/>
        <w:ind w:firstLineChars="200" w:firstLine="480"/>
        <w:rPr>
          <w:sz w:val="24"/>
          <w:szCs w:val="24"/>
        </w:rPr>
      </w:pPr>
      <w:r>
        <w:rPr>
          <w:sz w:val="24"/>
          <w:szCs w:val="24"/>
        </w:rPr>
        <w:t>2</w:t>
      </w:r>
      <w:r>
        <w:rPr>
          <w:sz w:val="24"/>
          <w:szCs w:val="24"/>
        </w:rPr>
        <w:t>、流通受限证券，包括由</w:t>
      </w:r>
      <w:r>
        <w:rPr>
          <w:rFonts w:hint="eastAsia"/>
          <w:sz w:val="24"/>
          <w:szCs w:val="24"/>
        </w:rPr>
        <w:t>相关法律法规</w:t>
      </w:r>
      <w:r>
        <w:rPr>
          <w:sz w:val="24"/>
          <w:szCs w:val="24"/>
        </w:rPr>
        <w:t>规范的非公开发行股票、公开发行股票网下配售部分等在发行时明确一定期限锁定期的可交易证券</w:t>
      </w:r>
      <w:r>
        <w:rPr>
          <w:rFonts w:hint="eastAsia"/>
          <w:sz w:val="24"/>
          <w:szCs w:val="24"/>
        </w:rPr>
        <w:t>，</w:t>
      </w:r>
      <w:r>
        <w:rPr>
          <w:sz w:val="24"/>
          <w:szCs w:val="24"/>
        </w:rPr>
        <w:t>不包括由于发布重大消息或其他原因而临时停牌的证券、已发行未上市证券、回购交易中的质押</w:t>
      </w:r>
      <w:proofErr w:type="gramStart"/>
      <w:r>
        <w:rPr>
          <w:sz w:val="24"/>
          <w:szCs w:val="24"/>
        </w:rPr>
        <w:t>券</w:t>
      </w:r>
      <w:proofErr w:type="gramEnd"/>
      <w:r>
        <w:rPr>
          <w:sz w:val="24"/>
          <w:szCs w:val="24"/>
        </w:rPr>
        <w:t>等流通受限证券。</w:t>
      </w:r>
    </w:p>
    <w:p w14:paraId="6E00AD47" w14:textId="77777777" w:rsidR="007F0ECF" w:rsidRDefault="005B4DD9">
      <w:pPr>
        <w:pStyle w:val="CharCharChar1"/>
        <w:spacing w:line="360" w:lineRule="auto"/>
        <w:ind w:firstLineChars="200" w:firstLine="480"/>
        <w:rPr>
          <w:sz w:val="24"/>
          <w:szCs w:val="24"/>
        </w:rPr>
      </w:pPr>
      <w:r>
        <w:rPr>
          <w:sz w:val="24"/>
          <w:szCs w:val="24"/>
        </w:rPr>
        <w:t>3</w:t>
      </w:r>
      <w:r>
        <w:rPr>
          <w:sz w:val="24"/>
          <w:szCs w:val="24"/>
        </w:rPr>
        <w:t>、在首次投资流通受限证券之前，基金管理人应当制定相关投资决策流程、风险控制制度、流动性风险控制预案等规章制度。基金管理人应当根据基金流动</w:t>
      </w:r>
      <w:r>
        <w:rPr>
          <w:rFonts w:hint="eastAsia"/>
          <w:sz w:val="24"/>
          <w:szCs w:val="24"/>
        </w:rPr>
        <w:t>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w:t>
      </w:r>
    </w:p>
    <w:p w14:paraId="2B04707C" w14:textId="77777777" w:rsidR="007F0ECF" w:rsidRDefault="005B4DD9">
      <w:pPr>
        <w:pStyle w:val="CharCharChar1"/>
        <w:spacing w:line="360" w:lineRule="auto"/>
        <w:ind w:firstLineChars="200" w:firstLine="480"/>
        <w:rPr>
          <w:sz w:val="24"/>
          <w:szCs w:val="24"/>
        </w:rPr>
      </w:pPr>
      <w:r>
        <w:rPr>
          <w:sz w:val="24"/>
          <w:szCs w:val="24"/>
        </w:rPr>
        <w:lastRenderedPageBreak/>
        <w:t>4</w:t>
      </w:r>
      <w:r>
        <w:rPr>
          <w:rFonts w:hint="eastAsia"/>
          <w:sz w:val="24"/>
          <w:szCs w:val="24"/>
        </w:rPr>
        <w:t>、在投资流通受限证券之前，基金管理人应至少提前一个交易日向基金托管人提供有关流通受限证券的相关信息，具体应当包括但不限于如下文件（如有）：</w:t>
      </w:r>
    </w:p>
    <w:p w14:paraId="645C09E7" w14:textId="77777777" w:rsidR="007F0ECF" w:rsidRDefault="005B4DD9">
      <w:pPr>
        <w:pStyle w:val="CharCharChar1"/>
        <w:spacing w:line="360" w:lineRule="auto"/>
        <w:ind w:firstLineChars="200" w:firstLine="480"/>
        <w:rPr>
          <w:sz w:val="24"/>
          <w:szCs w:val="24"/>
        </w:rPr>
      </w:pPr>
      <w:r>
        <w:rPr>
          <w:rFonts w:hint="eastAsia"/>
          <w:sz w:val="24"/>
          <w:szCs w:val="24"/>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14:paraId="39F4E059" w14:textId="77777777" w:rsidR="007F0ECF" w:rsidRDefault="005B4DD9">
      <w:pPr>
        <w:pStyle w:val="Char"/>
        <w:spacing w:line="360" w:lineRule="auto"/>
        <w:ind w:firstLineChars="200" w:firstLine="480"/>
        <w:rPr>
          <w:sz w:val="24"/>
          <w:szCs w:val="24"/>
        </w:rPr>
      </w:pPr>
      <w:r>
        <w:rPr>
          <w:sz w:val="24"/>
          <w:szCs w:val="24"/>
        </w:rPr>
        <w:t>5</w:t>
      </w:r>
      <w:r>
        <w:rPr>
          <w:rFonts w:hint="eastAsia"/>
          <w:sz w:val="24"/>
          <w:szCs w:val="24"/>
        </w:rPr>
        <w:t>、</w:t>
      </w:r>
      <w:r>
        <w:rPr>
          <w:sz w:val="24"/>
          <w:szCs w:val="24"/>
        </w:rPr>
        <w:t>基金托管人在监督基金管理人投资流通受限证券的过程中，如</w:t>
      </w:r>
      <w:r>
        <w:rPr>
          <w:rFonts w:hint="eastAsia"/>
          <w:sz w:val="24"/>
          <w:szCs w:val="24"/>
        </w:rPr>
        <w:t>有合理理由</w:t>
      </w:r>
      <w:r>
        <w:rPr>
          <w:sz w:val="24"/>
          <w:szCs w:val="24"/>
        </w:rPr>
        <w:t>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任何责任，并有权报告中国证监会。</w:t>
      </w:r>
    </w:p>
    <w:p w14:paraId="024F92B9" w14:textId="77777777" w:rsidR="007F0ECF" w:rsidRDefault="005B4DD9">
      <w:pPr>
        <w:pStyle w:val="CharCharChar1"/>
        <w:spacing w:line="360" w:lineRule="auto"/>
        <w:ind w:firstLineChars="200" w:firstLine="480"/>
        <w:rPr>
          <w:sz w:val="24"/>
          <w:szCs w:val="24"/>
        </w:rPr>
      </w:pPr>
      <w:r>
        <w:rPr>
          <w:sz w:val="24"/>
          <w:szCs w:val="24"/>
        </w:rPr>
        <w:t>6</w:t>
      </w:r>
      <w:r>
        <w:rPr>
          <w:rFonts w:hint="eastAsia"/>
          <w:sz w:val="24"/>
          <w:szCs w:val="24"/>
        </w:rPr>
        <w:t>、基金管理人应保证基金投资的流通受限证券登记存管在本基金名下，并保证基金托管人能够正常查询。因基金管理</w:t>
      </w:r>
      <w:proofErr w:type="gramStart"/>
      <w:r>
        <w:rPr>
          <w:rFonts w:hint="eastAsia"/>
          <w:sz w:val="24"/>
          <w:szCs w:val="24"/>
        </w:rPr>
        <w:t>人原因</w:t>
      </w:r>
      <w:proofErr w:type="gramEnd"/>
      <w:r>
        <w:rPr>
          <w:rFonts w:hint="eastAsia"/>
          <w:sz w:val="24"/>
          <w:szCs w:val="24"/>
        </w:rPr>
        <w:t>产生的流通受限证券登记存管问题，造成基金财产的损失或基金托管人无法安全保管基金财产的责任与损失，由基金管理人承担。</w:t>
      </w:r>
    </w:p>
    <w:p w14:paraId="41BC7542" w14:textId="77777777" w:rsidR="007F0ECF" w:rsidRDefault="005B4DD9">
      <w:pPr>
        <w:pStyle w:val="CharCharChar1"/>
        <w:spacing w:line="360" w:lineRule="auto"/>
        <w:ind w:firstLineChars="200" w:firstLine="480"/>
        <w:rPr>
          <w:sz w:val="24"/>
          <w:szCs w:val="24"/>
        </w:rPr>
      </w:pPr>
      <w:r>
        <w:rPr>
          <w:sz w:val="24"/>
          <w:szCs w:val="24"/>
        </w:rPr>
        <w:t>7</w:t>
      </w:r>
      <w:r>
        <w:rPr>
          <w:rFonts w:hint="eastAsia"/>
          <w:sz w:val="24"/>
          <w:szCs w:val="24"/>
        </w:rPr>
        <w:t>、如果基金管理人未按照本托管协议的约定向基金托管人报送相关数据或者报送了虚假的数据，导致基金托管人不能履行基金托管人职责的，基金管理人应依法承担相应法律后果。除基金托管人未能依据基金合同及本托管协议履行职责外，因投资流通受限证券产生的损失，基金托管人按照本托管协议履行监督职责后不承担上述损失。</w:t>
      </w:r>
    </w:p>
    <w:p w14:paraId="75EB4BB4" w14:textId="77777777" w:rsidR="007F0ECF" w:rsidRDefault="005B4DD9">
      <w:pPr>
        <w:adjustRightInd w:val="0"/>
        <w:snapToGrid w:val="0"/>
        <w:spacing w:line="360" w:lineRule="auto"/>
        <w:ind w:firstLineChars="150" w:firstLine="360"/>
        <w:rPr>
          <w:sz w:val="24"/>
          <w:szCs w:val="24"/>
        </w:rPr>
      </w:pPr>
      <w:r>
        <w:rPr>
          <w:rFonts w:hint="eastAsia"/>
          <w:sz w:val="24"/>
          <w:szCs w:val="24"/>
        </w:rPr>
        <w:t>（九</w:t>
      </w:r>
      <w:r>
        <w:rPr>
          <w:sz w:val="24"/>
          <w:szCs w:val="24"/>
        </w:rPr>
        <w:t>）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前及时核对并以书面形式给基金托管人发出回函，就基金托管人的疑义进行解释或举证，说明违规原因及纠正期限，并保证在规定期限内及时改正。在上述规定期限内</w:t>
      </w:r>
      <w:r>
        <w:rPr>
          <w:rFonts w:hint="eastAsia"/>
          <w:sz w:val="24"/>
          <w:szCs w:val="24"/>
        </w:rPr>
        <w:t>，</w:t>
      </w:r>
      <w:r>
        <w:rPr>
          <w:sz w:val="24"/>
          <w:szCs w:val="24"/>
        </w:rPr>
        <w:t>基金托管人有权随时对通知事项进行复查</w:t>
      </w:r>
      <w:r>
        <w:rPr>
          <w:rFonts w:hint="eastAsia"/>
          <w:sz w:val="24"/>
          <w:szCs w:val="24"/>
        </w:rPr>
        <w:t>，</w:t>
      </w:r>
      <w:r>
        <w:rPr>
          <w:sz w:val="24"/>
          <w:szCs w:val="24"/>
        </w:rPr>
        <w:t>督促基金管理人改正。</w:t>
      </w:r>
      <w:r>
        <w:rPr>
          <w:rFonts w:hint="eastAsia"/>
          <w:sz w:val="24"/>
          <w:szCs w:val="24"/>
        </w:rPr>
        <w:t>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w:t>
      </w:r>
      <w:r>
        <w:rPr>
          <w:rFonts w:hint="eastAsia"/>
          <w:sz w:val="24"/>
          <w:szCs w:val="24"/>
        </w:rPr>
        <w:lastRenderedPageBreak/>
        <w:t>立即通知基金管理人，并报告中国证监会。</w:t>
      </w:r>
    </w:p>
    <w:p w14:paraId="5EC42A5B" w14:textId="77777777" w:rsidR="007F0ECF" w:rsidRDefault="005B4DD9">
      <w:pPr>
        <w:adjustRightInd w:val="0"/>
        <w:spacing w:line="360" w:lineRule="auto"/>
        <w:ind w:firstLine="480"/>
        <w:rPr>
          <w:color w:val="000000"/>
          <w:sz w:val="24"/>
          <w:szCs w:val="24"/>
        </w:rPr>
      </w:pPr>
      <w:r>
        <w:rPr>
          <w:sz w:val="24"/>
          <w:szCs w:val="24"/>
        </w:rPr>
        <w:t>（</w:t>
      </w:r>
      <w:r>
        <w:rPr>
          <w:rFonts w:hint="eastAsia"/>
          <w:sz w:val="24"/>
          <w:szCs w:val="24"/>
        </w:rPr>
        <w:t>十</w:t>
      </w:r>
      <w:r>
        <w:rPr>
          <w:sz w:val="24"/>
          <w:szCs w:val="24"/>
        </w:rPr>
        <w:t>）</w:t>
      </w:r>
      <w:r>
        <w:rPr>
          <w:rFonts w:hint="eastAsia"/>
          <w:sz w:val="24"/>
          <w:szCs w:val="24"/>
        </w:rPr>
        <w:t>基金管理人有义务配合和协助基</w:t>
      </w:r>
      <w:r>
        <w:rPr>
          <w:rFonts w:hint="eastAsia"/>
          <w:color w:val="000000"/>
          <w:sz w:val="24"/>
          <w:szCs w:val="24"/>
        </w:rPr>
        <w:t>金托管人依照法律法规、基金合同和本托管协议对基金业务执行核查。对基金托管人发出的书面提示，基金管理人应在规定时间内答复并改正，或就基金托管人的合理疑义进行解释或举证；</w:t>
      </w:r>
      <w:r>
        <w:rPr>
          <w:color w:val="000000"/>
          <w:sz w:val="24"/>
          <w:szCs w:val="24"/>
        </w:rPr>
        <w:t>对基金托管人按照法规要求需向中国证监会报送基金监督报告的事项，基金管理人应积极配合提供相关数据资料和制度等。</w:t>
      </w:r>
    </w:p>
    <w:p w14:paraId="2699C98A" w14:textId="77777777" w:rsidR="007F0ECF" w:rsidRDefault="005B4DD9">
      <w:pPr>
        <w:adjustRightInd w:val="0"/>
        <w:spacing w:line="360" w:lineRule="auto"/>
        <w:ind w:firstLine="480"/>
        <w:rPr>
          <w:color w:val="000000"/>
          <w:sz w:val="24"/>
          <w:szCs w:val="24"/>
        </w:rPr>
      </w:pPr>
      <w:r>
        <w:rPr>
          <w:color w:val="000000"/>
          <w:sz w:val="24"/>
          <w:szCs w:val="24"/>
        </w:rPr>
        <w:t>（</w:t>
      </w:r>
      <w:r>
        <w:rPr>
          <w:rFonts w:hint="eastAsia"/>
          <w:color w:val="000000"/>
          <w:sz w:val="24"/>
          <w:szCs w:val="24"/>
        </w:rPr>
        <w:t>十一</w:t>
      </w:r>
      <w:r>
        <w:rPr>
          <w:color w:val="000000"/>
          <w:sz w:val="24"/>
          <w:szCs w:val="24"/>
        </w:rPr>
        <w:t>）基金托管人发现基金管理人有重大违规行为，应及时报告中国证监会，同时通知基金管理人限期纠正，并将纠正结果报告中国证监会。基金管理人无正当理由，拒绝、阻挠</w:t>
      </w:r>
      <w:r>
        <w:rPr>
          <w:rFonts w:hint="eastAsia"/>
          <w:color w:val="000000"/>
          <w:sz w:val="24"/>
          <w:szCs w:val="24"/>
        </w:rPr>
        <w:t>基金托管人</w:t>
      </w:r>
      <w:r>
        <w:rPr>
          <w:color w:val="000000"/>
          <w:sz w:val="24"/>
          <w:szCs w:val="24"/>
        </w:rPr>
        <w:t>根据本</w:t>
      </w:r>
      <w:r>
        <w:rPr>
          <w:rFonts w:hint="eastAsia"/>
          <w:sz w:val="24"/>
          <w:szCs w:val="24"/>
        </w:rPr>
        <w:t>托管</w:t>
      </w:r>
      <w:r>
        <w:rPr>
          <w:color w:val="000000"/>
          <w:sz w:val="24"/>
          <w:szCs w:val="24"/>
        </w:rPr>
        <w:t>协议规定行使监督权，或采取拖延、欺诈等手段妨碍</w:t>
      </w:r>
      <w:r>
        <w:rPr>
          <w:rFonts w:hint="eastAsia"/>
          <w:color w:val="000000"/>
          <w:sz w:val="24"/>
          <w:szCs w:val="24"/>
        </w:rPr>
        <w:t>基金托管人</w:t>
      </w:r>
      <w:r>
        <w:rPr>
          <w:color w:val="000000"/>
          <w:sz w:val="24"/>
          <w:szCs w:val="24"/>
        </w:rPr>
        <w:t>进行有效监督，情节严重或经基金托管人提出警告仍不改正的，基金托管人应报告中国证监会。</w:t>
      </w:r>
    </w:p>
    <w:p w14:paraId="5D6D6803" w14:textId="77777777" w:rsidR="007F0ECF" w:rsidRDefault="005B4DD9">
      <w:pPr>
        <w:adjustRightInd w:val="0"/>
        <w:spacing w:line="360" w:lineRule="auto"/>
        <w:ind w:firstLine="480"/>
        <w:rPr>
          <w:color w:val="000000"/>
          <w:sz w:val="24"/>
          <w:szCs w:val="24"/>
        </w:rPr>
      </w:pPr>
      <w:r>
        <w:rPr>
          <w:rFonts w:hint="eastAsia"/>
          <w:color w:val="000000"/>
          <w:sz w:val="24"/>
          <w:szCs w:val="24"/>
        </w:rPr>
        <w:t>（十二）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color w:val="000000"/>
          <w:sz w:val="24"/>
          <w:szCs w:val="24"/>
        </w:rPr>
        <w:t>启用侧袋机制</w:t>
      </w:r>
      <w:proofErr w:type="gramEnd"/>
      <w:r>
        <w:rPr>
          <w:rFonts w:hint="eastAsia"/>
          <w:bCs/>
          <w:sz w:val="24"/>
        </w:rPr>
        <w:t>，无需召开基金份额持有人大会审议</w:t>
      </w:r>
      <w:r>
        <w:rPr>
          <w:rFonts w:hint="eastAsia"/>
          <w:color w:val="000000"/>
          <w:sz w:val="24"/>
          <w:szCs w:val="24"/>
        </w:rPr>
        <w:t>。</w:t>
      </w:r>
    </w:p>
    <w:p w14:paraId="26236492" w14:textId="77777777" w:rsidR="007F0ECF" w:rsidRDefault="005B4DD9">
      <w:pPr>
        <w:adjustRightInd w:val="0"/>
        <w:spacing w:line="360" w:lineRule="auto"/>
        <w:ind w:firstLine="480"/>
        <w:rPr>
          <w:color w:val="000000"/>
          <w:sz w:val="24"/>
          <w:szCs w:val="24"/>
        </w:rPr>
      </w:pPr>
      <w:r>
        <w:rPr>
          <w:rFonts w:hint="eastAsia"/>
          <w:color w:val="000000"/>
          <w:sz w:val="24"/>
          <w:szCs w:val="24"/>
        </w:rPr>
        <w:t>基金托管人依照相关法律法规的规定和基金合同的约定，对侧</w:t>
      </w:r>
      <w:proofErr w:type="gramStart"/>
      <w:r>
        <w:rPr>
          <w:rFonts w:hint="eastAsia"/>
          <w:color w:val="000000"/>
          <w:sz w:val="24"/>
          <w:szCs w:val="24"/>
        </w:rPr>
        <w:t>袋机制</w:t>
      </w:r>
      <w:proofErr w:type="gramEnd"/>
      <w:r>
        <w:rPr>
          <w:rFonts w:hint="eastAsia"/>
          <w:color w:val="000000"/>
          <w:sz w:val="24"/>
          <w:szCs w:val="24"/>
        </w:rPr>
        <w:t>启用、特定资产处置和信息披露等方面进行复核和监督。</w:t>
      </w:r>
      <w:proofErr w:type="gramStart"/>
      <w:r>
        <w:rPr>
          <w:rFonts w:hint="eastAsia"/>
          <w:color w:val="000000"/>
          <w:sz w:val="24"/>
          <w:szCs w:val="24"/>
        </w:rPr>
        <w:t>侧袋机制</w:t>
      </w:r>
      <w:proofErr w:type="gramEnd"/>
      <w:r>
        <w:rPr>
          <w:rFonts w:hint="eastAsia"/>
          <w:color w:val="000000"/>
          <w:sz w:val="24"/>
          <w:szCs w:val="24"/>
        </w:rPr>
        <w:t>实施期间的具体规则依照相关法律法规的规定和基金合同的约定执行。</w:t>
      </w:r>
    </w:p>
    <w:p w14:paraId="6B518799" w14:textId="77777777" w:rsidR="007F0ECF" w:rsidRDefault="007F0ECF">
      <w:pPr>
        <w:adjustRightInd w:val="0"/>
        <w:spacing w:line="360" w:lineRule="auto"/>
        <w:ind w:firstLine="480"/>
        <w:rPr>
          <w:color w:val="000000"/>
          <w:sz w:val="24"/>
          <w:szCs w:val="24"/>
        </w:rPr>
      </w:pPr>
    </w:p>
    <w:p w14:paraId="74D57CDC" w14:textId="77777777" w:rsidR="007F0ECF" w:rsidRDefault="005B4DD9">
      <w:pPr>
        <w:pStyle w:val="2"/>
        <w:spacing w:line="360" w:lineRule="auto"/>
        <w:jc w:val="center"/>
        <w:rPr>
          <w:rFonts w:ascii="Times New Roman" w:eastAsia="宋体" w:hAnsi="Times New Roman"/>
          <w:color w:val="000000"/>
          <w:sz w:val="30"/>
          <w:szCs w:val="30"/>
        </w:rPr>
      </w:pPr>
      <w:r>
        <w:rPr>
          <w:rFonts w:ascii="Times New Roman" w:eastAsia="宋体" w:hAnsi="Times New Roman"/>
          <w:color w:val="000000"/>
          <w:sz w:val="24"/>
          <w:szCs w:val="24"/>
        </w:rPr>
        <w:br w:type="page"/>
      </w:r>
      <w:bookmarkStart w:id="14" w:name="_Toc110830492"/>
      <w:bookmarkStart w:id="15" w:name="_Toc108512358"/>
      <w:bookmarkStart w:id="16" w:name="_Toc86649722"/>
      <w:bookmarkStart w:id="17" w:name="_Toc110765660"/>
      <w:bookmarkStart w:id="18" w:name="_Toc118212950"/>
      <w:bookmarkStart w:id="19" w:name="_Toc110761796"/>
      <w:bookmarkStart w:id="20" w:name="_Toc89163368"/>
      <w:bookmarkStart w:id="21" w:name="_Toc86223242"/>
      <w:bookmarkStart w:id="22" w:name="_Toc120435783"/>
      <w:bookmarkStart w:id="23" w:name="_Toc497759439"/>
      <w:bookmarkStart w:id="24" w:name="_Toc86225291"/>
      <w:bookmarkStart w:id="25" w:name="_Toc86726439"/>
      <w:bookmarkStart w:id="26" w:name="_Toc86737929"/>
      <w:bookmarkStart w:id="27" w:name="_Toc119402710"/>
      <w:bookmarkStart w:id="28" w:name="_Toc118972648"/>
      <w:bookmarkStart w:id="29" w:name="_Toc86727355"/>
      <w:bookmarkStart w:id="30" w:name="_Toc118774803"/>
      <w:r>
        <w:rPr>
          <w:rFonts w:ascii="Times New Roman" w:eastAsia="宋体" w:hAnsi="Times New Roman"/>
          <w:color w:val="000000"/>
          <w:sz w:val="30"/>
          <w:szCs w:val="30"/>
        </w:rPr>
        <w:lastRenderedPageBreak/>
        <w:t>四、基金管理人对基金托管人的业务核查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3D23F9EF" w14:textId="77777777" w:rsidR="007F0ECF" w:rsidRDefault="005B4DD9">
      <w:pPr>
        <w:adjustRightInd w:val="0"/>
        <w:spacing w:line="360" w:lineRule="auto"/>
        <w:ind w:firstLine="480"/>
        <w:rPr>
          <w:color w:val="000000"/>
          <w:sz w:val="24"/>
          <w:szCs w:val="24"/>
        </w:rPr>
      </w:pPr>
      <w:r>
        <w:rPr>
          <w:color w:val="000000"/>
          <w:sz w:val="24"/>
          <w:szCs w:val="24"/>
        </w:rPr>
        <w:t>（一）基金管理人对基金托管人履行托管职责情况进行核查，核查事项包括基金托管人安全保管基金财产、开设基金财产的资金账户和证券账户</w:t>
      </w:r>
      <w:r>
        <w:rPr>
          <w:rFonts w:hint="eastAsia"/>
          <w:color w:val="000000"/>
          <w:sz w:val="24"/>
          <w:szCs w:val="24"/>
        </w:rPr>
        <w:t>等投资所需账户</w:t>
      </w:r>
      <w:r>
        <w:rPr>
          <w:color w:val="000000"/>
          <w:sz w:val="24"/>
          <w:szCs w:val="24"/>
        </w:rPr>
        <w:t>、复核基金管理人计算的基金资产净值和</w:t>
      </w:r>
      <w:r>
        <w:rPr>
          <w:rFonts w:hint="eastAsia"/>
          <w:color w:val="000000"/>
          <w:sz w:val="24"/>
          <w:szCs w:val="24"/>
        </w:rPr>
        <w:t>各类</w:t>
      </w:r>
      <w:r>
        <w:rPr>
          <w:color w:val="000000"/>
          <w:sz w:val="24"/>
          <w:szCs w:val="24"/>
        </w:rPr>
        <w:t>基金份额净值、根据基金管理人指令办理清算交收、相关信息披露和监督基金投资运作等行为。</w:t>
      </w:r>
    </w:p>
    <w:p w14:paraId="283822F6" w14:textId="77777777" w:rsidR="007F0ECF" w:rsidRDefault="005B4DD9">
      <w:pPr>
        <w:adjustRightInd w:val="0"/>
        <w:spacing w:line="360" w:lineRule="auto"/>
        <w:ind w:firstLine="480"/>
        <w:rPr>
          <w:color w:val="000000"/>
          <w:sz w:val="24"/>
          <w:szCs w:val="24"/>
        </w:rPr>
      </w:pPr>
      <w:r>
        <w:rPr>
          <w:color w:val="000000"/>
          <w:sz w:val="24"/>
          <w:szCs w:val="24"/>
        </w:rPr>
        <w:t>（二）基金管理人发现基金托管人擅自挪用基金财产、未对基金财产实行分账管理、未执行或无故延迟执行基金管理人资金划拨指令、泄露基金投资信息等违反《基金法》、基金合同、本</w:t>
      </w:r>
      <w:r>
        <w:rPr>
          <w:rFonts w:hint="eastAsia"/>
          <w:sz w:val="24"/>
          <w:szCs w:val="24"/>
        </w:rPr>
        <w:t>托管</w:t>
      </w:r>
      <w:r>
        <w:rPr>
          <w:color w:val="000000"/>
          <w:sz w:val="24"/>
          <w:szCs w:val="24"/>
        </w:rPr>
        <w:t>协议及其他有关规定时，应及时以书面形式通知基金托管人限期纠正。基金托管人收到通知后应在下一工作日前及时核对并以书面形式给基金管理人发出回函，说明违规原因及纠正期限，并保证在规定期限内及时改正。在上述规定期限内，基金管理人有权随时对通知事项进行复查</w:t>
      </w:r>
      <w:r>
        <w:rPr>
          <w:rFonts w:hint="eastAsia"/>
          <w:color w:val="000000"/>
          <w:sz w:val="24"/>
          <w:szCs w:val="24"/>
        </w:rPr>
        <w:t>，</w:t>
      </w:r>
      <w:r>
        <w:rPr>
          <w:color w:val="000000"/>
          <w:sz w:val="24"/>
          <w:szCs w:val="24"/>
        </w:rPr>
        <w:t>督促基金托管人改正。基金托管人应积极配合基金管理人的核查行为，包括但不限于：提交相关资料以</w:t>
      </w:r>
      <w:proofErr w:type="gramStart"/>
      <w:r>
        <w:rPr>
          <w:color w:val="000000"/>
          <w:sz w:val="24"/>
          <w:szCs w:val="24"/>
        </w:rPr>
        <w:t>供基金</w:t>
      </w:r>
      <w:proofErr w:type="gramEnd"/>
      <w:r>
        <w:rPr>
          <w:color w:val="000000"/>
          <w:sz w:val="24"/>
          <w:szCs w:val="24"/>
        </w:rPr>
        <w:t>管理人核查托管财产的完整性和真实性，在规定时间内答复基金管理人并改正。</w:t>
      </w:r>
    </w:p>
    <w:p w14:paraId="0CA208BE" w14:textId="77777777" w:rsidR="007F0ECF" w:rsidRDefault="005B4DD9">
      <w:pPr>
        <w:adjustRightInd w:val="0"/>
        <w:spacing w:line="360" w:lineRule="auto"/>
        <w:ind w:firstLine="480"/>
        <w:rPr>
          <w:color w:val="000000"/>
          <w:sz w:val="24"/>
          <w:szCs w:val="24"/>
        </w:rPr>
      </w:pPr>
      <w:r>
        <w:rPr>
          <w:color w:val="000000"/>
          <w:sz w:val="24"/>
          <w:szCs w:val="24"/>
        </w:rPr>
        <w:t>（三）基金管理人发现基金托管人有重大违规行为，应及时报告中国证监会，同时通知基金托管人限期纠正，并将纠正结果报告中国证监会。基金托管人无正当理由，拒绝、阻挠</w:t>
      </w:r>
      <w:r>
        <w:rPr>
          <w:rFonts w:hint="eastAsia"/>
          <w:color w:val="000000"/>
          <w:sz w:val="24"/>
          <w:szCs w:val="24"/>
        </w:rPr>
        <w:t>基金管理人</w:t>
      </w:r>
      <w:r>
        <w:rPr>
          <w:color w:val="000000"/>
          <w:sz w:val="24"/>
          <w:szCs w:val="24"/>
        </w:rPr>
        <w:t>根据本</w:t>
      </w:r>
      <w:r>
        <w:rPr>
          <w:rFonts w:hint="eastAsia"/>
          <w:sz w:val="24"/>
          <w:szCs w:val="24"/>
        </w:rPr>
        <w:t>托管</w:t>
      </w:r>
      <w:r>
        <w:rPr>
          <w:color w:val="000000"/>
          <w:sz w:val="24"/>
          <w:szCs w:val="24"/>
        </w:rPr>
        <w:t>协议规定行使监督权，或采取拖延、欺诈等手段妨碍</w:t>
      </w:r>
      <w:r>
        <w:rPr>
          <w:rFonts w:hint="eastAsia"/>
          <w:color w:val="000000"/>
          <w:sz w:val="24"/>
          <w:szCs w:val="24"/>
        </w:rPr>
        <w:t>基金管理人</w:t>
      </w:r>
      <w:r>
        <w:rPr>
          <w:color w:val="000000"/>
          <w:sz w:val="24"/>
          <w:szCs w:val="24"/>
        </w:rPr>
        <w:t>进行有效监督，情节严重或经基金管理人提出警告仍不改正的，基金管理人应报告中国证监会。</w:t>
      </w:r>
    </w:p>
    <w:p w14:paraId="3F361E8A" w14:textId="77777777" w:rsidR="007F0ECF" w:rsidRDefault="005B4DD9">
      <w:pPr>
        <w:pStyle w:val="2"/>
        <w:spacing w:line="360" w:lineRule="auto"/>
        <w:jc w:val="center"/>
        <w:rPr>
          <w:rFonts w:ascii="Times New Roman" w:eastAsia="宋体" w:hAnsi="Times New Roman"/>
          <w:color w:val="000000"/>
          <w:sz w:val="30"/>
          <w:szCs w:val="30"/>
        </w:rPr>
      </w:pPr>
      <w:r>
        <w:rPr>
          <w:rFonts w:ascii="Times New Roman" w:eastAsia="宋体" w:hAnsi="Times New Roman"/>
          <w:color w:val="000000"/>
          <w:sz w:val="24"/>
          <w:szCs w:val="24"/>
        </w:rPr>
        <w:br w:type="page"/>
      </w:r>
      <w:bookmarkStart w:id="31" w:name="_Toc86225292"/>
      <w:bookmarkStart w:id="32" w:name="_Toc89163369"/>
      <w:bookmarkStart w:id="33" w:name="_Toc118972649"/>
      <w:bookmarkStart w:id="34" w:name="_Toc497759440"/>
      <w:bookmarkStart w:id="35" w:name="_Toc108512359"/>
      <w:bookmarkStart w:id="36" w:name="_Toc86726440"/>
      <w:bookmarkStart w:id="37" w:name="_Toc84234435"/>
      <w:bookmarkStart w:id="38" w:name="_Toc84234388"/>
      <w:bookmarkStart w:id="39" w:name="_Toc119402711"/>
      <w:bookmarkStart w:id="40" w:name="_Toc86223243"/>
      <w:bookmarkStart w:id="41" w:name="_Toc118212951"/>
      <w:bookmarkStart w:id="42" w:name="_Toc86649723"/>
      <w:bookmarkStart w:id="43" w:name="_Toc118774804"/>
      <w:bookmarkStart w:id="44" w:name="_Toc86727356"/>
      <w:bookmarkStart w:id="45" w:name="_Toc84133786"/>
      <w:bookmarkStart w:id="46" w:name="_Toc110761797"/>
      <w:bookmarkStart w:id="47" w:name="_Toc86737930"/>
      <w:bookmarkStart w:id="48" w:name="_Toc86204789"/>
      <w:bookmarkStart w:id="49" w:name="_Toc120435784"/>
      <w:bookmarkStart w:id="50" w:name="_Toc110830493"/>
      <w:bookmarkStart w:id="51" w:name="_Toc110765661"/>
      <w:r>
        <w:rPr>
          <w:rFonts w:ascii="Times New Roman" w:eastAsia="宋体" w:hAnsi="Times New Roman"/>
          <w:color w:val="000000"/>
          <w:sz w:val="30"/>
          <w:szCs w:val="30"/>
        </w:rPr>
        <w:lastRenderedPageBreak/>
        <w:t>五、基金财产的保管</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1A3E72D8" w14:textId="77777777" w:rsidR="007F0ECF" w:rsidRDefault="005B4DD9">
      <w:pPr>
        <w:adjustRightInd w:val="0"/>
        <w:spacing w:line="360" w:lineRule="auto"/>
        <w:ind w:firstLine="480"/>
        <w:rPr>
          <w:color w:val="000000"/>
          <w:sz w:val="24"/>
          <w:szCs w:val="24"/>
        </w:rPr>
      </w:pPr>
      <w:r>
        <w:rPr>
          <w:color w:val="000000"/>
          <w:sz w:val="24"/>
          <w:szCs w:val="24"/>
        </w:rPr>
        <w:t>（一）基金财产保管的原则</w:t>
      </w:r>
    </w:p>
    <w:p w14:paraId="68C892B8" w14:textId="77777777" w:rsidR="007F0ECF" w:rsidRDefault="005B4DD9">
      <w:pPr>
        <w:adjustRightInd w:val="0"/>
        <w:spacing w:line="360" w:lineRule="auto"/>
        <w:ind w:firstLine="480"/>
        <w:rPr>
          <w:color w:val="000000"/>
          <w:sz w:val="24"/>
          <w:szCs w:val="24"/>
        </w:rPr>
      </w:pPr>
      <w:r>
        <w:rPr>
          <w:color w:val="000000"/>
          <w:sz w:val="24"/>
          <w:szCs w:val="24"/>
        </w:rPr>
        <w:t>1</w:t>
      </w:r>
      <w:r>
        <w:rPr>
          <w:rFonts w:hint="eastAsia"/>
          <w:color w:val="000000"/>
          <w:sz w:val="24"/>
          <w:szCs w:val="24"/>
        </w:rPr>
        <w:t>、</w:t>
      </w:r>
      <w:r>
        <w:rPr>
          <w:color w:val="000000"/>
          <w:sz w:val="24"/>
          <w:szCs w:val="24"/>
        </w:rPr>
        <w:t>基金财产应独立于基金管理人、基金托管人</w:t>
      </w:r>
      <w:bookmarkStart w:id="52" w:name="_Hlk145081798"/>
      <w:r>
        <w:rPr>
          <w:rFonts w:hint="eastAsia"/>
          <w:color w:val="000000"/>
          <w:sz w:val="24"/>
          <w:szCs w:val="24"/>
        </w:rPr>
        <w:t>和证券</w:t>
      </w:r>
      <w:r>
        <w:rPr>
          <w:rFonts w:hint="eastAsia"/>
          <w:color w:val="000000"/>
          <w:sz w:val="24"/>
          <w:szCs w:val="24"/>
        </w:rPr>
        <w:t>/</w:t>
      </w:r>
      <w:r>
        <w:rPr>
          <w:rFonts w:hint="eastAsia"/>
          <w:color w:val="000000"/>
          <w:sz w:val="24"/>
          <w:szCs w:val="24"/>
        </w:rPr>
        <w:t>期货经纪机构</w:t>
      </w:r>
      <w:bookmarkEnd w:id="52"/>
      <w:r>
        <w:rPr>
          <w:color w:val="000000"/>
          <w:sz w:val="24"/>
          <w:szCs w:val="24"/>
        </w:rPr>
        <w:t>的固有财产。</w:t>
      </w:r>
    </w:p>
    <w:p w14:paraId="71B19D45" w14:textId="77777777" w:rsidR="007F0ECF" w:rsidRDefault="005B4DD9">
      <w:pPr>
        <w:adjustRightInd w:val="0"/>
        <w:spacing w:line="360" w:lineRule="auto"/>
        <w:ind w:firstLine="480"/>
        <w:rPr>
          <w:color w:val="000000"/>
          <w:sz w:val="24"/>
          <w:szCs w:val="24"/>
        </w:rPr>
      </w:pPr>
      <w:r>
        <w:rPr>
          <w:color w:val="000000"/>
          <w:sz w:val="24"/>
          <w:szCs w:val="24"/>
        </w:rPr>
        <w:t>2</w:t>
      </w:r>
      <w:r>
        <w:rPr>
          <w:rFonts w:hint="eastAsia"/>
          <w:color w:val="000000"/>
          <w:sz w:val="24"/>
          <w:szCs w:val="24"/>
        </w:rPr>
        <w:t>、</w:t>
      </w:r>
      <w:r>
        <w:rPr>
          <w:color w:val="000000"/>
          <w:sz w:val="24"/>
          <w:szCs w:val="24"/>
        </w:rPr>
        <w:t>基金托管人应安全保管基金财产。</w:t>
      </w:r>
      <w:r>
        <w:rPr>
          <w:rFonts w:hint="eastAsia"/>
          <w:color w:val="000000"/>
          <w:sz w:val="24"/>
          <w:szCs w:val="24"/>
        </w:rPr>
        <w:t>未经基金管理人依据合法程序</w:t>
      </w:r>
      <w:proofErr w:type="gramStart"/>
      <w:r>
        <w:rPr>
          <w:rFonts w:hint="eastAsia"/>
          <w:color w:val="000000"/>
          <w:sz w:val="24"/>
          <w:szCs w:val="24"/>
        </w:rPr>
        <w:t>作出</w:t>
      </w:r>
      <w:proofErr w:type="gramEnd"/>
      <w:r>
        <w:rPr>
          <w:rFonts w:hint="eastAsia"/>
          <w:color w:val="000000"/>
          <w:sz w:val="24"/>
          <w:szCs w:val="24"/>
        </w:rPr>
        <w:t>的合法合</w:t>
      </w:r>
      <w:proofErr w:type="gramStart"/>
      <w:r>
        <w:rPr>
          <w:rFonts w:hint="eastAsia"/>
          <w:color w:val="000000"/>
          <w:sz w:val="24"/>
          <w:szCs w:val="24"/>
        </w:rPr>
        <w:t>规</w:t>
      </w:r>
      <w:proofErr w:type="gramEnd"/>
      <w:r>
        <w:rPr>
          <w:rFonts w:hint="eastAsia"/>
          <w:color w:val="000000"/>
          <w:sz w:val="24"/>
          <w:szCs w:val="24"/>
        </w:rPr>
        <w:t>指令，基金托管人不得自行运用、处分、分配基金的任何财产。</w:t>
      </w:r>
    </w:p>
    <w:p w14:paraId="45EB46A5" w14:textId="77777777" w:rsidR="007F0ECF" w:rsidRDefault="005B4DD9">
      <w:pPr>
        <w:adjustRightInd w:val="0"/>
        <w:spacing w:line="360" w:lineRule="auto"/>
        <w:ind w:firstLine="480"/>
        <w:rPr>
          <w:color w:val="000000"/>
          <w:sz w:val="24"/>
          <w:szCs w:val="24"/>
        </w:rPr>
      </w:pPr>
      <w:r>
        <w:rPr>
          <w:color w:val="000000"/>
          <w:sz w:val="24"/>
          <w:szCs w:val="24"/>
        </w:rPr>
        <w:t>3</w:t>
      </w:r>
      <w:r>
        <w:rPr>
          <w:rFonts w:hint="eastAsia"/>
          <w:color w:val="000000"/>
          <w:sz w:val="24"/>
          <w:szCs w:val="24"/>
        </w:rPr>
        <w:t>、</w:t>
      </w:r>
      <w:r>
        <w:rPr>
          <w:color w:val="000000"/>
          <w:sz w:val="24"/>
          <w:szCs w:val="24"/>
        </w:rPr>
        <w:t>基金托管人按照规定开设基金财产的资金账户和证券账户</w:t>
      </w:r>
      <w:r>
        <w:rPr>
          <w:rFonts w:hint="eastAsia"/>
          <w:color w:val="000000"/>
          <w:sz w:val="24"/>
          <w:szCs w:val="24"/>
        </w:rPr>
        <w:t>等投资所需账户</w:t>
      </w:r>
      <w:r>
        <w:rPr>
          <w:color w:val="000000"/>
          <w:sz w:val="24"/>
          <w:szCs w:val="24"/>
        </w:rPr>
        <w:t>。</w:t>
      </w:r>
    </w:p>
    <w:p w14:paraId="6E01F50A" w14:textId="77777777" w:rsidR="007F0ECF" w:rsidRDefault="005B4DD9">
      <w:pPr>
        <w:adjustRightInd w:val="0"/>
        <w:spacing w:line="360" w:lineRule="auto"/>
        <w:ind w:firstLine="480"/>
        <w:rPr>
          <w:color w:val="000000"/>
          <w:sz w:val="24"/>
          <w:szCs w:val="24"/>
        </w:rPr>
      </w:pPr>
      <w:r>
        <w:rPr>
          <w:color w:val="000000"/>
          <w:sz w:val="24"/>
          <w:szCs w:val="24"/>
        </w:rPr>
        <w:t>4</w:t>
      </w:r>
      <w:r>
        <w:rPr>
          <w:rFonts w:hint="eastAsia"/>
          <w:color w:val="000000"/>
          <w:sz w:val="24"/>
          <w:szCs w:val="24"/>
        </w:rPr>
        <w:t>、</w:t>
      </w:r>
      <w:r>
        <w:rPr>
          <w:color w:val="000000"/>
          <w:sz w:val="24"/>
          <w:szCs w:val="24"/>
        </w:rPr>
        <w:t>基金托管人对所托管的不同基金财产分别设置账户，</w:t>
      </w:r>
      <w:r>
        <w:rPr>
          <w:rFonts w:hint="eastAsia"/>
          <w:color w:val="000000"/>
          <w:sz w:val="24"/>
          <w:szCs w:val="24"/>
        </w:rPr>
        <w:t>独立核算，</w:t>
      </w:r>
      <w:r>
        <w:rPr>
          <w:color w:val="000000"/>
          <w:sz w:val="24"/>
          <w:szCs w:val="24"/>
        </w:rPr>
        <w:t>确保基金财产的完整与独立。</w:t>
      </w:r>
    </w:p>
    <w:p w14:paraId="5C227D50" w14:textId="77777777" w:rsidR="007F0ECF" w:rsidRDefault="005B4DD9">
      <w:pPr>
        <w:adjustRightInd w:val="0"/>
        <w:spacing w:line="360" w:lineRule="auto"/>
        <w:ind w:firstLine="480"/>
        <w:rPr>
          <w:color w:val="000000"/>
          <w:sz w:val="24"/>
          <w:szCs w:val="24"/>
        </w:rPr>
      </w:pPr>
      <w:r>
        <w:rPr>
          <w:color w:val="000000"/>
          <w:sz w:val="24"/>
          <w:szCs w:val="24"/>
        </w:rPr>
        <w:t>5</w:t>
      </w:r>
      <w:r>
        <w:rPr>
          <w:rFonts w:hint="eastAsia"/>
          <w:color w:val="000000"/>
          <w:sz w:val="24"/>
          <w:szCs w:val="24"/>
        </w:rPr>
        <w:t>、</w:t>
      </w:r>
      <w:r>
        <w:rPr>
          <w:color w:val="000000"/>
          <w:sz w:val="24"/>
          <w:szCs w:val="24"/>
        </w:rPr>
        <w:t>基金托管人根据基金管理人的指令，按照基金合同和本</w:t>
      </w:r>
      <w:r>
        <w:rPr>
          <w:rFonts w:hint="eastAsia"/>
          <w:sz w:val="24"/>
          <w:szCs w:val="24"/>
        </w:rPr>
        <w:t>托管</w:t>
      </w:r>
      <w:r>
        <w:rPr>
          <w:color w:val="000000"/>
          <w:sz w:val="24"/>
          <w:szCs w:val="24"/>
        </w:rPr>
        <w:t>协议的约定保管基金财产，如有特殊情况双方可另行协商解决。</w:t>
      </w:r>
    </w:p>
    <w:p w14:paraId="322E497E" w14:textId="77777777" w:rsidR="007F0ECF" w:rsidRDefault="005B4DD9">
      <w:pPr>
        <w:adjustRightInd w:val="0"/>
        <w:spacing w:line="360" w:lineRule="auto"/>
        <w:ind w:firstLine="480"/>
        <w:rPr>
          <w:color w:val="000000"/>
          <w:sz w:val="24"/>
          <w:szCs w:val="24"/>
        </w:rPr>
      </w:pPr>
      <w:r>
        <w:rPr>
          <w:color w:val="000000"/>
          <w:sz w:val="24"/>
          <w:szCs w:val="24"/>
        </w:rPr>
        <w:t>6</w:t>
      </w:r>
      <w:r>
        <w:rPr>
          <w:rFonts w:hint="eastAsia"/>
          <w:color w:val="000000"/>
          <w:sz w:val="24"/>
          <w:szCs w:val="24"/>
        </w:rPr>
        <w:t>、</w:t>
      </w:r>
      <w:r>
        <w:rPr>
          <w:color w:val="000000"/>
          <w:sz w:val="24"/>
          <w:szCs w:val="24"/>
        </w:rPr>
        <w:t>对于因为基金投资产生的应收资产，应由基金管理人负责与有关当事人确定到账日期并通知基金托管人，到账日基金财产没有到达基金账户的，基金托管人应及时通知基金管理人采取措施进行催收。由此给基金</w:t>
      </w:r>
      <w:r>
        <w:rPr>
          <w:rFonts w:hint="eastAsia"/>
          <w:color w:val="000000"/>
          <w:sz w:val="24"/>
          <w:szCs w:val="24"/>
        </w:rPr>
        <w:t>财产</w:t>
      </w:r>
      <w:r>
        <w:rPr>
          <w:color w:val="000000"/>
          <w:sz w:val="24"/>
          <w:szCs w:val="24"/>
        </w:rPr>
        <w:t>造成损失的，基金托管人对此不承担任何责任</w:t>
      </w:r>
      <w:r>
        <w:rPr>
          <w:rFonts w:hint="eastAsia"/>
          <w:color w:val="000000"/>
          <w:sz w:val="24"/>
          <w:szCs w:val="24"/>
        </w:rPr>
        <w:t>，但应给予积极的配合和协助</w:t>
      </w:r>
      <w:r>
        <w:rPr>
          <w:color w:val="000000"/>
          <w:sz w:val="24"/>
          <w:szCs w:val="24"/>
        </w:rPr>
        <w:t>。</w:t>
      </w:r>
    </w:p>
    <w:p w14:paraId="34C64209" w14:textId="77777777" w:rsidR="007F0ECF" w:rsidRDefault="005B4DD9">
      <w:pPr>
        <w:adjustRightInd w:val="0"/>
        <w:spacing w:line="360" w:lineRule="auto"/>
        <w:ind w:firstLine="480"/>
        <w:rPr>
          <w:color w:val="000000"/>
          <w:sz w:val="24"/>
          <w:szCs w:val="24"/>
        </w:rPr>
      </w:pPr>
      <w:r>
        <w:rPr>
          <w:color w:val="000000"/>
          <w:sz w:val="24"/>
          <w:szCs w:val="24"/>
        </w:rPr>
        <w:t>7</w:t>
      </w:r>
      <w:r>
        <w:rPr>
          <w:rFonts w:hint="eastAsia"/>
          <w:color w:val="000000"/>
          <w:sz w:val="24"/>
          <w:szCs w:val="24"/>
        </w:rPr>
        <w:t>、</w:t>
      </w:r>
      <w:r>
        <w:rPr>
          <w:color w:val="000000"/>
          <w:sz w:val="24"/>
          <w:szCs w:val="24"/>
        </w:rPr>
        <w:t>除依据法律法规和基金合同的规定外，基金托管人不得委托第三人托管基金财产。</w:t>
      </w:r>
    </w:p>
    <w:p w14:paraId="34E03640" w14:textId="77777777" w:rsidR="007F0ECF" w:rsidRDefault="005B4DD9">
      <w:pPr>
        <w:adjustRightInd w:val="0"/>
        <w:spacing w:line="360" w:lineRule="auto"/>
        <w:ind w:firstLine="480"/>
        <w:rPr>
          <w:color w:val="000000"/>
          <w:sz w:val="24"/>
          <w:szCs w:val="24"/>
        </w:rPr>
      </w:pPr>
      <w:r>
        <w:rPr>
          <w:color w:val="000000"/>
          <w:sz w:val="24"/>
          <w:szCs w:val="24"/>
        </w:rPr>
        <w:t>（二）基金募集期间及募集资金的验资</w:t>
      </w:r>
    </w:p>
    <w:p w14:paraId="188E0D12" w14:textId="77777777" w:rsidR="007F0ECF" w:rsidRDefault="005B4DD9">
      <w:pPr>
        <w:adjustRightInd w:val="0"/>
        <w:spacing w:line="360" w:lineRule="auto"/>
        <w:ind w:firstLine="480"/>
        <w:rPr>
          <w:color w:val="000000"/>
          <w:sz w:val="24"/>
          <w:szCs w:val="24"/>
        </w:rPr>
      </w:pPr>
      <w:r>
        <w:rPr>
          <w:color w:val="000000"/>
          <w:sz w:val="24"/>
          <w:szCs w:val="24"/>
        </w:rPr>
        <w:t>1</w:t>
      </w:r>
      <w:r>
        <w:rPr>
          <w:rFonts w:hint="eastAsia"/>
          <w:color w:val="000000"/>
          <w:sz w:val="24"/>
          <w:szCs w:val="24"/>
        </w:rPr>
        <w:t>、</w:t>
      </w:r>
      <w:r>
        <w:rPr>
          <w:color w:val="000000"/>
          <w:sz w:val="24"/>
          <w:szCs w:val="24"/>
        </w:rPr>
        <w:t>基金募集期间的资金应存于基金管理人在</w:t>
      </w:r>
      <w:r>
        <w:rPr>
          <w:rFonts w:hint="eastAsia"/>
          <w:color w:val="000000"/>
          <w:sz w:val="24"/>
          <w:szCs w:val="24"/>
        </w:rPr>
        <w:t>具有托管资格的商业银行开设的</w:t>
      </w:r>
      <w:r>
        <w:rPr>
          <w:color w:val="000000"/>
          <w:sz w:val="24"/>
          <w:szCs w:val="24"/>
        </w:rPr>
        <w:t>基金</w:t>
      </w:r>
      <w:r>
        <w:rPr>
          <w:rFonts w:hint="eastAsia"/>
          <w:color w:val="000000"/>
          <w:sz w:val="24"/>
          <w:szCs w:val="24"/>
        </w:rPr>
        <w:t>认购专户。</w:t>
      </w:r>
      <w:r>
        <w:rPr>
          <w:color w:val="000000"/>
          <w:sz w:val="24"/>
          <w:szCs w:val="24"/>
        </w:rPr>
        <w:t>该账户由基金管理人开立并管理。</w:t>
      </w:r>
    </w:p>
    <w:p w14:paraId="1C981A86" w14:textId="77777777" w:rsidR="007F0ECF" w:rsidRDefault="005B4DD9">
      <w:pPr>
        <w:adjustRightInd w:val="0"/>
        <w:spacing w:line="360" w:lineRule="auto"/>
        <w:ind w:firstLine="480"/>
        <w:rPr>
          <w:color w:val="000000"/>
          <w:sz w:val="24"/>
          <w:szCs w:val="24"/>
        </w:rPr>
      </w:pPr>
      <w:r>
        <w:rPr>
          <w:color w:val="000000"/>
          <w:sz w:val="24"/>
          <w:szCs w:val="24"/>
        </w:rPr>
        <w:t>2</w:t>
      </w:r>
      <w:r>
        <w:rPr>
          <w:rFonts w:hint="eastAsia"/>
          <w:color w:val="000000"/>
          <w:sz w:val="24"/>
          <w:szCs w:val="24"/>
        </w:rPr>
        <w:t>、</w:t>
      </w:r>
      <w:r>
        <w:rPr>
          <w:sz w:val="24"/>
          <w:szCs w:val="24"/>
        </w:rPr>
        <w:t>基金募集期满或基金</w:t>
      </w:r>
      <w:r>
        <w:rPr>
          <w:rFonts w:hint="eastAsia"/>
          <w:sz w:val="24"/>
          <w:szCs w:val="24"/>
        </w:rPr>
        <w:t>管理人决定</w:t>
      </w:r>
      <w:r>
        <w:rPr>
          <w:sz w:val="24"/>
          <w:szCs w:val="24"/>
        </w:rPr>
        <w:t>停止募集时，募集的基金份额总额、基金募集金额、基金份额持有人人数符合《基金法》、《运作办法》等有关规定后，基金管理人应将属于基金财产的全部资金划入基金托管人开立的基金</w:t>
      </w:r>
      <w:r>
        <w:rPr>
          <w:rFonts w:hint="eastAsia"/>
          <w:sz w:val="24"/>
          <w:szCs w:val="24"/>
        </w:rPr>
        <w:t>托管资金账户</w:t>
      </w:r>
      <w:r>
        <w:rPr>
          <w:sz w:val="24"/>
          <w:szCs w:val="24"/>
        </w:rPr>
        <w:t>，同时在规定时间内，聘请</w:t>
      </w:r>
      <w:r>
        <w:rPr>
          <w:rFonts w:hint="eastAsia"/>
          <w:sz w:val="24"/>
          <w:szCs w:val="24"/>
        </w:rPr>
        <w:t>符合《中华人民共和国证券法》规定</w:t>
      </w:r>
      <w:r>
        <w:rPr>
          <w:sz w:val="24"/>
          <w:szCs w:val="24"/>
        </w:rPr>
        <w:t>的会计师事务所进行验资，出具验资报告。出具的验资报告由参加验资的</w:t>
      </w:r>
      <w:r>
        <w:rPr>
          <w:sz w:val="24"/>
          <w:szCs w:val="24"/>
        </w:rPr>
        <w:t>2</w:t>
      </w:r>
      <w:r>
        <w:rPr>
          <w:sz w:val="24"/>
          <w:szCs w:val="24"/>
        </w:rPr>
        <w:t>名或</w:t>
      </w:r>
      <w:r>
        <w:rPr>
          <w:sz w:val="24"/>
          <w:szCs w:val="24"/>
        </w:rPr>
        <w:t>2</w:t>
      </w:r>
      <w:r>
        <w:rPr>
          <w:sz w:val="24"/>
          <w:szCs w:val="24"/>
        </w:rPr>
        <w:t>名以上中国注册会计师签字方为有效。</w:t>
      </w:r>
    </w:p>
    <w:p w14:paraId="123E35E3" w14:textId="77777777" w:rsidR="007F0ECF" w:rsidRDefault="005B4DD9">
      <w:pPr>
        <w:adjustRightInd w:val="0"/>
        <w:spacing w:line="360" w:lineRule="auto"/>
        <w:ind w:firstLine="480"/>
        <w:rPr>
          <w:color w:val="000000"/>
          <w:sz w:val="24"/>
          <w:szCs w:val="24"/>
        </w:rPr>
      </w:pPr>
      <w:r>
        <w:rPr>
          <w:color w:val="000000"/>
          <w:sz w:val="24"/>
          <w:szCs w:val="24"/>
        </w:rPr>
        <w:t>3</w:t>
      </w:r>
      <w:r>
        <w:rPr>
          <w:rFonts w:hint="eastAsia"/>
          <w:color w:val="000000"/>
          <w:sz w:val="24"/>
          <w:szCs w:val="24"/>
        </w:rPr>
        <w:t>、</w:t>
      </w:r>
      <w:proofErr w:type="gramStart"/>
      <w:r>
        <w:rPr>
          <w:color w:val="000000"/>
          <w:sz w:val="24"/>
          <w:szCs w:val="24"/>
        </w:rPr>
        <w:t>若基金</w:t>
      </w:r>
      <w:proofErr w:type="gramEnd"/>
      <w:r>
        <w:rPr>
          <w:color w:val="000000"/>
          <w:sz w:val="24"/>
          <w:szCs w:val="24"/>
        </w:rPr>
        <w:t>募集期限届满，未能达到基金合同生效的条件，由基金管理人按规定办理退款等事宜</w:t>
      </w:r>
      <w:r>
        <w:rPr>
          <w:rFonts w:hint="eastAsia"/>
          <w:color w:val="000000"/>
          <w:sz w:val="24"/>
          <w:szCs w:val="24"/>
        </w:rPr>
        <w:t>，基金托管人应提供充分协助</w:t>
      </w:r>
      <w:r>
        <w:rPr>
          <w:color w:val="000000"/>
          <w:sz w:val="24"/>
          <w:szCs w:val="24"/>
        </w:rPr>
        <w:t>。</w:t>
      </w:r>
    </w:p>
    <w:p w14:paraId="77A60992" w14:textId="77777777" w:rsidR="007F0ECF" w:rsidRDefault="005B4DD9">
      <w:pPr>
        <w:adjustRightInd w:val="0"/>
        <w:spacing w:line="360" w:lineRule="auto"/>
        <w:ind w:firstLine="480"/>
        <w:rPr>
          <w:color w:val="000000"/>
          <w:sz w:val="24"/>
          <w:szCs w:val="24"/>
        </w:rPr>
      </w:pPr>
      <w:r>
        <w:rPr>
          <w:color w:val="000000"/>
          <w:sz w:val="24"/>
          <w:szCs w:val="24"/>
        </w:rPr>
        <w:lastRenderedPageBreak/>
        <w:t>（三）基金</w:t>
      </w:r>
      <w:r>
        <w:rPr>
          <w:rFonts w:hint="eastAsia"/>
          <w:color w:val="000000"/>
          <w:sz w:val="24"/>
          <w:szCs w:val="24"/>
        </w:rPr>
        <w:t>托管</w:t>
      </w:r>
      <w:r>
        <w:rPr>
          <w:color w:val="000000"/>
          <w:sz w:val="24"/>
          <w:szCs w:val="24"/>
        </w:rPr>
        <w:t>资金账户的开立和管理</w:t>
      </w:r>
    </w:p>
    <w:p w14:paraId="37CA2A83" w14:textId="77777777" w:rsidR="007F0ECF" w:rsidRDefault="005B4DD9">
      <w:pPr>
        <w:adjustRightInd w:val="0"/>
        <w:spacing w:line="360" w:lineRule="auto"/>
        <w:ind w:firstLine="480"/>
        <w:rPr>
          <w:color w:val="000000"/>
          <w:sz w:val="24"/>
          <w:szCs w:val="24"/>
        </w:rPr>
      </w:pPr>
      <w:r>
        <w:rPr>
          <w:color w:val="000000"/>
          <w:sz w:val="24"/>
          <w:szCs w:val="24"/>
        </w:rPr>
        <w:t>1</w:t>
      </w:r>
      <w:r>
        <w:rPr>
          <w:color w:val="000000"/>
          <w:sz w:val="24"/>
          <w:szCs w:val="24"/>
        </w:rPr>
        <w:t>、基金托管人</w:t>
      </w:r>
      <w:r>
        <w:rPr>
          <w:rFonts w:hint="eastAsia"/>
          <w:sz w:val="24"/>
          <w:szCs w:val="24"/>
        </w:rPr>
        <w:t>应负责本基金的资金账户的开设和管理</w:t>
      </w:r>
      <w:r>
        <w:rPr>
          <w:color w:val="000000"/>
          <w:sz w:val="24"/>
          <w:szCs w:val="24"/>
        </w:rPr>
        <w:t>。</w:t>
      </w:r>
    </w:p>
    <w:p w14:paraId="61CDC2D2" w14:textId="77777777" w:rsidR="007F0ECF" w:rsidRDefault="005B4DD9">
      <w:pPr>
        <w:adjustRightInd w:val="0"/>
        <w:spacing w:line="360" w:lineRule="auto"/>
        <w:ind w:firstLine="480"/>
        <w:rPr>
          <w:sz w:val="24"/>
          <w:szCs w:val="24"/>
        </w:rPr>
      </w:pPr>
      <w:r>
        <w:rPr>
          <w:color w:val="000000"/>
          <w:sz w:val="24"/>
          <w:szCs w:val="24"/>
        </w:rPr>
        <w:t>2</w:t>
      </w:r>
      <w:r>
        <w:rPr>
          <w:color w:val="000000"/>
          <w:sz w:val="24"/>
          <w:szCs w:val="24"/>
        </w:rPr>
        <w:t>、</w:t>
      </w:r>
      <w:r>
        <w:rPr>
          <w:rFonts w:hint="eastAsia"/>
          <w:sz w:val="24"/>
          <w:szCs w:val="24"/>
        </w:rPr>
        <w:t>基金托管人应以本基金的名义在其营业机构开设本基金的资金账户</w:t>
      </w:r>
      <w:r>
        <w:rPr>
          <w:color w:val="000000"/>
          <w:sz w:val="24"/>
          <w:szCs w:val="24"/>
        </w:rPr>
        <w:t>，并根据基金管理人合法合</w:t>
      </w:r>
      <w:proofErr w:type="gramStart"/>
      <w:r>
        <w:rPr>
          <w:color w:val="000000"/>
          <w:sz w:val="24"/>
          <w:szCs w:val="24"/>
        </w:rPr>
        <w:t>规</w:t>
      </w:r>
      <w:proofErr w:type="gramEnd"/>
      <w:r>
        <w:rPr>
          <w:color w:val="000000"/>
          <w:sz w:val="24"/>
          <w:szCs w:val="24"/>
        </w:rPr>
        <w:t>的指令办理资金收付</w:t>
      </w:r>
      <w:r>
        <w:rPr>
          <w:rFonts w:hint="eastAsia"/>
          <w:sz w:val="24"/>
          <w:szCs w:val="24"/>
        </w:rPr>
        <w:t>。本基金的银行预留印鉴由基金托管人保管和使用。本基金的一切货币收支活动，包括但不限于投资、支付赎回金额、支付基金收益、收取申购款，均需通过本基金的资金账户进行。</w:t>
      </w:r>
    </w:p>
    <w:p w14:paraId="2DB7ED53" w14:textId="77777777" w:rsidR="007F0ECF" w:rsidRDefault="005B4DD9">
      <w:pPr>
        <w:adjustRightInd w:val="0"/>
        <w:spacing w:line="360" w:lineRule="auto"/>
        <w:ind w:firstLineChars="200" w:firstLine="480"/>
        <w:rPr>
          <w:color w:val="000000"/>
          <w:sz w:val="24"/>
          <w:szCs w:val="24"/>
        </w:rPr>
      </w:pPr>
      <w:r>
        <w:rPr>
          <w:sz w:val="24"/>
          <w:szCs w:val="24"/>
        </w:rPr>
        <w:t>3</w:t>
      </w:r>
      <w:r>
        <w:rPr>
          <w:sz w:val="24"/>
          <w:szCs w:val="24"/>
        </w:rPr>
        <w:t>、</w:t>
      </w:r>
      <w:r>
        <w:rPr>
          <w:color w:val="000000"/>
          <w:sz w:val="24"/>
          <w:szCs w:val="24"/>
        </w:rPr>
        <w:t>基金</w:t>
      </w:r>
      <w:r>
        <w:rPr>
          <w:rFonts w:hint="eastAsia"/>
          <w:color w:val="000000"/>
          <w:sz w:val="24"/>
          <w:szCs w:val="24"/>
        </w:rPr>
        <w:t>托管资金账户</w:t>
      </w:r>
      <w:r>
        <w:rPr>
          <w:color w:val="000000"/>
          <w:sz w:val="24"/>
          <w:szCs w:val="24"/>
        </w:rPr>
        <w:t>的开立和使用，限于满足开展本基金业务的需要。基金托管人和基金管理人不得假借本基金的名义开立任何其他银行账户；亦不得使用基金的任何账户进行本基金业务以外的活动。</w:t>
      </w:r>
    </w:p>
    <w:p w14:paraId="0418465F" w14:textId="77777777" w:rsidR="007F0ECF" w:rsidRDefault="005B4DD9">
      <w:pPr>
        <w:adjustRightInd w:val="0"/>
        <w:spacing w:line="360" w:lineRule="auto"/>
        <w:ind w:firstLineChars="200" w:firstLine="480"/>
        <w:rPr>
          <w:color w:val="000000"/>
          <w:sz w:val="24"/>
          <w:szCs w:val="24"/>
        </w:rPr>
      </w:pPr>
      <w:r>
        <w:rPr>
          <w:color w:val="000000"/>
          <w:sz w:val="24"/>
          <w:szCs w:val="24"/>
        </w:rPr>
        <w:t>4</w:t>
      </w:r>
      <w:r>
        <w:rPr>
          <w:color w:val="000000"/>
          <w:sz w:val="24"/>
          <w:szCs w:val="24"/>
        </w:rPr>
        <w:t>、基金</w:t>
      </w:r>
      <w:r>
        <w:rPr>
          <w:rFonts w:hint="eastAsia"/>
          <w:color w:val="000000"/>
          <w:sz w:val="24"/>
          <w:szCs w:val="24"/>
        </w:rPr>
        <w:t>托管</w:t>
      </w:r>
      <w:r>
        <w:rPr>
          <w:color w:val="000000"/>
          <w:sz w:val="24"/>
          <w:szCs w:val="24"/>
        </w:rPr>
        <w:t>资金账户的开立和管理应符合</w:t>
      </w:r>
      <w:r>
        <w:rPr>
          <w:rFonts w:hint="eastAsia"/>
          <w:color w:val="000000"/>
          <w:sz w:val="24"/>
          <w:szCs w:val="24"/>
        </w:rPr>
        <w:t>相关法律法规的有关</w:t>
      </w:r>
      <w:r>
        <w:rPr>
          <w:color w:val="000000"/>
          <w:sz w:val="24"/>
          <w:szCs w:val="24"/>
        </w:rPr>
        <w:t>规定。</w:t>
      </w:r>
    </w:p>
    <w:p w14:paraId="32506D59" w14:textId="77777777" w:rsidR="007F0ECF" w:rsidRDefault="005B4DD9">
      <w:pPr>
        <w:adjustRightInd w:val="0"/>
        <w:spacing w:line="360" w:lineRule="auto"/>
        <w:ind w:firstLineChars="200" w:firstLine="480"/>
        <w:rPr>
          <w:color w:val="000000"/>
          <w:sz w:val="24"/>
          <w:szCs w:val="24"/>
        </w:rPr>
      </w:pPr>
      <w:r>
        <w:rPr>
          <w:color w:val="000000"/>
          <w:sz w:val="24"/>
          <w:szCs w:val="24"/>
        </w:rPr>
        <w:t>5</w:t>
      </w:r>
      <w:r>
        <w:rPr>
          <w:color w:val="000000"/>
          <w:sz w:val="24"/>
          <w:szCs w:val="24"/>
        </w:rPr>
        <w:t>、在符合法律法规规定的条件下，基金托管人可以通过基金托管人专用账户办理基金资产的支付。</w:t>
      </w:r>
    </w:p>
    <w:p w14:paraId="527FCA12" w14:textId="77777777" w:rsidR="007F0ECF" w:rsidRDefault="005B4DD9">
      <w:pPr>
        <w:adjustRightInd w:val="0"/>
        <w:spacing w:line="360" w:lineRule="auto"/>
        <w:ind w:firstLine="480"/>
        <w:rPr>
          <w:color w:val="000000"/>
          <w:sz w:val="24"/>
          <w:szCs w:val="24"/>
        </w:rPr>
      </w:pPr>
      <w:r>
        <w:rPr>
          <w:color w:val="000000"/>
          <w:sz w:val="24"/>
          <w:szCs w:val="24"/>
        </w:rPr>
        <w:t>（四）基金证券账户</w:t>
      </w:r>
      <w:r>
        <w:rPr>
          <w:rFonts w:hint="eastAsia"/>
          <w:color w:val="000000"/>
          <w:sz w:val="24"/>
          <w:szCs w:val="24"/>
        </w:rPr>
        <w:t>和</w:t>
      </w:r>
      <w:bookmarkStart w:id="53" w:name="_Hlk145081812"/>
      <w:r>
        <w:rPr>
          <w:rFonts w:hint="eastAsia"/>
          <w:color w:val="000000"/>
          <w:sz w:val="24"/>
          <w:szCs w:val="24"/>
        </w:rPr>
        <w:t>证券交易资金账户</w:t>
      </w:r>
      <w:bookmarkEnd w:id="53"/>
      <w:r>
        <w:rPr>
          <w:color w:val="000000"/>
          <w:sz w:val="24"/>
          <w:szCs w:val="24"/>
        </w:rPr>
        <w:t>的开立和管理</w:t>
      </w:r>
    </w:p>
    <w:p w14:paraId="0B77ED1C" w14:textId="77777777" w:rsidR="007F0ECF" w:rsidRDefault="005B4DD9">
      <w:pPr>
        <w:adjustRightInd w:val="0"/>
        <w:spacing w:line="360" w:lineRule="auto"/>
        <w:ind w:firstLine="480"/>
        <w:rPr>
          <w:color w:val="000000"/>
          <w:sz w:val="24"/>
          <w:szCs w:val="24"/>
        </w:rPr>
      </w:pPr>
      <w:r>
        <w:rPr>
          <w:color w:val="000000"/>
          <w:sz w:val="24"/>
          <w:szCs w:val="24"/>
        </w:rPr>
        <w:t>1</w:t>
      </w:r>
      <w:r>
        <w:rPr>
          <w:rFonts w:hint="eastAsia"/>
          <w:color w:val="000000"/>
          <w:sz w:val="24"/>
          <w:szCs w:val="24"/>
        </w:rPr>
        <w:t>、</w:t>
      </w:r>
      <w:r>
        <w:rPr>
          <w:color w:val="000000"/>
          <w:sz w:val="24"/>
          <w:szCs w:val="24"/>
        </w:rPr>
        <w:t>基金托管人在中国证券登记结算有限责任公司为基金开立基金托管人与</w:t>
      </w:r>
      <w:r>
        <w:rPr>
          <w:rFonts w:hint="eastAsia"/>
          <w:color w:val="000000"/>
          <w:sz w:val="24"/>
          <w:szCs w:val="24"/>
        </w:rPr>
        <w:t>本</w:t>
      </w:r>
      <w:r>
        <w:rPr>
          <w:color w:val="000000"/>
          <w:sz w:val="24"/>
          <w:szCs w:val="24"/>
        </w:rPr>
        <w:t>基金联名的证券账户。</w:t>
      </w:r>
    </w:p>
    <w:p w14:paraId="329A1755" w14:textId="77777777" w:rsidR="007F0ECF" w:rsidRDefault="005B4DD9">
      <w:pPr>
        <w:adjustRightInd w:val="0"/>
        <w:spacing w:line="360" w:lineRule="auto"/>
        <w:ind w:firstLine="480"/>
        <w:rPr>
          <w:color w:val="000000"/>
          <w:sz w:val="24"/>
          <w:szCs w:val="24"/>
        </w:rPr>
      </w:pPr>
      <w:r>
        <w:rPr>
          <w:color w:val="000000"/>
          <w:sz w:val="24"/>
          <w:szCs w:val="24"/>
        </w:rPr>
        <w:t>2</w:t>
      </w:r>
      <w:r>
        <w:rPr>
          <w:rFonts w:hint="eastAsia"/>
          <w:color w:val="000000"/>
          <w:sz w:val="24"/>
          <w:szCs w:val="24"/>
        </w:rPr>
        <w:t>、</w:t>
      </w:r>
      <w:r>
        <w:rPr>
          <w:color w:val="000000"/>
          <w:sz w:val="24"/>
          <w:szCs w:val="24"/>
        </w:rPr>
        <w:t>基金证券账户的开立和使用，限于满足开展本基金业务的需要。基金托管人和基金管理人不得出借或未经对方同意擅自转让基金的任何证券账户，亦不得使用基金的任何账户进行本基金业务以外的活动。</w:t>
      </w:r>
    </w:p>
    <w:p w14:paraId="1295EA0C" w14:textId="77777777" w:rsidR="007F0ECF" w:rsidRDefault="005B4DD9">
      <w:pPr>
        <w:adjustRightInd w:val="0"/>
        <w:spacing w:line="360" w:lineRule="auto"/>
        <w:ind w:firstLine="480"/>
        <w:rPr>
          <w:color w:val="000000"/>
          <w:sz w:val="24"/>
          <w:szCs w:val="24"/>
        </w:rPr>
      </w:pPr>
      <w:bookmarkStart w:id="54" w:name="_Hlk145081908"/>
      <w:bookmarkStart w:id="55" w:name="_Hlk145339691"/>
      <w:r>
        <w:rPr>
          <w:color w:val="000000"/>
          <w:sz w:val="24"/>
          <w:szCs w:val="24"/>
        </w:rPr>
        <w:t>3</w:t>
      </w:r>
      <w:r>
        <w:rPr>
          <w:rFonts w:hint="eastAsia"/>
          <w:color w:val="000000"/>
          <w:sz w:val="24"/>
          <w:szCs w:val="24"/>
        </w:rPr>
        <w:t>、基金管理人为基金财产在证券经纪机构开立证券交易资金账户，用于基金财产证券交易结算资金的存管、记载交易结算资金的变动明细以及场内证券交易清算，并与基金托管人开立的托管资金账户建立第三方存管关系。</w:t>
      </w:r>
    </w:p>
    <w:p w14:paraId="7CAF8540" w14:textId="77777777" w:rsidR="007F0ECF" w:rsidRDefault="005B4DD9">
      <w:pPr>
        <w:adjustRightInd w:val="0"/>
        <w:spacing w:line="360" w:lineRule="auto"/>
        <w:ind w:firstLine="480"/>
        <w:rPr>
          <w:color w:val="000000"/>
          <w:sz w:val="24"/>
          <w:szCs w:val="24"/>
        </w:rPr>
      </w:pPr>
      <w:r>
        <w:rPr>
          <w:color w:val="000000"/>
          <w:sz w:val="24"/>
          <w:szCs w:val="24"/>
        </w:rPr>
        <w:t>4</w:t>
      </w:r>
      <w:r>
        <w:rPr>
          <w:rFonts w:hint="eastAsia"/>
          <w:color w:val="000000"/>
          <w:sz w:val="24"/>
          <w:szCs w:val="24"/>
        </w:rPr>
        <w:t>、基金托管人和基金管理人不得出借或转让证券账户、证券交易资金账户，亦不得使用证券账户或证券交易资金账户进行本基金业务以外的活动。本基金通过证券经纪机构进行的交易由证券经纪机构作为结算参与人代理本基金进行结算。</w:t>
      </w:r>
      <w:bookmarkEnd w:id="54"/>
    </w:p>
    <w:p w14:paraId="3F947BFB" w14:textId="77777777" w:rsidR="007F0ECF" w:rsidRDefault="005B4DD9">
      <w:pPr>
        <w:adjustRightInd w:val="0"/>
        <w:spacing w:line="360" w:lineRule="auto"/>
        <w:ind w:firstLine="480"/>
        <w:rPr>
          <w:color w:val="000000"/>
          <w:sz w:val="24"/>
          <w:szCs w:val="24"/>
        </w:rPr>
      </w:pPr>
      <w:r>
        <w:rPr>
          <w:color w:val="000000"/>
          <w:sz w:val="24"/>
          <w:szCs w:val="24"/>
        </w:rPr>
        <w:t>5</w:t>
      </w:r>
      <w:r>
        <w:rPr>
          <w:color w:val="000000"/>
          <w:sz w:val="24"/>
          <w:szCs w:val="24"/>
        </w:rPr>
        <w:t>、基金证券账户的开立和</w:t>
      </w:r>
      <w:r>
        <w:rPr>
          <w:rFonts w:hint="eastAsia"/>
          <w:color w:val="000000"/>
          <w:sz w:val="24"/>
          <w:szCs w:val="24"/>
        </w:rPr>
        <w:t>开户回执</w:t>
      </w:r>
      <w:r>
        <w:rPr>
          <w:color w:val="000000"/>
          <w:sz w:val="24"/>
          <w:szCs w:val="24"/>
        </w:rPr>
        <w:t>的保管由基金托管人负责，账户资产的管理和运用由基金管理人负责。</w:t>
      </w:r>
      <w:bookmarkEnd w:id="55"/>
    </w:p>
    <w:p w14:paraId="6218A59D" w14:textId="77777777" w:rsidR="007F0ECF" w:rsidRDefault="005B4DD9">
      <w:pPr>
        <w:adjustRightInd w:val="0"/>
        <w:spacing w:line="360" w:lineRule="auto"/>
        <w:ind w:firstLine="480"/>
        <w:rPr>
          <w:color w:val="000000"/>
          <w:sz w:val="24"/>
          <w:szCs w:val="24"/>
        </w:rPr>
      </w:pPr>
      <w:r>
        <w:rPr>
          <w:color w:val="000000"/>
          <w:sz w:val="24"/>
          <w:szCs w:val="24"/>
        </w:rPr>
        <w:t>（五）债券托管</w:t>
      </w:r>
      <w:r>
        <w:rPr>
          <w:rFonts w:hint="eastAsia"/>
          <w:color w:val="000000"/>
          <w:sz w:val="24"/>
          <w:szCs w:val="24"/>
        </w:rPr>
        <w:t>账户</w:t>
      </w:r>
      <w:r>
        <w:rPr>
          <w:color w:val="000000"/>
          <w:sz w:val="24"/>
          <w:szCs w:val="24"/>
        </w:rPr>
        <w:t>的开设和管理</w:t>
      </w:r>
    </w:p>
    <w:p w14:paraId="66966F65" w14:textId="77777777" w:rsidR="007F0ECF" w:rsidRDefault="005B4DD9">
      <w:pPr>
        <w:adjustRightInd w:val="0"/>
        <w:spacing w:line="360" w:lineRule="auto"/>
        <w:ind w:firstLine="480"/>
        <w:rPr>
          <w:color w:val="000000"/>
          <w:sz w:val="24"/>
          <w:szCs w:val="24"/>
        </w:rPr>
      </w:pPr>
      <w:r>
        <w:rPr>
          <w:color w:val="000000"/>
          <w:sz w:val="24"/>
          <w:szCs w:val="24"/>
        </w:rPr>
        <w:t>基金合同生效后，基金托管人根据中国人民银行、中央国债登记结算有限责</w:t>
      </w:r>
      <w:r>
        <w:rPr>
          <w:color w:val="000000"/>
          <w:sz w:val="24"/>
          <w:szCs w:val="24"/>
        </w:rPr>
        <w:lastRenderedPageBreak/>
        <w:t>任公司</w:t>
      </w:r>
      <w:r>
        <w:rPr>
          <w:rFonts w:hint="eastAsia"/>
          <w:color w:val="000000"/>
          <w:sz w:val="24"/>
          <w:szCs w:val="24"/>
        </w:rPr>
        <w:t>、银行间市场清算所股份有限公司</w:t>
      </w:r>
      <w:r>
        <w:rPr>
          <w:color w:val="000000"/>
          <w:sz w:val="24"/>
          <w:szCs w:val="24"/>
        </w:rPr>
        <w:t>的有关规定，</w:t>
      </w:r>
      <w:r>
        <w:rPr>
          <w:rFonts w:hint="eastAsia"/>
          <w:color w:val="000000"/>
          <w:sz w:val="24"/>
          <w:szCs w:val="24"/>
        </w:rPr>
        <w:t>以本基金的名义</w:t>
      </w:r>
      <w:r>
        <w:rPr>
          <w:color w:val="000000"/>
          <w:sz w:val="24"/>
          <w:szCs w:val="24"/>
        </w:rPr>
        <w:t>在中央国债登记结算有限责任公司</w:t>
      </w:r>
      <w:r>
        <w:rPr>
          <w:rFonts w:hint="eastAsia"/>
          <w:color w:val="000000"/>
          <w:sz w:val="24"/>
          <w:szCs w:val="24"/>
        </w:rPr>
        <w:t>、银行间市场清算所股份有限公司</w:t>
      </w:r>
      <w:r>
        <w:rPr>
          <w:color w:val="000000"/>
          <w:sz w:val="24"/>
          <w:szCs w:val="24"/>
        </w:rPr>
        <w:t>开立债券托管与结算账户，并代表基金进行银行间市场债券的结算。基金管理人代表</w:t>
      </w:r>
      <w:r>
        <w:rPr>
          <w:rFonts w:hint="eastAsia"/>
          <w:color w:val="000000"/>
          <w:sz w:val="24"/>
          <w:szCs w:val="24"/>
        </w:rPr>
        <w:t>本</w:t>
      </w:r>
      <w:r>
        <w:rPr>
          <w:color w:val="000000"/>
          <w:sz w:val="24"/>
          <w:szCs w:val="24"/>
        </w:rPr>
        <w:t>基金签订全国银行间债券市场债券回购主协议。</w:t>
      </w:r>
    </w:p>
    <w:p w14:paraId="343C5D18" w14:textId="77777777" w:rsidR="007F0ECF" w:rsidRDefault="005B4DD9">
      <w:pPr>
        <w:adjustRightInd w:val="0"/>
        <w:spacing w:line="360" w:lineRule="auto"/>
        <w:ind w:firstLine="480"/>
        <w:rPr>
          <w:color w:val="000000"/>
          <w:sz w:val="24"/>
          <w:szCs w:val="24"/>
        </w:rPr>
      </w:pPr>
      <w:r>
        <w:rPr>
          <w:rFonts w:hint="eastAsia"/>
          <w:color w:val="000000"/>
          <w:sz w:val="24"/>
          <w:szCs w:val="24"/>
        </w:rPr>
        <w:t>（六）</w:t>
      </w:r>
      <w:r>
        <w:rPr>
          <w:color w:val="000000"/>
          <w:sz w:val="24"/>
          <w:szCs w:val="24"/>
        </w:rPr>
        <w:t>其他账户的开立和管理</w:t>
      </w:r>
    </w:p>
    <w:p w14:paraId="0ACC2EAC" w14:textId="77777777" w:rsidR="007F0ECF" w:rsidRDefault="005B4DD9">
      <w:pPr>
        <w:adjustRightInd w:val="0"/>
        <w:spacing w:line="360" w:lineRule="auto"/>
        <w:ind w:firstLine="480"/>
        <w:rPr>
          <w:color w:val="000000"/>
          <w:sz w:val="24"/>
          <w:szCs w:val="24"/>
        </w:rPr>
      </w:pPr>
      <w:r>
        <w:rPr>
          <w:color w:val="000000"/>
          <w:sz w:val="24"/>
          <w:szCs w:val="24"/>
        </w:rPr>
        <w:t>1</w:t>
      </w:r>
      <w:r>
        <w:rPr>
          <w:rFonts w:hint="eastAsia"/>
          <w:color w:val="000000"/>
          <w:sz w:val="24"/>
          <w:szCs w:val="24"/>
        </w:rPr>
        <w:t>、</w:t>
      </w:r>
      <w:r>
        <w:rPr>
          <w:color w:val="000000"/>
          <w:sz w:val="24"/>
          <w:szCs w:val="24"/>
        </w:rPr>
        <w:t>因业务发展需要而开立的其他账户，可以根据法律法规和基金合同的规定，</w:t>
      </w:r>
      <w:r>
        <w:rPr>
          <w:rFonts w:hint="eastAsia"/>
          <w:sz w:val="24"/>
          <w:szCs w:val="24"/>
        </w:rPr>
        <w:t>在</w:t>
      </w:r>
      <w:r>
        <w:rPr>
          <w:sz w:val="24"/>
          <w:szCs w:val="24"/>
        </w:rPr>
        <w:t>基金</w:t>
      </w:r>
      <w:r>
        <w:rPr>
          <w:rFonts w:hint="eastAsia"/>
          <w:sz w:val="24"/>
          <w:szCs w:val="24"/>
        </w:rPr>
        <w:t>管理人和基金</w:t>
      </w:r>
      <w:r>
        <w:rPr>
          <w:sz w:val="24"/>
          <w:szCs w:val="24"/>
        </w:rPr>
        <w:t>托管人</w:t>
      </w:r>
      <w:r>
        <w:rPr>
          <w:rFonts w:hint="eastAsia"/>
          <w:sz w:val="24"/>
          <w:szCs w:val="24"/>
        </w:rPr>
        <w:t>商议后</w:t>
      </w:r>
      <w:r>
        <w:rPr>
          <w:sz w:val="24"/>
          <w:szCs w:val="24"/>
        </w:rPr>
        <w:t>开立</w:t>
      </w:r>
      <w:r>
        <w:rPr>
          <w:color w:val="000000"/>
          <w:sz w:val="24"/>
          <w:szCs w:val="24"/>
        </w:rPr>
        <w:t>。新账户按有关规则使用并管理。</w:t>
      </w:r>
    </w:p>
    <w:p w14:paraId="562744DD" w14:textId="77777777" w:rsidR="007F0ECF" w:rsidRDefault="005B4DD9">
      <w:pPr>
        <w:adjustRightInd w:val="0"/>
        <w:spacing w:line="360" w:lineRule="auto"/>
        <w:ind w:firstLine="480"/>
        <w:rPr>
          <w:color w:val="000000"/>
          <w:sz w:val="24"/>
          <w:szCs w:val="24"/>
        </w:rPr>
      </w:pPr>
      <w:r>
        <w:rPr>
          <w:color w:val="000000"/>
          <w:sz w:val="24"/>
          <w:szCs w:val="24"/>
        </w:rPr>
        <w:t>2</w:t>
      </w:r>
      <w:r>
        <w:rPr>
          <w:rFonts w:hint="eastAsia"/>
          <w:color w:val="000000"/>
          <w:sz w:val="24"/>
          <w:szCs w:val="24"/>
        </w:rPr>
        <w:t>、</w:t>
      </w:r>
      <w:r>
        <w:rPr>
          <w:color w:val="000000"/>
          <w:sz w:val="24"/>
          <w:szCs w:val="24"/>
        </w:rPr>
        <w:t>法律法规对相关账户的开立和管理另有规定的，从其规定办理。</w:t>
      </w:r>
    </w:p>
    <w:p w14:paraId="3B89BDF5" w14:textId="77777777" w:rsidR="007F0ECF" w:rsidRDefault="005B4DD9">
      <w:pPr>
        <w:adjustRightInd w:val="0"/>
        <w:spacing w:line="360" w:lineRule="auto"/>
        <w:ind w:firstLine="480"/>
        <w:rPr>
          <w:color w:val="000000"/>
          <w:sz w:val="24"/>
          <w:szCs w:val="24"/>
        </w:rPr>
      </w:pPr>
      <w:r>
        <w:rPr>
          <w:color w:val="000000"/>
          <w:sz w:val="24"/>
          <w:szCs w:val="24"/>
        </w:rPr>
        <w:t>（七）基金财产投资的有关有价凭证等的保管</w:t>
      </w:r>
    </w:p>
    <w:p w14:paraId="2E493A85" w14:textId="77777777" w:rsidR="007F0ECF" w:rsidRDefault="005B4DD9">
      <w:pPr>
        <w:adjustRightInd w:val="0"/>
        <w:spacing w:line="360" w:lineRule="auto"/>
        <w:ind w:firstLine="480"/>
        <w:rPr>
          <w:color w:val="000000"/>
          <w:sz w:val="24"/>
          <w:szCs w:val="24"/>
        </w:rPr>
      </w:pPr>
      <w:r>
        <w:rPr>
          <w:color w:val="000000"/>
          <w:sz w:val="24"/>
          <w:szCs w:val="24"/>
        </w:rPr>
        <w:t>基金财产投资的有关实物证券</w:t>
      </w:r>
      <w:r>
        <w:rPr>
          <w:rFonts w:hint="eastAsia"/>
          <w:color w:val="000000"/>
          <w:sz w:val="24"/>
          <w:szCs w:val="24"/>
        </w:rPr>
        <w:t>、</w:t>
      </w:r>
      <w:r>
        <w:rPr>
          <w:rFonts w:hint="eastAsia"/>
          <w:sz w:val="24"/>
          <w:szCs w:val="24"/>
        </w:rPr>
        <w:t>银行定期存款存单等有价凭证</w:t>
      </w:r>
      <w:r>
        <w:rPr>
          <w:color w:val="000000"/>
          <w:sz w:val="24"/>
          <w:szCs w:val="24"/>
        </w:rPr>
        <w:t>由基金托管人</w:t>
      </w:r>
      <w:r>
        <w:rPr>
          <w:rFonts w:hint="eastAsia"/>
          <w:color w:val="000000"/>
          <w:sz w:val="24"/>
          <w:szCs w:val="24"/>
        </w:rPr>
        <w:t>负责妥善保管</w:t>
      </w:r>
      <w:r>
        <w:rPr>
          <w:rFonts w:hint="eastAsia"/>
          <w:sz w:val="24"/>
          <w:szCs w:val="24"/>
        </w:rPr>
        <w:t>，保管凭证由基金托管人持有</w:t>
      </w:r>
      <w:r>
        <w:rPr>
          <w:color w:val="000000"/>
          <w:sz w:val="24"/>
          <w:szCs w:val="24"/>
        </w:rPr>
        <w:t>。实物证券的购买和转让，由基金托管人根据基金管理人的指令办理。属于基金托管人实际有效控制下的实物证券在基金托管人保管期间的损坏、灭失，由此产生的责任应由基金托管人承担。</w:t>
      </w:r>
      <w:r>
        <w:rPr>
          <w:rFonts w:hint="eastAsia"/>
          <w:color w:val="000000"/>
          <w:sz w:val="24"/>
          <w:szCs w:val="24"/>
        </w:rPr>
        <w:t>基金</w:t>
      </w:r>
      <w:r>
        <w:rPr>
          <w:color w:val="000000"/>
          <w:sz w:val="24"/>
          <w:szCs w:val="24"/>
        </w:rPr>
        <w:t>托管人对</w:t>
      </w:r>
      <w:r>
        <w:rPr>
          <w:rFonts w:hint="eastAsia"/>
          <w:color w:val="000000"/>
          <w:sz w:val="24"/>
          <w:szCs w:val="24"/>
        </w:rPr>
        <w:t>基金</w:t>
      </w:r>
      <w:r>
        <w:rPr>
          <w:color w:val="000000"/>
          <w:sz w:val="24"/>
          <w:szCs w:val="24"/>
        </w:rPr>
        <w:t>托管人以外机构实际有效控制的证券不承担保管责任。</w:t>
      </w:r>
    </w:p>
    <w:p w14:paraId="4A56C3FA" w14:textId="77777777" w:rsidR="007F0ECF" w:rsidRDefault="005B4DD9">
      <w:pPr>
        <w:adjustRightInd w:val="0"/>
        <w:spacing w:line="360" w:lineRule="auto"/>
        <w:ind w:firstLine="480"/>
        <w:rPr>
          <w:color w:val="000000"/>
          <w:sz w:val="24"/>
          <w:szCs w:val="24"/>
        </w:rPr>
      </w:pPr>
      <w:r>
        <w:rPr>
          <w:color w:val="000000"/>
          <w:sz w:val="24"/>
          <w:szCs w:val="24"/>
        </w:rPr>
        <w:t>（八）与基金财产有关的重大合同的保管</w:t>
      </w:r>
    </w:p>
    <w:p w14:paraId="7DA9287B" w14:textId="77777777" w:rsidR="007F0ECF" w:rsidRDefault="005B4DD9">
      <w:pPr>
        <w:adjustRightInd w:val="0"/>
        <w:spacing w:line="360" w:lineRule="auto"/>
        <w:ind w:firstLine="480"/>
        <w:rPr>
          <w:color w:val="000000"/>
          <w:sz w:val="24"/>
          <w:szCs w:val="24"/>
        </w:rPr>
      </w:pPr>
      <w:r>
        <w:rPr>
          <w:rFonts w:hint="eastAsia"/>
          <w:color w:val="000000"/>
          <w:sz w:val="24"/>
          <w:szCs w:val="24"/>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不低于法律法规规定的最低期限。</w:t>
      </w:r>
    </w:p>
    <w:p w14:paraId="6B52F770" w14:textId="77777777" w:rsidR="007F0ECF" w:rsidRDefault="005B4DD9">
      <w:pPr>
        <w:adjustRightInd w:val="0"/>
        <w:spacing w:line="360" w:lineRule="auto"/>
        <w:ind w:firstLine="480"/>
        <w:rPr>
          <w:color w:val="000000"/>
          <w:sz w:val="24"/>
          <w:szCs w:val="24"/>
        </w:rPr>
      </w:pPr>
      <w:r>
        <w:rPr>
          <w:rFonts w:hint="eastAsia"/>
          <w:color w:val="000000"/>
          <w:sz w:val="24"/>
          <w:szCs w:val="24"/>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5D82EEA4" w14:textId="77777777" w:rsidR="007F0ECF" w:rsidRDefault="007F0ECF">
      <w:pPr>
        <w:adjustRightInd w:val="0"/>
        <w:spacing w:line="360" w:lineRule="auto"/>
        <w:ind w:firstLine="480"/>
        <w:rPr>
          <w:color w:val="000000"/>
          <w:sz w:val="24"/>
          <w:szCs w:val="24"/>
        </w:rPr>
      </w:pPr>
    </w:p>
    <w:p w14:paraId="030A0271" w14:textId="77777777" w:rsidR="007F0ECF" w:rsidRDefault="005B4DD9">
      <w:pPr>
        <w:pStyle w:val="2"/>
        <w:spacing w:line="360" w:lineRule="auto"/>
        <w:jc w:val="center"/>
        <w:rPr>
          <w:rFonts w:ascii="Times New Roman" w:eastAsia="宋体" w:hAnsi="Times New Roman"/>
          <w:color w:val="000000"/>
          <w:sz w:val="30"/>
          <w:szCs w:val="30"/>
        </w:rPr>
      </w:pPr>
      <w:r>
        <w:rPr>
          <w:rFonts w:ascii="Times New Roman" w:eastAsia="宋体" w:hAnsi="Times New Roman"/>
          <w:color w:val="000000"/>
          <w:sz w:val="24"/>
          <w:szCs w:val="24"/>
        </w:rPr>
        <w:br w:type="page"/>
      </w:r>
      <w:bookmarkStart w:id="56" w:name="_Toc86727357"/>
      <w:bookmarkStart w:id="57" w:name="_Toc86649724"/>
      <w:bookmarkStart w:id="58" w:name="_Toc86726441"/>
      <w:bookmarkStart w:id="59" w:name="_Toc118774805"/>
      <w:bookmarkStart w:id="60" w:name="_Toc86223244"/>
      <w:bookmarkStart w:id="61" w:name="_Toc89163370"/>
      <w:bookmarkStart w:id="62" w:name="_Toc84133787"/>
      <w:bookmarkStart w:id="63" w:name="_Toc84234389"/>
      <w:bookmarkStart w:id="64" w:name="_Toc86225293"/>
      <w:bookmarkStart w:id="65" w:name="_Toc120435785"/>
      <w:bookmarkStart w:id="66" w:name="_Toc119402712"/>
      <w:bookmarkStart w:id="67" w:name="_Toc110830494"/>
      <w:bookmarkStart w:id="68" w:name="_Toc86204790"/>
      <w:bookmarkStart w:id="69" w:name="_Toc108512360"/>
      <w:bookmarkStart w:id="70" w:name="_Toc86737931"/>
      <w:bookmarkStart w:id="71" w:name="_Toc110761798"/>
      <w:bookmarkStart w:id="72" w:name="_Toc84234436"/>
      <w:bookmarkStart w:id="73" w:name="_Toc118212952"/>
      <w:bookmarkStart w:id="74" w:name="_Toc110765662"/>
      <w:bookmarkStart w:id="75" w:name="_Toc118972650"/>
      <w:bookmarkStart w:id="76" w:name="_Toc497759441"/>
      <w:r>
        <w:rPr>
          <w:rFonts w:ascii="Times New Roman" w:eastAsia="宋体" w:hAnsi="Times New Roman"/>
          <w:color w:val="000000"/>
          <w:sz w:val="30"/>
          <w:szCs w:val="30"/>
        </w:rPr>
        <w:lastRenderedPageBreak/>
        <w:t>六、指令的发送、确认及执行</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50A14279" w14:textId="77777777" w:rsidR="007F0ECF" w:rsidRDefault="005B4DD9">
      <w:pPr>
        <w:adjustRightInd w:val="0"/>
        <w:spacing w:line="360" w:lineRule="auto"/>
        <w:ind w:firstLine="480"/>
        <w:rPr>
          <w:sz w:val="24"/>
          <w:szCs w:val="24"/>
        </w:rPr>
      </w:pPr>
      <w:r>
        <w:rPr>
          <w:rFonts w:hint="eastAsia"/>
          <w:sz w:val="24"/>
          <w:szCs w:val="24"/>
        </w:rPr>
        <w:t>基金管理人在运用基金财产开展场内证券交易前，基金管理人通过基金托管资金账户与证券交易资金账户已建立的第三方存管系统在基金托管资金账户与证券交易资金账户之间划款，</w:t>
      </w:r>
      <w:proofErr w:type="gramStart"/>
      <w:r>
        <w:rPr>
          <w:rFonts w:hint="eastAsia"/>
          <w:sz w:val="24"/>
          <w:szCs w:val="24"/>
        </w:rPr>
        <w:t>即银证互</w:t>
      </w:r>
      <w:proofErr w:type="gramEnd"/>
      <w:r>
        <w:rPr>
          <w:rFonts w:hint="eastAsia"/>
          <w:sz w:val="24"/>
          <w:szCs w:val="24"/>
        </w:rPr>
        <w:t>转。</w:t>
      </w:r>
    </w:p>
    <w:p w14:paraId="51C321EA" w14:textId="77777777" w:rsidR="007F0ECF" w:rsidRDefault="005B4DD9">
      <w:pPr>
        <w:adjustRightInd w:val="0"/>
        <w:spacing w:line="360" w:lineRule="auto"/>
        <w:ind w:firstLine="480"/>
        <w:rPr>
          <w:sz w:val="24"/>
          <w:szCs w:val="24"/>
        </w:rPr>
      </w:pPr>
      <w:r>
        <w:rPr>
          <w:rFonts w:hint="eastAsia"/>
          <w:sz w:val="24"/>
          <w:szCs w:val="24"/>
        </w:rPr>
        <w:t>基金管理人在运用基金财产时向基金托管人发送场外资金划拨及其他款项收付指令，基金托管人执行基金管理人的指令、办理基金名下的资金往来等有关事项。</w:t>
      </w:r>
    </w:p>
    <w:p w14:paraId="73A25F6E" w14:textId="77777777" w:rsidR="007F0ECF" w:rsidRDefault="005B4DD9">
      <w:pPr>
        <w:adjustRightInd w:val="0"/>
        <w:spacing w:line="360" w:lineRule="auto"/>
        <w:ind w:firstLine="480"/>
        <w:rPr>
          <w:sz w:val="24"/>
          <w:szCs w:val="24"/>
        </w:rPr>
      </w:pPr>
      <w:r>
        <w:rPr>
          <w:rFonts w:hint="eastAsia"/>
          <w:sz w:val="24"/>
          <w:szCs w:val="24"/>
        </w:rPr>
        <w:t>（一）基金管理人对发送指令人员的书面授权</w:t>
      </w:r>
    </w:p>
    <w:p w14:paraId="3733E5EA" w14:textId="77777777" w:rsidR="007F0ECF" w:rsidRDefault="005B4DD9">
      <w:pPr>
        <w:adjustRightInd w:val="0"/>
        <w:spacing w:line="360" w:lineRule="auto"/>
        <w:ind w:firstLine="480"/>
        <w:rPr>
          <w:sz w:val="24"/>
          <w:szCs w:val="24"/>
        </w:rPr>
      </w:pPr>
      <w:r>
        <w:rPr>
          <w:rFonts w:hint="eastAsia"/>
          <w:sz w:val="24"/>
          <w:szCs w:val="24"/>
        </w:rPr>
        <w:t>基金管理人应事先向基金托管人提供书面授权通知（以下简称“授权通知”），指定有权发送指令的人员（以下简称“被授权人”）名单、预留印鉴和被授权人签章样本，注明相应的交易权限，并规定基金管理人向基金托管人发送指令时基金托管人确认被授权人身份的方法。授权通知应加盖基金管理人公章。基金管理人应使用传真方式或其他基金托管人和基金管理人书面确认过的方式向基金托管人发出授权通知，同时电话通知基金托管人。基金托管人在收到授权通知当日与基金管理人确认。基金管理人在收到基金托管人的确认之后，授权通知生效。基金管理人在此后</w:t>
      </w:r>
      <w:r>
        <w:rPr>
          <w:rFonts w:hint="eastAsia"/>
          <w:sz w:val="24"/>
          <w:szCs w:val="24"/>
        </w:rPr>
        <w:t>3</w:t>
      </w:r>
      <w:r>
        <w:rPr>
          <w:rFonts w:hint="eastAsia"/>
          <w:sz w:val="24"/>
          <w:szCs w:val="24"/>
        </w:rPr>
        <w:t>个工作日内将授权通知的正本送交基金托管人。授权通知正本内容应与基金托管人收到的传真或双方共同确认的其他文件形式内容一致，若有不一致的，以基金托管人收到的传真或双方共同确认的其他文件形式为准。</w:t>
      </w:r>
    </w:p>
    <w:p w14:paraId="5EACB4C8" w14:textId="77777777" w:rsidR="007F0ECF" w:rsidRDefault="005B4DD9">
      <w:pPr>
        <w:adjustRightInd w:val="0"/>
        <w:spacing w:line="360" w:lineRule="auto"/>
        <w:ind w:firstLine="480"/>
        <w:rPr>
          <w:sz w:val="24"/>
          <w:szCs w:val="24"/>
        </w:rPr>
      </w:pPr>
      <w:r>
        <w:rPr>
          <w:rFonts w:hint="eastAsia"/>
          <w:sz w:val="24"/>
          <w:szCs w:val="24"/>
        </w:rPr>
        <w:t>基金管理人和基金托管人对授权通知负有保密义务，其内容不得向被授权人及相关操作人员以外的任何人泄露，除本协议另有约定或法律法规另有规定或有权机关另有要求的除外。</w:t>
      </w:r>
    </w:p>
    <w:p w14:paraId="36C375B2" w14:textId="77777777" w:rsidR="007F0ECF" w:rsidRDefault="005B4DD9">
      <w:pPr>
        <w:adjustRightInd w:val="0"/>
        <w:spacing w:line="360" w:lineRule="auto"/>
        <w:ind w:firstLine="480"/>
        <w:rPr>
          <w:sz w:val="24"/>
          <w:szCs w:val="24"/>
        </w:rPr>
      </w:pPr>
      <w:r>
        <w:rPr>
          <w:rFonts w:hint="eastAsia"/>
          <w:sz w:val="24"/>
          <w:szCs w:val="24"/>
        </w:rPr>
        <w:t>（二）指令的内容</w:t>
      </w:r>
    </w:p>
    <w:p w14:paraId="563F46DE" w14:textId="77777777" w:rsidR="007F0ECF" w:rsidRDefault="005B4DD9">
      <w:pPr>
        <w:adjustRightInd w:val="0"/>
        <w:spacing w:line="360" w:lineRule="auto"/>
        <w:ind w:firstLine="480"/>
        <w:rPr>
          <w:sz w:val="24"/>
          <w:szCs w:val="24"/>
        </w:rPr>
      </w:pPr>
      <w:r>
        <w:rPr>
          <w:rFonts w:hint="eastAsia"/>
          <w:sz w:val="24"/>
          <w:szCs w:val="24"/>
        </w:rPr>
        <w:t>指令是基金管理人在运用基金资产时，向基金托管人发出的资金划拨及其他款项支付的指令。基金管理人发给基金托管人的指令应写明款项事由、支付时间、到账时间、金额、账户等，加盖预留印鉴并由被授权人签字或盖章。</w:t>
      </w:r>
    </w:p>
    <w:p w14:paraId="646A7665" w14:textId="77777777" w:rsidR="007F0ECF" w:rsidRDefault="005B4DD9">
      <w:pPr>
        <w:adjustRightInd w:val="0"/>
        <w:spacing w:line="360" w:lineRule="auto"/>
        <w:ind w:firstLine="480"/>
        <w:rPr>
          <w:sz w:val="24"/>
          <w:szCs w:val="24"/>
        </w:rPr>
      </w:pPr>
      <w:r>
        <w:rPr>
          <w:rFonts w:hint="eastAsia"/>
          <w:sz w:val="24"/>
          <w:szCs w:val="24"/>
        </w:rPr>
        <w:t>（三）指令的发送、确认和执行的时间和程序</w:t>
      </w:r>
    </w:p>
    <w:p w14:paraId="3CC16852" w14:textId="77777777" w:rsidR="007F0ECF" w:rsidRDefault="005B4DD9">
      <w:pPr>
        <w:adjustRightInd w:val="0"/>
        <w:spacing w:line="360" w:lineRule="auto"/>
        <w:ind w:firstLine="480"/>
        <w:rPr>
          <w:sz w:val="24"/>
          <w:szCs w:val="24"/>
        </w:rPr>
      </w:pPr>
      <w:r>
        <w:rPr>
          <w:rFonts w:hint="eastAsia"/>
          <w:sz w:val="24"/>
          <w:szCs w:val="24"/>
        </w:rPr>
        <w:t>1</w:t>
      </w:r>
      <w:r>
        <w:rPr>
          <w:rFonts w:hint="eastAsia"/>
          <w:sz w:val="24"/>
          <w:szCs w:val="24"/>
        </w:rPr>
        <w:t>、指令由“授权通知”确定的被授权人代表基金管理人用传真的方式或其他基金托管人和基金管理人书面确认过的方式向基金托管人发送。基金管理人有义务在发送指令后及时与托管人进行确认，因基金管理人未能及时与基金托管人</w:t>
      </w:r>
      <w:r>
        <w:rPr>
          <w:rFonts w:hint="eastAsia"/>
          <w:sz w:val="24"/>
          <w:szCs w:val="24"/>
        </w:rPr>
        <w:lastRenderedPageBreak/>
        <w:t>进行指令确认，致使资金未能及时到账所造成的损失，基金托管人不承担</w:t>
      </w:r>
      <w:r>
        <w:rPr>
          <w:sz w:val="24"/>
          <w:szCs w:val="24"/>
        </w:rPr>
        <w:t>任何</w:t>
      </w:r>
      <w:r>
        <w:rPr>
          <w:rFonts w:hint="eastAsia"/>
          <w:sz w:val="24"/>
          <w:szCs w:val="24"/>
        </w:rPr>
        <w:t>形式的责任。基金托管人依照“授权通知”规定的方法确认指令有效后，方可执行指令。对于被授权人在授权范围内发出的指令，基金管理人不得否认其效力。基金托管人正确执行基金管理人发送的有效指令，基金份额持有人或基金财产发生损失的，基金托管人不承担</w:t>
      </w:r>
      <w:r>
        <w:rPr>
          <w:sz w:val="24"/>
          <w:szCs w:val="24"/>
        </w:rPr>
        <w:t>任何形式的</w:t>
      </w:r>
      <w:r>
        <w:rPr>
          <w:rFonts w:hint="eastAsia"/>
          <w:sz w:val="24"/>
          <w:szCs w:val="24"/>
        </w:rPr>
        <w:t>责任。基金管理人应按照《基金法》、有关法律法规和基金合同的规定，在其合法的经营权限和交易权限内发送划款指令，被授权人应按照其授权权限发送划款指令。基金管理人在发送指令时，应为基金托管人留出</w:t>
      </w:r>
      <w:r>
        <w:rPr>
          <w:rFonts w:hint="eastAsia"/>
          <w:sz w:val="24"/>
          <w:szCs w:val="24"/>
        </w:rPr>
        <w:t>2</w:t>
      </w:r>
      <w:r>
        <w:rPr>
          <w:rFonts w:hint="eastAsia"/>
          <w:sz w:val="24"/>
          <w:szCs w:val="24"/>
        </w:rPr>
        <w:t>小时，作为执行指令所必需的时间。由基金管理</w:t>
      </w:r>
      <w:proofErr w:type="gramStart"/>
      <w:r>
        <w:rPr>
          <w:rFonts w:hint="eastAsia"/>
          <w:sz w:val="24"/>
          <w:szCs w:val="24"/>
        </w:rPr>
        <w:t>人原因</w:t>
      </w:r>
      <w:proofErr w:type="gramEnd"/>
      <w:r>
        <w:rPr>
          <w:rFonts w:hint="eastAsia"/>
          <w:sz w:val="24"/>
          <w:szCs w:val="24"/>
        </w:rPr>
        <w:t>造成的指令传输不及时、未能留出足够划款所需时间，基金托管人不承担资金未能及时到账所造成的损失。</w:t>
      </w:r>
    </w:p>
    <w:p w14:paraId="210A89AB" w14:textId="77777777" w:rsidR="007F0ECF" w:rsidRDefault="005B4DD9">
      <w:pPr>
        <w:adjustRightInd w:val="0"/>
        <w:spacing w:line="360" w:lineRule="auto"/>
        <w:ind w:firstLine="480"/>
        <w:rPr>
          <w:sz w:val="24"/>
          <w:szCs w:val="24"/>
        </w:rPr>
      </w:pPr>
      <w:r>
        <w:rPr>
          <w:rFonts w:hint="eastAsia"/>
          <w:sz w:val="24"/>
          <w:szCs w:val="24"/>
        </w:rPr>
        <w:t>2</w:t>
      </w:r>
      <w:r>
        <w:rPr>
          <w:rFonts w:hint="eastAsia"/>
          <w:sz w:val="24"/>
          <w:szCs w:val="24"/>
        </w:rPr>
        <w:t>、基金托管人根据本协议相关约定仅履行表面一致形式审核职责，对指令的真实性不承担责任。如果基金管理人的指令存在事实上未经授权、欺诈、伪造、变造或未能及时提供授权通知等情形，基金托管人不承担因执行有关指令或拒绝执行有关指令而给基金管理人或基金财产或任何第三</w:t>
      </w:r>
      <w:proofErr w:type="gramStart"/>
      <w:r>
        <w:rPr>
          <w:rFonts w:hint="eastAsia"/>
          <w:sz w:val="24"/>
          <w:szCs w:val="24"/>
        </w:rPr>
        <w:t>方带来</w:t>
      </w:r>
      <w:proofErr w:type="gramEnd"/>
      <w:r>
        <w:rPr>
          <w:rFonts w:hint="eastAsia"/>
          <w:sz w:val="24"/>
          <w:szCs w:val="24"/>
        </w:rPr>
        <w:t>的损失，全部责任由基金管理人承担，基金托管人由此遭受的损失，由基金管理人负责赔偿，但基金托管人未按协议约定</w:t>
      </w:r>
      <w:proofErr w:type="gramStart"/>
      <w:r>
        <w:rPr>
          <w:rFonts w:hint="eastAsia"/>
          <w:sz w:val="24"/>
          <w:szCs w:val="24"/>
        </w:rPr>
        <w:t>尽形式</w:t>
      </w:r>
      <w:proofErr w:type="gramEnd"/>
      <w:r>
        <w:rPr>
          <w:rFonts w:hint="eastAsia"/>
          <w:sz w:val="24"/>
          <w:szCs w:val="24"/>
        </w:rPr>
        <w:t>审核义务执行指令而造成损失的情形除外。</w:t>
      </w:r>
    </w:p>
    <w:p w14:paraId="34B79BA4" w14:textId="77777777" w:rsidR="007F0ECF" w:rsidRDefault="005B4DD9">
      <w:pPr>
        <w:adjustRightInd w:val="0"/>
        <w:spacing w:line="360" w:lineRule="auto"/>
        <w:ind w:firstLine="480"/>
        <w:rPr>
          <w:sz w:val="24"/>
          <w:szCs w:val="24"/>
        </w:rPr>
      </w:pPr>
      <w:r>
        <w:rPr>
          <w:sz w:val="24"/>
          <w:szCs w:val="24"/>
        </w:rPr>
        <w:t>3</w:t>
      </w:r>
      <w:r>
        <w:rPr>
          <w:rFonts w:hint="eastAsia"/>
          <w:sz w:val="24"/>
          <w:szCs w:val="24"/>
        </w:rPr>
        <w:t>、基金托管人不负责审查基金管理人发送指令同时提交的其他文件资料的合法性、真实性、完整性和有效性，基金管理人应保证上述文件资料合法、真实、完整和有效。如因基金管理人提供的上述文件不合法、不真实、不完整或失去效力而影响基金托管人的审核或给任何第三人带来损失，基金托管人不承担</w:t>
      </w:r>
      <w:r>
        <w:rPr>
          <w:sz w:val="24"/>
          <w:szCs w:val="24"/>
        </w:rPr>
        <w:t>任何形式的</w:t>
      </w:r>
      <w:r>
        <w:rPr>
          <w:rFonts w:hint="eastAsia"/>
          <w:sz w:val="24"/>
          <w:szCs w:val="24"/>
        </w:rPr>
        <w:t>责任。基金托管人由此遭受的损失，由基金管理人负责赔偿。</w:t>
      </w:r>
    </w:p>
    <w:p w14:paraId="7F0EA971" w14:textId="77777777" w:rsidR="007F0ECF" w:rsidRDefault="005B4DD9">
      <w:pPr>
        <w:adjustRightInd w:val="0"/>
        <w:spacing w:line="360" w:lineRule="auto"/>
        <w:ind w:firstLine="480"/>
        <w:rPr>
          <w:sz w:val="24"/>
          <w:szCs w:val="24"/>
        </w:rPr>
      </w:pPr>
      <w:r>
        <w:rPr>
          <w:rFonts w:hint="eastAsia"/>
          <w:sz w:val="24"/>
          <w:szCs w:val="24"/>
        </w:rPr>
        <w:t>4</w:t>
      </w:r>
      <w:r>
        <w:rPr>
          <w:rFonts w:hint="eastAsia"/>
          <w:sz w:val="24"/>
          <w:szCs w:val="24"/>
        </w:rPr>
        <w:t>、基金托管人应指定专人接收基金管理人的指令，预先通知基金管理人其名单，并与基金管理人商定指令发送和接收方式。基金托管人收到基金管理人发送的指令后，应对指令进行表面形式审查，验证指令的要素是否齐全，传真</w:t>
      </w:r>
      <w:proofErr w:type="gramStart"/>
      <w:r>
        <w:rPr>
          <w:rFonts w:hint="eastAsia"/>
          <w:sz w:val="24"/>
          <w:szCs w:val="24"/>
        </w:rPr>
        <w:t>指令仅</w:t>
      </w:r>
      <w:proofErr w:type="gramEnd"/>
      <w:r>
        <w:rPr>
          <w:rFonts w:hint="eastAsia"/>
          <w:sz w:val="24"/>
          <w:szCs w:val="24"/>
        </w:rPr>
        <w:t>对划款指令的印鉴及被授权人签章等通过肉眼辨识的方式与预留印鉴和签章样本进行比对，形式上不存在重大差异的，即视为通过表面审查。基金管理人出具的划款指令中的编号不属于指令要素，属于基金管理人内部业务信息，基金托管人不对指令编号承担任何审核职责；基金管理人应确保其在划款指令中填写的内容真实、准确、完整，划款指令编号不存在重复。因划款指令编号重复、编号</w:t>
      </w:r>
      <w:r>
        <w:rPr>
          <w:rFonts w:hint="eastAsia"/>
          <w:sz w:val="24"/>
          <w:szCs w:val="24"/>
        </w:rPr>
        <w:lastRenderedPageBreak/>
        <w:t>不连续、空缺导致的重复性扣款，所产生的责任由基金管理人承担，与基金托管人无关。指令复核无误后应在规定期限内及时执行。指令若以传真方式发出，则正本由基金管理人保管，基金托管人保管指令传真件。当两者不一致时，以基金托管人收到的指令传真件为准。</w:t>
      </w:r>
    </w:p>
    <w:p w14:paraId="5FAA566D" w14:textId="77777777" w:rsidR="007F0ECF" w:rsidRDefault="005B4DD9">
      <w:pPr>
        <w:adjustRightInd w:val="0"/>
        <w:spacing w:line="360" w:lineRule="auto"/>
        <w:ind w:firstLine="480"/>
        <w:rPr>
          <w:sz w:val="24"/>
          <w:szCs w:val="24"/>
        </w:rPr>
      </w:pPr>
      <w:r>
        <w:rPr>
          <w:rFonts w:hint="eastAsia"/>
          <w:sz w:val="24"/>
          <w:szCs w:val="24"/>
        </w:rPr>
        <w:t>5</w:t>
      </w:r>
      <w:r>
        <w:rPr>
          <w:rFonts w:hint="eastAsia"/>
          <w:sz w:val="24"/>
          <w:szCs w:val="24"/>
        </w:rPr>
        <w:t>、基金管理人向基金托管人下达指令时，应确保基金</w:t>
      </w:r>
      <w:r>
        <w:rPr>
          <w:rFonts w:hint="eastAsia"/>
          <w:color w:val="000000"/>
          <w:sz w:val="24"/>
          <w:szCs w:val="24"/>
        </w:rPr>
        <w:t>托管</w:t>
      </w:r>
      <w:r>
        <w:rPr>
          <w:color w:val="000000"/>
          <w:sz w:val="24"/>
          <w:szCs w:val="24"/>
        </w:rPr>
        <w:t>资金账户</w:t>
      </w:r>
      <w:r>
        <w:rPr>
          <w:rFonts w:hint="eastAsia"/>
          <w:sz w:val="24"/>
          <w:szCs w:val="24"/>
        </w:rPr>
        <w:t>有足够的资金余额，对基金管理人在没有充足资金的情况下向基金托管人发出的指令，基金托管人可不予执行，并立即通知基金管理人，基金托管人不承担因为不执行该指令而造成损失的责任。</w:t>
      </w:r>
    </w:p>
    <w:p w14:paraId="226C234A" w14:textId="77777777" w:rsidR="007F0ECF" w:rsidRDefault="005B4DD9">
      <w:pPr>
        <w:adjustRightInd w:val="0"/>
        <w:spacing w:line="360" w:lineRule="auto"/>
        <w:ind w:firstLine="480"/>
        <w:rPr>
          <w:sz w:val="24"/>
          <w:szCs w:val="24"/>
        </w:rPr>
      </w:pPr>
      <w:r>
        <w:rPr>
          <w:rFonts w:hint="eastAsia"/>
          <w:sz w:val="24"/>
          <w:szCs w:val="24"/>
        </w:rPr>
        <w:t>6</w:t>
      </w:r>
      <w:r>
        <w:rPr>
          <w:rFonts w:hint="eastAsia"/>
          <w:sz w:val="24"/>
          <w:szCs w:val="24"/>
        </w:rPr>
        <w:t>、基金管理人应将银行间同业市场债券交易成交单加盖印章后及时发送给基金托管人作为托管人交易审核依据（已向基金托管人出具银行间交易取消成交单传送授权函的除外）</w:t>
      </w:r>
    </w:p>
    <w:p w14:paraId="192AEDF9" w14:textId="77777777" w:rsidR="007F0ECF" w:rsidRDefault="005B4DD9">
      <w:pPr>
        <w:adjustRightInd w:val="0"/>
        <w:spacing w:line="360" w:lineRule="auto"/>
        <w:ind w:firstLine="480"/>
        <w:rPr>
          <w:sz w:val="24"/>
          <w:szCs w:val="24"/>
        </w:rPr>
      </w:pPr>
      <w:r>
        <w:rPr>
          <w:rFonts w:hint="eastAsia"/>
          <w:sz w:val="24"/>
          <w:szCs w:val="24"/>
        </w:rPr>
        <w:t>（四）基金管理人发送错误指令的情形和处理程序</w:t>
      </w:r>
    </w:p>
    <w:p w14:paraId="3A51258F" w14:textId="77777777" w:rsidR="007F0ECF" w:rsidRDefault="005B4DD9">
      <w:pPr>
        <w:adjustRightInd w:val="0"/>
        <w:spacing w:line="360" w:lineRule="auto"/>
        <w:ind w:firstLine="480"/>
        <w:rPr>
          <w:sz w:val="24"/>
          <w:szCs w:val="24"/>
        </w:rPr>
      </w:pPr>
      <w:r>
        <w:rPr>
          <w:sz w:val="24"/>
          <w:szCs w:val="24"/>
        </w:rPr>
        <w:t>1</w:t>
      </w:r>
      <w:r>
        <w:rPr>
          <w:rFonts w:hint="eastAsia"/>
          <w:sz w:val="24"/>
          <w:szCs w:val="24"/>
        </w:rPr>
        <w:t>、基金管理人发送错误指令的情形包括指令违反相关法律法规或基金合同、指令发送人员无权或超越权限发送指令及交割信息错误，指令中重要信息模糊不清或不全等。</w:t>
      </w:r>
    </w:p>
    <w:p w14:paraId="49B28CF4" w14:textId="77777777" w:rsidR="007F0ECF" w:rsidRDefault="005B4DD9">
      <w:pPr>
        <w:adjustRightInd w:val="0"/>
        <w:spacing w:line="360" w:lineRule="auto"/>
        <w:ind w:firstLine="480"/>
        <w:rPr>
          <w:sz w:val="24"/>
          <w:szCs w:val="24"/>
        </w:rPr>
      </w:pPr>
      <w:r>
        <w:rPr>
          <w:rFonts w:hint="eastAsia"/>
          <w:sz w:val="24"/>
          <w:szCs w:val="24"/>
        </w:rPr>
        <w:t>2</w:t>
      </w:r>
      <w:r>
        <w:rPr>
          <w:rFonts w:hint="eastAsia"/>
          <w:sz w:val="24"/>
          <w:szCs w:val="24"/>
        </w:rPr>
        <w:t>、基金托管人在履行监督职能时，发现基金管理人的指令错误时，有权拒绝执行，并及时通知基金管理人改正。</w:t>
      </w:r>
    </w:p>
    <w:p w14:paraId="7296088B" w14:textId="77777777" w:rsidR="007F0ECF" w:rsidRDefault="005B4DD9">
      <w:pPr>
        <w:adjustRightInd w:val="0"/>
        <w:spacing w:line="360" w:lineRule="auto"/>
        <w:ind w:firstLine="480"/>
        <w:rPr>
          <w:sz w:val="24"/>
          <w:szCs w:val="24"/>
        </w:rPr>
      </w:pPr>
      <w:r>
        <w:rPr>
          <w:rFonts w:hint="eastAsia"/>
          <w:sz w:val="24"/>
          <w:szCs w:val="24"/>
        </w:rPr>
        <w:t>（五）基金托管人依照法律法规暂缓、拒绝执行指令的情形和处理程序</w:t>
      </w:r>
    </w:p>
    <w:p w14:paraId="3DB7234F" w14:textId="77777777" w:rsidR="007F0ECF" w:rsidRDefault="005B4DD9">
      <w:pPr>
        <w:adjustRightInd w:val="0"/>
        <w:spacing w:line="360" w:lineRule="auto"/>
        <w:ind w:firstLine="480"/>
        <w:rPr>
          <w:sz w:val="24"/>
          <w:szCs w:val="24"/>
        </w:rPr>
      </w:pPr>
      <w:r>
        <w:rPr>
          <w:rFonts w:hint="eastAsia"/>
          <w:sz w:val="24"/>
          <w:szCs w:val="24"/>
        </w:rPr>
        <w:t>基金托管人发现基金管理人发送的指令违反《基金法》、基金合同、本协议或有关基金法规的有关规定，有权视情况暂缓执行或不予执行，并应及时通知基金管理人纠正，基金托管人不承担</w:t>
      </w:r>
      <w:r>
        <w:rPr>
          <w:sz w:val="24"/>
          <w:szCs w:val="24"/>
        </w:rPr>
        <w:t>任何</w:t>
      </w:r>
      <w:r>
        <w:rPr>
          <w:rFonts w:hint="eastAsia"/>
          <w:sz w:val="24"/>
          <w:szCs w:val="24"/>
        </w:rPr>
        <w:t>损失和责任。对基金管理人更正并重新发送后的指令经基金托管人核对确认后方能执行。</w:t>
      </w:r>
    </w:p>
    <w:p w14:paraId="1FC24D48" w14:textId="77777777" w:rsidR="007F0ECF" w:rsidRDefault="005B4DD9">
      <w:pPr>
        <w:adjustRightInd w:val="0"/>
        <w:spacing w:line="360" w:lineRule="auto"/>
        <w:ind w:firstLine="480"/>
        <w:rPr>
          <w:sz w:val="24"/>
          <w:szCs w:val="24"/>
        </w:rPr>
      </w:pPr>
      <w:r>
        <w:rPr>
          <w:rFonts w:hint="eastAsia"/>
          <w:sz w:val="24"/>
          <w:szCs w:val="24"/>
        </w:rPr>
        <w:t>（六）基金托管人未按照基金管理人指令执行的处理方法</w:t>
      </w:r>
    </w:p>
    <w:p w14:paraId="6180FB2F" w14:textId="77777777" w:rsidR="007F0ECF" w:rsidRDefault="005B4DD9">
      <w:pPr>
        <w:adjustRightInd w:val="0"/>
        <w:spacing w:line="360" w:lineRule="auto"/>
        <w:ind w:firstLine="480"/>
        <w:rPr>
          <w:sz w:val="24"/>
          <w:szCs w:val="24"/>
        </w:rPr>
      </w:pPr>
      <w:r>
        <w:rPr>
          <w:rFonts w:hint="eastAsia"/>
          <w:sz w:val="24"/>
          <w:szCs w:val="24"/>
        </w:rPr>
        <w:t>基金托管人由于自身过错原因造成未按照或者未及时按照基金管理人发送的符合法律法规规定以及基金合同、本协议约定的指令执行，给基金份额持有人、基金管理人或基金财产造成损失的，应承担相应的责任，但如遇到不可抗力的情况除外。</w:t>
      </w:r>
    </w:p>
    <w:p w14:paraId="2184DAE6" w14:textId="77777777" w:rsidR="007F0ECF" w:rsidRDefault="005B4DD9">
      <w:pPr>
        <w:adjustRightInd w:val="0"/>
        <w:spacing w:line="360" w:lineRule="auto"/>
        <w:ind w:firstLine="480"/>
        <w:rPr>
          <w:sz w:val="24"/>
          <w:szCs w:val="24"/>
        </w:rPr>
      </w:pPr>
      <w:r>
        <w:rPr>
          <w:rFonts w:hint="eastAsia"/>
          <w:sz w:val="24"/>
          <w:szCs w:val="24"/>
        </w:rPr>
        <w:t>（七）更换被授权人的程序</w:t>
      </w:r>
    </w:p>
    <w:p w14:paraId="542D7282" w14:textId="77777777" w:rsidR="007F0ECF" w:rsidRDefault="005B4DD9">
      <w:pPr>
        <w:adjustRightInd w:val="0"/>
        <w:spacing w:line="360" w:lineRule="auto"/>
        <w:ind w:firstLine="480"/>
        <w:rPr>
          <w:sz w:val="24"/>
          <w:szCs w:val="24"/>
        </w:rPr>
      </w:pPr>
      <w:r>
        <w:rPr>
          <w:rFonts w:hint="eastAsia"/>
          <w:sz w:val="24"/>
          <w:szCs w:val="24"/>
        </w:rPr>
        <w:t>基金管理人撤换被授权人员或改变被授权人员的权限，必须提前至少</w:t>
      </w:r>
      <w:r>
        <w:rPr>
          <w:rFonts w:hint="eastAsia"/>
          <w:sz w:val="24"/>
          <w:szCs w:val="24"/>
        </w:rPr>
        <w:t>1</w:t>
      </w:r>
      <w:r>
        <w:rPr>
          <w:rFonts w:hint="eastAsia"/>
          <w:sz w:val="24"/>
          <w:szCs w:val="24"/>
        </w:rPr>
        <w:t>个交</w:t>
      </w:r>
      <w:r>
        <w:rPr>
          <w:rFonts w:hint="eastAsia"/>
          <w:sz w:val="24"/>
          <w:szCs w:val="24"/>
        </w:rPr>
        <w:lastRenderedPageBreak/>
        <w:t>易日，使用传真方式或其他基金托管人和基金管理人书面确认过的方式向基金托管人发出由基金管理人签字和盖章的被授权人变更通知，同时电话通知基金托管人，基金托管人收到变更通知当日与基金管理人确认。被授权人变更通知，自基金管理人收到基金托管人确认时开始生效。基金管理人在此后</w:t>
      </w:r>
      <w:r>
        <w:rPr>
          <w:rFonts w:hint="eastAsia"/>
          <w:sz w:val="24"/>
          <w:szCs w:val="24"/>
        </w:rPr>
        <w:t>3</w:t>
      </w:r>
      <w:r>
        <w:rPr>
          <w:rFonts w:hint="eastAsia"/>
          <w:sz w:val="24"/>
          <w:szCs w:val="24"/>
        </w:rPr>
        <w:t>个工作日内将被授权人变更通知的正本送交基金托管人。被授权人变更通知的正本应与传真或双方共同确认的其他文件形式内容一致，若有不一致的，以基金托管人收到的传真件或双方共同确认的其他文件形式为准。在被授权人变更通知生效之前，基金托管人所接收的原被授权人所签发的划款指令及其它文件仍然完全有效。基金管理人更换被授权人通知生效后，对于已被撤换的人员无权发送的指令，或被改变授权人员超权限发送的指令，基金管理人不承担责任。</w:t>
      </w:r>
    </w:p>
    <w:p w14:paraId="730CDE5D" w14:textId="77777777" w:rsidR="007F0ECF" w:rsidRDefault="007F0ECF">
      <w:pPr>
        <w:adjustRightInd w:val="0"/>
        <w:spacing w:line="360" w:lineRule="auto"/>
        <w:ind w:firstLine="480"/>
        <w:rPr>
          <w:sz w:val="24"/>
          <w:szCs w:val="24"/>
        </w:rPr>
      </w:pPr>
    </w:p>
    <w:p w14:paraId="4FBB8AE6" w14:textId="77777777" w:rsidR="007F0ECF" w:rsidRDefault="005B4DD9">
      <w:pPr>
        <w:pStyle w:val="2"/>
        <w:spacing w:line="360" w:lineRule="auto"/>
        <w:jc w:val="center"/>
        <w:rPr>
          <w:rFonts w:ascii="Times New Roman" w:eastAsia="宋体" w:hAnsi="Times New Roman"/>
          <w:color w:val="000000"/>
          <w:sz w:val="30"/>
          <w:szCs w:val="30"/>
        </w:rPr>
      </w:pPr>
      <w:r>
        <w:rPr>
          <w:rFonts w:ascii="Times New Roman" w:eastAsia="宋体" w:hAnsi="Times New Roman"/>
          <w:sz w:val="24"/>
          <w:szCs w:val="24"/>
        </w:rPr>
        <w:br w:type="page"/>
      </w:r>
      <w:bookmarkStart w:id="77" w:name="_Toc86726442"/>
      <w:bookmarkStart w:id="78" w:name="_Toc84234390"/>
      <w:bookmarkStart w:id="79" w:name="_Toc118212953"/>
      <w:bookmarkStart w:id="80" w:name="_Toc120435786"/>
      <w:bookmarkStart w:id="81" w:name="_Toc89163371"/>
      <w:bookmarkStart w:id="82" w:name="_Toc119402713"/>
      <w:bookmarkStart w:id="83" w:name="_Toc110765663"/>
      <w:bookmarkStart w:id="84" w:name="_Toc86204791"/>
      <w:bookmarkStart w:id="85" w:name="_Toc86727358"/>
      <w:bookmarkStart w:id="86" w:name="_Toc118972651"/>
      <w:bookmarkStart w:id="87" w:name="_Toc86649725"/>
      <w:bookmarkStart w:id="88" w:name="_Toc118774806"/>
      <w:bookmarkStart w:id="89" w:name="_Toc108512361"/>
      <w:bookmarkStart w:id="90" w:name="_Toc110761799"/>
      <w:bookmarkStart w:id="91" w:name="_Toc84133788"/>
      <w:bookmarkStart w:id="92" w:name="_Toc84234437"/>
      <w:bookmarkStart w:id="93" w:name="_Toc86223245"/>
      <w:bookmarkStart w:id="94" w:name="_Toc86225294"/>
      <w:bookmarkStart w:id="95" w:name="_Toc110830495"/>
      <w:bookmarkStart w:id="96" w:name="_Toc86737932"/>
      <w:bookmarkStart w:id="97" w:name="_Toc497759442"/>
      <w:r>
        <w:rPr>
          <w:rFonts w:ascii="Times New Roman" w:eastAsia="宋体" w:hAnsi="Times New Roman"/>
          <w:color w:val="000000"/>
          <w:sz w:val="30"/>
          <w:szCs w:val="30"/>
        </w:rPr>
        <w:lastRenderedPageBreak/>
        <w:t>七、交易及清算交收安排</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68CC6FCC" w14:textId="77777777" w:rsidR="007F0ECF" w:rsidRDefault="005B4DD9">
      <w:pPr>
        <w:adjustRightInd w:val="0"/>
        <w:spacing w:line="360" w:lineRule="auto"/>
        <w:ind w:firstLine="480"/>
        <w:rPr>
          <w:color w:val="000000"/>
          <w:sz w:val="24"/>
          <w:szCs w:val="24"/>
        </w:rPr>
      </w:pPr>
      <w:r>
        <w:rPr>
          <w:color w:val="000000"/>
          <w:sz w:val="24"/>
          <w:szCs w:val="24"/>
        </w:rPr>
        <w:t>（一）选择代理证券</w:t>
      </w:r>
      <w:r>
        <w:rPr>
          <w:rFonts w:hint="eastAsia"/>
          <w:color w:val="000000"/>
          <w:sz w:val="24"/>
          <w:szCs w:val="24"/>
        </w:rPr>
        <w:t>、</w:t>
      </w:r>
      <w:r>
        <w:rPr>
          <w:color w:val="000000"/>
          <w:sz w:val="24"/>
          <w:szCs w:val="24"/>
        </w:rPr>
        <w:t>期货买卖的证券</w:t>
      </w:r>
      <w:r>
        <w:rPr>
          <w:rFonts w:hint="eastAsia"/>
          <w:color w:val="000000"/>
          <w:sz w:val="24"/>
          <w:szCs w:val="24"/>
        </w:rPr>
        <w:t>、</w:t>
      </w:r>
      <w:r>
        <w:rPr>
          <w:color w:val="000000"/>
          <w:sz w:val="24"/>
          <w:szCs w:val="24"/>
        </w:rPr>
        <w:t>期货</w:t>
      </w:r>
      <w:r>
        <w:rPr>
          <w:rFonts w:hint="eastAsia"/>
          <w:color w:val="000000"/>
          <w:sz w:val="24"/>
          <w:szCs w:val="24"/>
        </w:rPr>
        <w:t>经纪</w:t>
      </w:r>
      <w:r>
        <w:rPr>
          <w:color w:val="000000"/>
          <w:sz w:val="24"/>
          <w:szCs w:val="24"/>
        </w:rPr>
        <w:t>机构</w:t>
      </w:r>
    </w:p>
    <w:p w14:paraId="05E9C193" w14:textId="77777777" w:rsidR="007F0ECF" w:rsidRDefault="005B4DD9">
      <w:pPr>
        <w:adjustRightInd w:val="0"/>
        <w:spacing w:line="360" w:lineRule="auto"/>
        <w:ind w:firstLine="480"/>
        <w:rPr>
          <w:color w:val="000000"/>
          <w:sz w:val="24"/>
          <w:szCs w:val="24"/>
        </w:rPr>
      </w:pPr>
      <w:r>
        <w:rPr>
          <w:color w:val="000000"/>
          <w:sz w:val="24"/>
          <w:szCs w:val="24"/>
        </w:rPr>
        <w:t>基金管理人应设计选择代理证券买卖的证券</w:t>
      </w:r>
      <w:r>
        <w:rPr>
          <w:rFonts w:hint="eastAsia"/>
          <w:color w:val="000000"/>
          <w:sz w:val="24"/>
          <w:szCs w:val="24"/>
        </w:rPr>
        <w:t>经纪</w:t>
      </w:r>
      <w:r>
        <w:rPr>
          <w:color w:val="000000"/>
          <w:sz w:val="24"/>
          <w:szCs w:val="24"/>
        </w:rPr>
        <w:t>机构的标准和程序。基金管理人负责选择代理本基金证券买卖的证券</w:t>
      </w:r>
      <w:r>
        <w:rPr>
          <w:rFonts w:hint="eastAsia"/>
          <w:color w:val="000000"/>
          <w:sz w:val="24"/>
          <w:szCs w:val="24"/>
        </w:rPr>
        <w:t>经纪</w:t>
      </w:r>
      <w:r>
        <w:rPr>
          <w:color w:val="000000"/>
          <w:sz w:val="24"/>
          <w:szCs w:val="24"/>
        </w:rPr>
        <w:t>机构，</w:t>
      </w:r>
      <w:r>
        <w:rPr>
          <w:rFonts w:hint="eastAsia"/>
          <w:color w:val="000000"/>
          <w:sz w:val="24"/>
          <w:szCs w:val="24"/>
        </w:rPr>
        <w:t>并承担相应责任。基金管理人和被选择的证券经纪机构签订证券经纪合同或其他约定的形式，由基金管理人通知基金托管人，并按法律法规要求在法定信息披露报告中披露有关内容。基金管理人、基金托管人和证券经纪机构可就本基金参与证券交易的具体事项另行签订证券经纪服务协议</w:t>
      </w:r>
      <w:r>
        <w:rPr>
          <w:color w:val="000000"/>
          <w:sz w:val="24"/>
          <w:szCs w:val="24"/>
        </w:rPr>
        <w:t>。</w:t>
      </w:r>
      <w:r>
        <w:rPr>
          <w:rFonts w:hint="eastAsia"/>
          <w:color w:val="000000"/>
          <w:sz w:val="24"/>
          <w:szCs w:val="24"/>
        </w:rPr>
        <w:t>因相关法律法规或交易规则的修改带来的变化，以届时有效的法律法规和相关交易规则为准。</w:t>
      </w:r>
    </w:p>
    <w:p w14:paraId="73B3DD6C" w14:textId="77777777" w:rsidR="007F0ECF" w:rsidRDefault="005B4DD9">
      <w:pPr>
        <w:adjustRightInd w:val="0"/>
        <w:spacing w:line="360" w:lineRule="auto"/>
        <w:ind w:firstLine="480"/>
        <w:rPr>
          <w:color w:val="000000"/>
          <w:sz w:val="24"/>
          <w:szCs w:val="24"/>
        </w:rPr>
      </w:pPr>
      <w:r>
        <w:rPr>
          <w:rFonts w:hint="eastAsia"/>
          <w:color w:val="000000"/>
          <w:sz w:val="24"/>
          <w:szCs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14:paraId="56425AD7" w14:textId="77777777" w:rsidR="007F0ECF" w:rsidRDefault="005B4DD9">
      <w:pPr>
        <w:adjustRightInd w:val="0"/>
        <w:spacing w:line="360" w:lineRule="auto"/>
        <w:ind w:firstLine="480"/>
        <w:rPr>
          <w:color w:val="000000"/>
          <w:sz w:val="24"/>
          <w:szCs w:val="24"/>
        </w:rPr>
      </w:pPr>
      <w:r>
        <w:rPr>
          <w:color w:val="000000"/>
          <w:sz w:val="24"/>
          <w:szCs w:val="24"/>
        </w:rPr>
        <w:t>（二）基金投资证券后的清算交收安排</w:t>
      </w:r>
    </w:p>
    <w:p w14:paraId="4AA3C571" w14:textId="77777777" w:rsidR="007F0ECF" w:rsidRDefault="005B4DD9">
      <w:pPr>
        <w:adjustRightInd w:val="0"/>
        <w:spacing w:line="360" w:lineRule="auto"/>
        <w:ind w:firstLine="480"/>
        <w:rPr>
          <w:color w:val="000000"/>
          <w:sz w:val="24"/>
          <w:szCs w:val="24"/>
        </w:rPr>
      </w:pPr>
      <w:r>
        <w:rPr>
          <w:color w:val="000000"/>
          <w:sz w:val="24"/>
          <w:szCs w:val="24"/>
        </w:rPr>
        <w:t>1</w:t>
      </w:r>
      <w:r>
        <w:rPr>
          <w:rFonts w:hint="eastAsia"/>
          <w:color w:val="000000"/>
          <w:sz w:val="24"/>
          <w:szCs w:val="24"/>
        </w:rPr>
        <w:t>、</w:t>
      </w:r>
      <w:r>
        <w:rPr>
          <w:color w:val="000000"/>
          <w:sz w:val="24"/>
          <w:szCs w:val="24"/>
        </w:rPr>
        <w:t>清算与交割</w:t>
      </w:r>
    </w:p>
    <w:p w14:paraId="0FCA9757" w14:textId="77777777" w:rsidR="007F0ECF" w:rsidRDefault="005B4DD9">
      <w:pPr>
        <w:adjustRightInd w:val="0"/>
        <w:spacing w:line="360" w:lineRule="auto"/>
        <w:ind w:firstLine="480"/>
        <w:rPr>
          <w:color w:val="000000"/>
          <w:sz w:val="24"/>
          <w:szCs w:val="24"/>
        </w:rPr>
      </w:pPr>
      <w:r>
        <w:rPr>
          <w:rFonts w:hint="eastAsia"/>
          <w:color w:val="000000"/>
          <w:sz w:val="24"/>
          <w:szCs w:val="24"/>
        </w:rPr>
        <w:t>本基金通过证券经纪机构进行的交易由证券经纪机构作为结算参与人代理本基金进行结算；本基金通过期货经纪机构进行的交易由期货经纪机构作为结算参与人代理本基金进行结算；本基金其他证券交易由基金托管人或相关机构负责结算。基金管理人、基金托管人以及被选择的证券经纪机构应根据有关法律法规及相关业务规则，签订证券经纪服务协议，用以具体明确三方在证券交易资金结算业务中的责任。</w:t>
      </w:r>
    </w:p>
    <w:p w14:paraId="64CF9D23" w14:textId="77777777" w:rsidR="007F0ECF" w:rsidRDefault="005B4DD9">
      <w:pPr>
        <w:adjustRightInd w:val="0"/>
        <w:spacing w:line="360" w:lineRule="auto"/>
        <w:ind w:firstLine="480"/>
        <w:rPr>
          <w:color w:val="000000"/>
          <w:sz w:val="24"/>
          <w:szCs w:val="24"/>
        </w:rPr>
      </w:pPr>
      <w:r>
        <w:rPr>
          <w:rFonts w:hint="eastAsia"/>
          <w:color w:val="000000"/>
          <w:sz w:val="24"/>
          <w:szCs w:val="24"/>
        </w:rPr>
        <w:t>对基金管理人的资金划拨指令，基金托管人在复核无误后应在规定期限内执行不得延误。本基金投资于证券发生的所有场外交易的资金汇划，由基金托管人负责办理。</w:t>
      </w:r>
    </w:p>
    <w:p w14:paraId="1FAE78A6" w14:textId="77777777" w:rsidR="007F0ECF" w:rsidRDefault="005B4DD9">
      <w:pPr>
        <w:adjustRightInd w:val="0"/>
        <w:spacing w:line="360" w:lineRule="auto"/>
        <w:ind w:firstLine="480"/>
        <w:rPr>
          <w:color w:val="000000"/>
          <w:sz w:val="24"/>
          <w:szCs w:val="24"/>
        </w:rPr>
      </w:pPr>
      <w:r>
        <w:rPr>
          <w:rFonts w:hint="eastAsia"/>
          <w:color w:val="000000"/>
          <w:sz w:val="24"/>
          <w:szCs w:val="24"/>
        </w:rPr>
        <w:t>证券经纪机构代理本基金财产与中国证券登记结算有限责任公司完成证券交易及</w:t>
      </w:r>
      <w:proofErr w:type="gramStart"/>
      <w:r>
        <w:rPr>
          <w:rFonts w:hint="eastAsia"/>
          <w:color w:val="000000"/>
          <w:sz w:val="24"/>
          <w:szCs w:val="24"/>
        </w:rPr>
        <w:t>非交易</w:t>
      </w:r>
      <w:proofErr w:type="gramEnd"/>
      <w:r>
        <w:rPr>
          <w:rFonts w:hint="eastAsia"/>
          <w:color w:val="000000"/>
          <w:sz w:val="24"/>
          <w:szCs w:val="24"/>
        </w:rPr>
        <w:t>涉及的证券资金结算业务，并承担由证券经纪机构原因造成的正常结算、交收业务无法完成的责任。</w:t>
      </w:r>
    </w:p>
    <w:p w14:paraId="03574E2D" w14:textId="77777777" w:rsidR="007F0ECF" w:rsidRDefault="005B4DD9">
      <w:pPr>
        <w:adjustRightInd w:val="0"/>
        <w:spacing w:line="360" w:lineRule="auto"/>
        <w:ind w:firstLine="480"/>
        <w:rPr>
          <w:color w:val="000000"/>
          <w:sz w:val="24"/>
          <w:szCs w:val="24"/>
        </w:rPr>
      </w:pPr>
      <w:r>
        <w:rPr>
          <w:color w:val="000000"/>
          <w:sz w:val="24"/>
          <w:szCs w:val="24"/>
        </w:rPr>
        <w:t>2</w:t>
      </w:r>
      <w:r>
        <w:rPr>
          <w:rFonts w:hint="eastAsia"/>
          <w:color w:val="000000"/>
          <w:sz w:val="24"/>
          <w:szCs w:val="24"/>
        </w:rPr>
        <w:t>、交易记录、</w:t>
      </w:r>
      <w:r>
        <w:rPr>
          <w:color w:val="000000"/>
          <w:sz w:val="24"/>
          <w:szCs w:val="24"/>
        </w:rPr>
        <w:t>资金和证券</w:t>
      </w:r>
      <w:r>
        <w:rPr>
          <w:rFonts w:hint="eastAsia"/>
          <w:color w:val="000000"/>
          <w:sz w:val="24"/>
          <w:szCs w:val="24"/>
        </w:rPr>
        <w:t>/</w:t>
      </w:r>
      <w:r>
        <w:rPr>
          <w:rFonts w:hint="eastAsia"/>
          <w:color w:val="000000"/>
          <w:sz w:val="24"/>
          <w:szCs w:val="24"/>
        </w:rPr>
        <w:t>期货</w:t>
      </w:r>
      <w:r>
        <w:rPr>
          <w:color w:val="000000"/>
          <w:sz w:val="24"/>
          <w:szCs w:val="24"/>
        </w:rPr>
        <w:t>账目核对的时间和方式</w:t>
      </w:r>
    </w:p>
    <w:p w14:paraId="475ECDF8" w14:textId="77777777" w:rsidR="007F0ECF" w:rsidRDefault="005B4DD9">
      <w:pPr>
        <w:adjustRightInd w:val="0"/>
        <w:spacing w:line="360" w:lineRule="auto"/>
        <w:ind w:firstLine="480"/>
        <w:rPr>
          <w:color w:val="000000"/>
          <w:sz w:val="24"/>
          <w:szCs w:val="24"/>
        </w:rPr>
      </w:pPr>
      <w:r>
        <w:rPr>
          <w:color w:val="000000"/>
          <w:sz w:val="24"/>
          <w:szCs w:val="24"/>
        </w:rPr>
        <w:t>（</w:t>
      </w:r>
      <w:r>
        <w:rPr>
          <w:color w:val="000000"/>
          <w:sz w:val="24"/>
          <w:szCs w:val="24"/>
        </w:rPr>
        <w:t>1</w:t>
      </w:r>
      <w:r>
        <w:rPr>
          <w:color w:val="000000"/>
          <w:sz w:val="24"/>
          <w:szCs w:val="24"/>
        </w:rPr>
        <w:t>）交易记录的核对</w:t>
      </w:r>
    </w:p>
    <w:p w14:paraId="1B1070B9" w14:textId="77777777" w:rsidR="007F0ECF" w:rsidRDefault="005B4DD9">
      <w:pPr>
        <w:adjustRightInd w:val="0"/>
        <w:spacing w:line="360" w:lineRule="auto"/>
        <w:ind w:firstLineChars="200" w:firstLine="480"/>
        <w:rPr>
          <w:color w:val="000000"/>
          <w:sz w:val="24"/>
          <w:szCs w:val="24"/>
        </w:rPr>
      </w:pPr>
      <w:r>
        <w:rPr>
          <w:color w:val="000000"/>
          <w:kern w:val="0"/>
          <w:sz w:val="24"/>
          <w:szCs w:val="24"/>
        </w:rPr>
        <w:t>基金管理人</w:t>
      </w:r>
      <w:r>
        <w:rPr>
          <w:rFonts w:hint="eastAsia"/>
          <w:color w:val="000000"/>
          <w:kern w:val="0"/>
          <w:sz w:val="24"/>
          <w:szCs w:val="24"/>
        </w:rPr>
        <w:t>和基金托管人</w:t>
      </w:r>
      <w:r>
        <w:rPr>
          <w:color w:val="000000"/>
          <w:kern w:val="0"/>
          <w:sz w:val="24"/>
          <w:szCs w:val="24"/>
        </w:rPr>
        <w:t>按日进行交易记录的核对。对外披露净值之前，必</w:t>
      </w:r>
      <w:r>
        <w:rPr>
          <w:color w:val="000000"/>
          <w:kern w:val="0"/>
          <w:sz w:val="24"/>
          <w:szCs w:val="24"/>
        </w:rPr>
        <w:lastRenderedPageBreak/>
        <w:t>须保证当天所有实际交易记录与基金会计账簿上的交易记录完全一致。如果实际交易记录与会计账簿记录不一致，造成基金会计核算不完整或不真实，</w:t>
      </w:r>
      <w:r>
        <w:rPr>
          <w:rFonts w:hint="eastAsia"/>
          <w:color w:val="000000"/>
          <w:kern w:val="0"/>
          <w:sz w:val="24"/>
          <w:szCs w:val="24"/>
        </w:rPr>
        <w:t>由此给基金造成的损失如</w:t>
      </w:r>
      <w:proofErr w:type="gramStart"/>
      <w:r>
        <w:rPr>
          <w:rFonts w:hint="eastAsia"/>
          <w:color w:val="000000"/>
          <w:kern w:val="0"/>
          <w:sz w:val="24"/>
          <w:szCs w:val="24"/>
        </w:rPr>
        <w:t>系基金</w:t>
      </w:r>
      <w:proofErr w:type="gramEnd"/>
      <w:r>
        <w:rPr>
          <w:rFonts w:hint="eastAsia"/>
          <w:color w:val="000000"/>
          <w:kern w:val="0"/>
          <w:sz w:val="24"/>
          <w:szCs w:val="24"/>
        </w:rPr>
        <w:t>管理人的过错造成则由基金管理人承担。</w:t>
      </w:r>
    </w:p>
    <w:p w14:paraId="60C12393" w14:textId="77777777" w:rsidR="007F0ECF" w:rsidRDefault="005B4DD9">
      <w:pPr>
        <w:adjustRightInd w:val="0"/>
        <w:spacing w:line="360" w:lineRule="auto"/>
        <w:ind w:firstLineChars="200" w:firstLine="480"/>
        <w:rPr>
          <w:color w:val="000000"/>
          <w:sz w:val="24"/>
          <w:szCs w:val="24"/>
        </w:rPr>
      </w:pPr>
      <w:r>
        <w:rPr>
          <w:color w:val="000000"/>
          <w:sz w:val="24"/>
          <w:szCs w:val="24"/>
        </w:rPr>
        <w:t>（</w:t>
      </w:r>
      <w:r>
        <w:rPr>
          <w:color w:val="000000"/>
          <w:sz w:val="24"/>
          <w:szCs w:val="24"/>
        </w:rPr>
        <w:t>2</w:t>
      </w:r>
      <w:r>
        <w:rPr>
          <w:color w:val="000000"/>
          <w:sz w:val="24"/>
          <w:szCs w:val="24"/>
        </w:rPr>
        <w:t>）资金账目的核对</w:t>
      </w:r>
    </w:p>
    <w:p w14:paraId="6C7EAB58" w14:textId="77777777" w:rsidR="007F0ECF" w:rsidRDefault="005B4DD9">
      <w:pPr>
        <w:adjustRightInd w:val="0"/>
        <w:spacing w:line="360" w:lineRule="auto"/>
        <w:ind w:firstLine="480"/>
        <w:rPr>
          <w:color w:val="000000"/>
          <w:sz w:val="24"/>
          <w:szCs w:val="24"/>
        </w:rPr>
      </w:pPr>
      <w:r>
        <w:rPr>
          <w:color w:val="000000"/>
          <w:sz w:val="24"/>
          <w:szCs w:val="24"/>
        </w:rPr>
        <w:t>资金账目按日核实，账实相符。</w:t>
      </w:r>
    </w:p>
    <w:p w14:paraId="52805337" w14:textId="77777777" w:rsidR="007F0ECF" w:rsidRDefault="005B4DD9">
      <w:pPr>
        <w:adjustRightInd w:val="0"/>
        <w:spacing w:line="360" w:lineRule="auto"/>
        <w:ind w:firstLine="480"/>
        <w:rPr>
          <w:color w:val="000000"/>
          <w:sz w:val="24"/>
          <w:szCs w:val="24"/>
        </w:rPr>
      </w:pPr>
      <w:r>
        <w:rPr>
          <w:color w:val="000000"/>
          <w:sz w:val="24"/>
          <w:szCs w:val="24"/>
        </w:rPr>
        <w:t>（</w:t>
      </w:r>
      <w:r>
        <w:rPr>
          <w:color w:val="000000"/>
          <w:sz w:val="24"/>
          <w:szCs w:val="24"/>
        </w:rPr>
        <w:t>3</w:t>
      </w:r>
      <w:r>
        <w:rPr>
          <w:color w:val="000000"/>
          <w:sz w:val="24"/>
          <w:szCs w:val="24"/>
        </w:rPr>
        <w:t>）证券</w:t>
      </w:r>
      <w:r>
        <w:rPr>
          <w:rFonts w:hint="eastAsia"/>
          <w:color w:val="000000"/>
          <w:sz w:val="24"/>
          <w:szCs w:val="24"/>
        </w:rPr>
        <w:t>/</w:t>
      </w:r>
      <w:r>
        <w:rPr>
          <w:rFonts w:hint="eastAsia"/>
          <w:color w:val="000000"/>
          <w:sz w:val="24"/>
          <w:szCs w:val="24"/>
        </w:rPr>
        <w:t>期货</w:t>
      </w:r>
      <w:r>
        <w:rPr>
          <w:color w:val="000000"/>
          <w:sz w:val="24"/>
          <w:szCs w:val="24"/>
        </w:rPr>
        <w:t>账目的核对</w:t>
      </w:r>
    </w:p>
    <w:p w14:paraId="200555C0" w14:textId="77777777" w:rsidR="007F0ECF" w:rsidRDefault="005B4DD9">
      <w:pPr>
        <w:adjustRightInd w:val="0"/>
        <w:spacing w:line="360" w:lineRule="auto"/>
        <w:ind w:firstLine="480"/>
        <w:rPr>
          <w:color w:val="000000"/>
          <w:sz w:val="24"/>
          <w:szCs w:val="24"/>
        </w:rPr>
      </w:pPr>
      <w:r>
        <w:rPr>
          <w:color w:val="000000"/>
          <w:sz w:val="24"/>
          <w:szCs w:val="24"/>
        </w:rPr>
        <w:t>基金托管人应按时核对证券</w:t>
      </w:r>
      <w:r>
        <w:rPr>
          <w:rFonts w:hint="eastAsia"/>
          <w:color w:val="000000"/>
          <w:sz w:val="24"/>
          <w:szCs w:val="24"/>
        </w:rPr>
        <w:t>/</w:t>
      </w:r>
      <w:r>
        <w:rPr>
          <w:rFonts w:hint="eastAsia"/>
          <w:color w:val="000000"/>
          <w:sz w:val="24"/>
          <w:szCs w:val="24"/>
        </w:rPr>
        <w:t>期货</w:t>
      </w:r>
      <w:r>
        <w:rPr>
          <w:color w:val="000000"/>
          <w:sz w:val="24"/>
          <w:szCs w:val="24"/>
        </w:rPr>
        <w:t>账户中的种类和数量</w:t>
      </w:r>
      <w:r>
        <w:rPr>
          <w:rFonts w:hint="eastAsia"/>
          <w:color w:val="000000"/>
          <w:sz w:val="24"/>
          <w:szCs w:val="24"/>
        </w:rPr>
        <w:t>，确保每日交易结束后证券</w:t>
      </w:r>
      <w:r>
        <w:rPr>
          <w:rFonts w:hint="eastAsia"/>
          <w:color w:val="000000"/>
          <w:sz w:val="24"/>
          <w:szCs w:val="24"/>
        </w:rPr>
        <w:t>/</w:t>
      </w:r>
      <w:r>
        <w:rPr>
          <w:rFonts w:hint="eastAsia"/>
          <w:color w:val="000000"/>
          <w:sz w:val="24"/>
          <w:szCs w:val="24"/>
        </w:rPr>
        <w:t>期货账户</w:t>
      </w:r>
      <w:proofErr w:type="gramStart"/>
      <w:r>
        <w:rPr>
          <w:rFonts w:hint="eastAsia"/>
          <w:color w:val="000000"/>
          <w:sz w:val="24"/>
          <w:szCs w:val="24"/>
        </w:rPr>
        <w:t>中证券</w:t>
      </w:r>
      <w:proofErr w:type="gramEnd"/>
      <w:r>
        <w:rPr>
          <w:rFonts w:hint="eastAsia"/>
          <w:color w:val="000000"/>
          <w:sz w:val="24"/>
          <w:szCs w:val="24"/>
        </w:rPr>
        <w:t>/</w:t>
      </w:r>
      <w:r>
        <w:rPr>
          <w:rFonts w:hint="eastAsia"/>
          <w:color w:val="000000"/>
          <w:sz w:val="24"/>
          <w:szCs w:val="24"/>
        </w:rPr>
        <w:t>期货的种类和数量与基金会计账簿中的记载一致。</w:t>
      </w:r>
    </w:p>
    <w:p w14:paraId="07B76864" w14:textId="77777777" w:rsidR="007F0ECF" w:rsidRDefault="005B4DD9">
      <w:pPr>
        <w:adjustRightInd w:val="0"/>
        <w:spacing w:line="360" w:lineRule="auto"/>
        <w:ind w:firstLine="480"/>
        <w:rPr>
          <w:color w:val="000000"/>
          <w:sz w:val="24"/>
          <w:szCs w:val="24"/>
        </w:rPr>
      </w:pPr>
      <w:r>
        <w:rPr>
          <w:rFonts w:hint="eastAsia"/>
          <w:color w:val="000000"/>
          <w:sz w:val="24"/>
          <w:szCs w:val="24"/>
        </w:rPr>
        <w:t>（</w:t>
      </w:r>
      <w:r>
        <w:rPr>
          <w:color w:val="000000"/>
          <w:sz w:val="24"/>
          <w:szCs w:val="24"/>
        </w:rPr>
        <w:t>4</w:t>
      </w:r>
      <w:r>
        <w:rPr>
          <w:color w:val="000000"/>
          <w:sz w:val="24"/>
          <w:szCs w:val="24"/>
        </w:rPr>
        <w:t>）实物</w:t>
      </w:r>
      <w:proofErr w:type="gramStart"/>
      <w:r>
        <w:rPr>
          <w:color w:val="000000"/>
          <w:sz w:val="24"/>
          <w:szCs w:val="24"/>
        </w:rPr>
        <w:t>券</w:t>
      </w:r>
      <w:proofErr w:type="gramEnd"/>
      <w:r>
        <w:rPr>
          <w:color w:val="000000"/>
          <w:sz w:val="24"/>
          <w:szCs w:val="24"/>
        </w:rPr>
        <w:t>账目</w:t>
      </w:r>
    </w:p>
    <w:p w14:paraId="222C7C4D" w14:textId="77777777" w:rsidR="007F0ECF" w:rsidRDefault="005B4DD9">
      <w:pPr>
        <w:adjustRightInd w:val="0"/>
        <w:spacing w:line="360" w:lineRule="auto"/>
        <w:ind w:firstLine="480"/>
        <w:rPr>
          <w:color w:val="000000"/>
          <w:sz w:val="24"/>
          <w:szCs w:val="24"/>
        </w:rPr>
      </w:pPr>
      <w:r>
        <w:rPr>
          <w:rFonts w:hint="eastAsia"/>
          <w:color w:val="000000"/>
          <w:sz w:val="24"/>
          <w:szCs w:val="24"/>
        </w:rPr>
        <w:t>实物</w:t>
      </w:r>
      <w:proofErr w:type="gramStart"/>
      <w:r>
        <w:rPr>
          <w:rFonts w:hint="eastAsia"/>
          <w:color w:val="000000"/>
          <w:sz w:val="24"/>
          <w:szCs w:val="24"/>
        </w:rPr>
        <w:t>券</w:t>
      </w:r>
      <w:proofErr w:type="gramEnd"/>
      <w:r>
        <w:rPr>
          <w:rFonts w:hint="eastAsia"/>
          <w:color w:val="000000"/>
          <w:sz w:val="24"/>
          <w:szCs w:val="24"/>
        </w:rPr>
        <w:t>账目，每月月</w:t>
      </w:r>
      <w:proofErr w:type="gramStart"/>
      <w:r>
        <w:rPr>
          <w:rFonts w:hint="eastAsia"/>
          <w:color w:val="000000"/>
          <w:sz w:val="24"/>
          <w:szCs w:val="24"/>
        </w:rPr>
        <w:t>末相关</w:t>
      </w:r>
      <w:proofErr w:type="gramEnd"/>
      <w:r>
        <w:rPr>
          <w:rFonts w:hint="eastAsia"/>
          <w:color w:val="000000"/>
          <w:sz w:val="24"/>
          <w:szCs w:val="24"/>
        </w:rPr>
        <w:t>各方进行账实核对。</w:t>
      </w:r>
    </w:p>
    <w:p w14:paraId="1FA963C0" w14:textId="77777777" w:rsidR="007F0ECF" w:rsidRDefault="005B4DD9">
      <w:pPr>
        <w:adjustRightInd w:val="0"/>
        <w:spacing w:line="360" w:lineRule="auto"/>
        <w:ind w:firstLineChars="200" w:firstLine="480"/>
        <w:rPr>
          <w:color w:val="000000"/>
          <w:sz w:val="24"/>
          <w:szCs w:val="24"/>
        </w:rPr>
      </w:pPr>
      <w:r>
        <w:rPr>
          <w:color w:val="000000"/>
          <w:sz w:val="24"/>
          <w:szCs w:val="24"/>
        </w:rPr>
        <w:t>（三）基金申购</w:t>
      </w:r>
      <w:r>
        <w:rPr>
          <w:rFonts w:hint="eastAsia"/>
          <w:color w:val="000000"/>
          <w:sz w:val="24"/>
          <w:szCs w:val="24"/>
        </w:rPr>
        <w:t>、</w:t>
      </w:r>
      <w:r>
        <w:rPr>
          <w:color w:val="000000"/>
          <w:sz w:val="24"/>
          <w:szCs w:val="24"/>
        </w:rPr>
        <w:t>赎回</w:t>
      </w:r>
      <w:r>
        <w:rPr>
          <w:rFonts w:hint="eastAsia"/>
          <w:color w:val="000000"/>
          <w:sz w:val="24"/>
          <w:szCs w:val="24"/>
        </w:rPr>
        <w:t>及转换</w:t>
      </w:r>
      <w:r>
        <w:rPr>
          <w:color w:val="000000"/>
          <w:sz w:val="24"/>
          <w:szCs w:val="24"/>
        </w:rPr>
        <w:t>业务处理的基本规定</w:t>
      </w:r>
    </w:p>
    <w:p w14:paraId="4064850E" w14:textId="77777777" w:rsidR="007F0ECF" w:rsidRDefault="005B4DD9">
      <w:pPr>
        <w:adjustRightInd w:val="0"/>
        <w:spacing w:line="360" w:lineRule="auto"/>
        <w:ind w:firstLine="480"/>
        <w:rPr>
          <w:color w:val="000000"/>
          <w:sz w:val="24"/>
          <w:szCs w:val="24"/>
        </w:rPr>
      </w:pPr>
      <w:r>
        <w:rPr>
          <w:color w:val="000000"/>
          <w:sz w:val="24"/>
          <w:szCs w:val="24"/>
        </w:rPr>
        <w:t>1</w:t>
      </w:r>
      <w:r>
        <w:rPr>
          <w:rFonts w:hint="eastAsia"/>
          <w:color w:val="000000"/>
          <w:sz w:val="24"/>
          <w:szCs w:val="24"/>
        </w:rPr>
        <w:t>、</w:t>
      </w:r>
      <w:r>
        <w:rPr>
          <w:color w:val="000000"/>
          <w:sz w:val="24"/>
          <w:szCs w:val="24"/>
        </w:rPr>
        <w:t>基金份额申购、赎回</w:t>
      </w:r>
      <w:r>
        <w:rPr>
          <w:rFonts w:hint="eastAsia"/>
          <w:color w:val="000000"/>
          <w:sz w:val="24"/>
          <w:szCs w:val="24"/>
        </w:rPr>
        <w:t>及转换</w:t>
      </w:r>
      <w:r>
        <w:rPr>
          <w:color w:val="000000"/>
          <w:sz w:val="24"/>
          <w:szCs w:val="24"/>
        </w:rPr>
        <w:t>的确认、清算由基金管理人</w:t>
      </w:r>
      <w:r>
        <w:rPr>
          <w:rFonts w:hint="eastAsia"/>
          <w:color w:val="000000"/>
          <w:sz w:val="24"/>
          <w:szCs w:val="24"/>
        </w:rPr>
        <w:t>或基金管理人委托</w:t>
      </w:r>
      <w:r>
        <w:rPr>
          <w:color w:val="000000"/>
          <w:sz w:val="24"/>
          <w:szCs w:val="24"/>
        </w:rPr>
        <w:t>的登记机构负责。</w:t>
      </w:r>
    </w:p>
    <w:p w14:paraId="6B514ECA" w14:textId="77777777" w:rsidR="007F0ECF" w:rsidRDefault="005B4DD9">
      <w:pPr>
        <w:adjustRightInd w:val="0"/>
        <w:spacing w:line="360" w:lineRule="auto"/>
        <w:ind w:firstLine="480"/>
        <w:rPr>
          <w:color w:val="000000"/>
          <w:sz w:val="24"/>
          <w:szCs w:val="24"/>
        </w:rPr>
      </w:pPr>
      <w:r>
        <w:rPr>
          <w:color w:val="000000"/>
          <w:sz w:val="24"/>
          <w:szCs w:val="24"/>
        </w:rPr>
        <w:t>2</w:t>
      </w:r>
      <w:r>
        <w:rPr>
          <w:rFonts w:hint="eastAsia"/>
          <w:color w:val="000000"/>
          <w:sz w:val="24"/>
          <w:szCs w:val="24"/>
        </w:rPr>
        <w:t>、</w:t>
      </w:r>
      <w:r>
        <w:rPr>
          <w:color w:val="000000"/>
          <w:sz w:val="24"/>
          <w:szCs w:val="24"/>
        </w:rPr>
        <w:t>基金管理人应将每个开放日的申购、赎回、转换开放式基金的数据传送给基金托管人。基金管理人应对传递的申购、赎回、转换开放式基金的数据真实性负责。</w:t>
      </w:r>
    </w:p>
    <w:p w14:paraId="29487A05" w14:textId="77777777" w:rsidR="007F0ECF" w:rsidRDefault="005B4DD9">
      <w:pPr>
        <w:adjustRightInd w:val="0"/>
        <w:spacing w:line="360" w:lineRule="auto"/>
        <w:ind w:firstLine="480"/>
        <w:rPr>
          <w:color w:val="000000"/>
          <w:sz w:val="24"/>
          <w:szCs w:val="24"/>
        </w:rPr>
      </w:pPr>
      <w:r>
        <w:rPr>
          <w:color w:val="000000"/>
          <w:sz w:val="24"/>
          <w:szCs w:val="24"/>
        </w:rPr>
        <w:t>3</w:t>
      </w:r>
      <w:r>
        <w:rPr>
          <w:rFonts w:hint="eastAsia"/>
          <w:color w:val="000000"/>
          <w:sz w:val="24"/>
          <w:szCs w:val="24"/>
        </w:rPr>
        <w:t>、</w:t>
      </w:r>
      <w:r>
        <w:rPr>
          <w:color w:val="000000"/>
          <w:sz w:val="24"/>
          <w:szCs w:val="24"/>
        </w:rPr>
        <w:t>如基金管理人委托其他机构办理本基金的登记业务，基金管理人应保证其委托的登记机构必须于每个工作日</w:t>
      </w:r>
      <w:r>
        <w:rPr>
          <w:color w:val="000000"/>
          <w:sz w:val="24"/>
          <w:szCs w:val="24"/>
        </w:rPr>
        <w:t>15:00</w:t>
      </w:r>
      <w:r>
        <w:rPr>
          <w:color w:val="000000"/>
          <w:sz w:val="24"/>
          <w:szCs w:val="24"/>
        </w:rPr>
        <w:t>前向基金托管人发送</w:t>
      </w:r>
      <w:r>
        <w:rPr>
          <w:rFonts w:hint="eastAsia"/>
          <w:color w:val="000000"/>
          <w:sz w:val="24"/>
          <w:szCs w:val="24"/>
        </w:rPr>
        <w:t>前一</w:t>
      </w:r>
      <w:r>
        <w:rPr>
          <w:color w:val="000000"/>
          <w:sz w:val="24"/>
          <w:szCs w:val="24"/>
        </w:rPr>
        <w:t>开放</w:t>
      </w:r>
      <w:proofErr w:type="gramStart"/>
      <w:r>
        <w:rPr>
          <w:color w:val="000000"/>
          <w:sz w:val="24"/>
          <w:szCs w:val="24"/>
        </w:rPr>
        <w:t>日上述</w:t>
      </w:r>
      <w:proofErr w:type="gramEnd"/>
      <w:r>
        <w:rPr>
          <w:color w:val="000000"/>
          <w:sz w:val="24"/>
          <w:szCs w:val="24"/>
        </w:rPr>
        <w:t>有关数据，并保证相关数据的准确、完整。</w:t>
      </w:r>
    </w:p>
    <w:p w14:paraId="5C7DD52D" w14:textId="77777777" w:rsidR="007F0ECF" w:rsidRDefault="005B4DD9">
      <w:pPr>
        <w:adjustRightInd w:val="0"/>
        <w:spacing w:line="360" w:lineRule="auto"/>
        <w:ind w:firstLine="480"/>
        <w:rPr>
          <w:color w:val="000000"/>
          <w:sz w:val="24"/>
          <w:szCs w:val="24"/>
        </w:rPr>
      </w:pPr>
      <w:r>
        <w:rPr>
          <w:color w:val="000000"/>
          <w:sz w:val="24"/>
          <w:szCs w:val="24"/>
        </w:rPr>
        <w:t>4</w:t>
      </w:r>
      <w:r>
        <w:rPr>
          <w:rFonts w:hint="eastAsia"/>
          <w:color w:val="000000"/>
          <w:sz w:val="24"/>
          <w:szCs w:val="24"/>
        </w:rPr>
        <w:t>、</w:t>
      </w:r>
      <w:r>
        <w:rPr>
          <w:color w:val="000000"/>
          <w:sz w:val="24"/>
          <w:szCs w:val="24"/>
        </w:rPr>
        <w:t>登记机构应通过与基金托管人建立的系统发送有关数据，如因各种原因，该系统无法正常发送，双方可协商解决处理方式。基金管理人向基金托管人发送的数据，双方各自按有关规定保存。</w:t>
      </w:r>
    </w:p>
    <w:p w14:paraId="62680480" w14:textId="77777777" w:rsidR="007F0ECF" w:rsidRDefault="005B4DD9">
      <w:pPr>
        <w:adjustRightInd w:val="0"/>
        <w:spacing w:line="360" w:lineRule="auto"/>
        <w:ind w:firstLine="480"/>
        <w:rPr>
          <w:color w:val="000000"/>
          <w:sz w:val="24"/>
          <w:szCs w:val="24"/>
        </w:rPr>
      </w:pPr>
      <w:r>
        <w:rPr>
          <w:rFonts w:hint="eastAsia"/>
          <w:color w:val="000000"/>
          <w:sz w:val="24"/>
          <w:szCs w:val="24"/>
        </w:rPr>
        <w:t>5</w:t>
      </w:r>
      <w:r>
        <w:rPr>
          <w:rFonts w:hint="eastAsia"/>
          <w:color w:val="000000"/>
          <w:sz w:val="24"/>
          <w:szCs w:val="24"/>
        </w:rPr>
        <w:t>、</w:t>
      </w:r>
      <w:r>
        <w:rPr>
          <w:color w:val="000000"/>
          <w:sz w:val="24"/>
          <w:szCs w:val="24"/>
        </w:rPr>
        <w:t>关于清算专用账户的设立和管理</w:t>
      </w:r>
    </w:p>
    <w:p w14:paraId="4B818495" w14:textId="77777777" w:rsidR="007F0ECF" w:rsidRDefault="005B4DD9">
      <w:pPr>
        <w:adjustRightInd w:val="0"/>
        <w:spacing w:line="360" w:lineRule="auto"/>
        <w:ind w:firstLine="480"/>
        <w:rPr>
          <w:color w:val="000000"/>
          <w:sz w:val="24"/>
          <w:szCs w:val="24"/>
        </w:rPr>
      </w:pPr>
      <w:r>
        <w:rPr>
          <w:color w:val="000000"/>
          <w:sz w:val="24"/>
          <w:szCs w:val="24"/>
        </w:rPr>
        <w:t>为满足申购、赎回及分红资金汇划的需要，由基金管理人开立资金清算的专用账户，该账户由登记机构管理。</w:t>
      </w:r>
    </w:p>
    <w:p w14:paraId="42C8190D" w14:textId="77777777" w:rsidR="007F0ECF" w:rsidRDefault="005B4DD9">
      <w:pPr>
        <w:adjustRightInd w:val="0"/>
        <w:spacing w:line="360" w:lineRule="auto"/>
        <w:ind w:firstLineChars="200" w:firstLine="480"/>
        <w:rPr>
          <w:color w:val="000000"/>
          <w:sz w:val="24"/>
          <w:szCs w:val="24"/>
        </w:rPr>
      </w:pPr>
      <w:r>
        <w:rPr>
          <w:color w:val="000000"/>
          <w:sz w:val="24"/>
          <w:szCs w:val="24"/>
        </w:rPr>
        <w:t>（四）</w:t>
      </w:r>
      <w:r>
        <w:rPr>
          <w:rFonts w:hint="eastAsia"/>
          <w:color w:val="000000"/>
          <w:sz w:val="24"/>
          <w:szCs w:val="24"/>
        </w:rPr>
        <w:t>开放式基金申购、赎回和基金转换的资金清算</w:t>
      </w:r>
    </w:p>
    <w:p w14:paraId="1175E829" w14:textId="77777777" w:rsidR="007F0ECF" w:rsidRDefault="005B4DD9">
      <w:pPr>
        <w:spacing w:line="360" w:lineRule="auto"/>
        <w:ind w:right="28" w:firstLineChars="200" w:firstLine="480"/>
        <w:rPr>
          <w:sz w:val="24"/>
          <w:szCs w:val="24"/>
        </w:rPr>
      </w:pPr>
      <w:r>
        <w:rPr>
          <w:rFonts w:hint="eastAsia"/>
          <w:sz w:val="24"/>
          <w:szCs w:val="24"/>
        </w:rPr>
        <w:t>如果当日基金为净应收款，基金管理人最晚不迟于款项</w:t>
      </w:r>
      <w:proofErr w:type="gramStart"/>
      <w:r>
        <w:rPr>
          <w:rFonts w:hint="eastAsia"/>
          <w:sz w:val="24"/>
          <w:szCs w:val="24"/>
        </w:rPr>
        <w:t>交收日当日</w:t>
      </w:r>
      <w:proofErr w:type="gramEnd"/>
      <w:r>
        <w:rPr>
          <w:rFonts w:hint="eastAsia"/>
          <w:sz w:val="24"/>
          <w:szCs w:val="24"/>
        </w:rPr>
        <w:t>17:00</w:t>
      </w:r>
      <w:r>
        <w:rPr>
          <w:sz w:val="24"/>
          <w:szCs w:val="24"/>
        </w:rPr>
        <w:t>前将资金</w:t>
      </w:r>
      <w:proofErr w:type="gramStart"/>
      <w:r>
        <w:rPr>
          <w:sz w:val="24"/>
          <w:szCs w:val="24"/>
        </w:rPr>
        <w:t>划往资产</w:t>
      </w:r>
      <w:proofErr w:type="gramEnd"/>
      <w:r>
        <w:rPr>
          <w:sz w:val="24"/>
          <w:szCs w:val="24"/>
        </w:rPr>
        <w:t>托管专户。</w:t>
      </w:r>
    </w:p>
    <w:p w14:paraId="7358179A" w14:textId="77777777" w:rsidR="007F0ECF" w:rsidRDefault="005B4DD9">
      <w:pPr>
        <w:spacing w:line="360" w:lineRule="auto"/>
        <w:ind w:right="28" w:firstLineChars="200" w:firstLine="480"/>
        <w:rPr>
          <w:sz w:val="24"/>
          <w:szCs w:val="24"/>
        </w:rPr>
      </w:pPr>
      <w:r>
        <w:rPr>
          <w:rFonts w:hint="eastAsia"/>
          <w:sz w:val="24"/>
          <w:szCs w:val="24"/>
        </w:rPr>
        <w:t>基金托管人应及时查收资金是否到账，对于未准时到账的资金，应及时通知</w:t>
      </w:r>
      <w:r>
        <w:rPr>
          <w:rFonts w:hint="eastAsia"/>
          <w:sz w:val="24"/>
          <w:szCs w:val="24"/>
        </w:rPr>
        <w:lastRenderedPageBreak/>
        <w:t>基金管理人划付，因基金管理人过错产生的责任应由基金管理人承担。</w:t>
      </w:r>
    </w:p>
    <w:p w14:paraId="158E5D51" w14:textId="77777777" w:rsidR="007F0ECF" w:rsidRDefault="005B4DD9">
      <w:pPr>
        <w:spacing w:line="360" w:lineRule="auto"/>
        <w:ind w:firstLine="480"/>
        <w:rPr>
          <w:color w:val="000000"/>
          <w:sz w:val="24"/>
          <w:szCs w:val="24"/>
        </w:rPr>
      </w:pPr>
      <w:r>
        <w:rPr>
          <w:rFonts w:hint="eastAsia"/>
          <w:sz w:val="24"/>
          <w:szCs w:val="24"/>
        </w:rPr>
        <w:t>如果当日基金为净应付款，基金托管人应根据基金管理人的指令及时进行划付。如果指令接收时，账户余额不足支付，以账户足额时间为指令接收时间。</w:t>
      </w:r>
      <w:r>
        <w:rPr>
          <w:color w:val="000000"/>
          <w:sz w:val="24"/>
          <w:szCs w:val="24"/>
        </w:rPr>
        <w:t>因基金托管资金账户没有足够的资金，导致基金托管人不能按时拨付，如</w:t>
      </w:r>
      <w:proofErr w:type="gramStart"/>
      <w:r>
        <w:rPr>
          <w:color w:val="000000"/>
          <w:sz w:val="24"/>
          <w:szCs w:val="24"/>
        </w:rPr>
        <w:t>系基金</w:t>
      </w:r>
      <w:proofErr w:type="gramEnd"/>
      <w:r>
        <w:rPr>
          <w:color w:val="000000"/>
          <w:sz w:val="24"/>
          <w:szCs w:val="24"/>
        </w:rPr>
        <w:t>管理人的原因造成，责任由基金管理人承担，基金托管人不承担垫款义务</w:t>
      </w:r>
      <w:r>
        <w:rPr>
          <w:rFonts w:hint="eastAsia"/>
          <w:color w:val="000000"/>
          <w:sz w:val="24"/>
          <w:szCs w:val="24"/>
        </w:rPr>
        <w:t>，但应及时通知基金管理人</w:t>
      </w:r>
      <w:r>
        <w:rPr>
          <w:color w:val="000000"/>
          <w:sz w:val="24"/>
          <w:szCs w:val="24"/>
        </w:rPr>
        <w:t>。</w:t>
      </w:r>
    </w:p>
    <w:p w14:paraId="119EB556"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（五）基金收益分配的清算交收安排</w:t>
      </w:r>
    </w:p>
    <w:p w14:paraId="109F4D9B" w14:textId="77777777" w:rsidR="007F0ECF" w:rsidRDefault="005B4DD9">
      <w:pPr>
        <w:tabs>
          <w:tab w:val="left" w:pos="1260"/>
        </w:tabs>
        <w:spacing w:line="360" w:lineRule="auto"/>
        <w:ind w:firstLineChars="200" w:firstLine="480"/>
        <w:rPr>
          <w:color w:val="000000"/>
          <w:kern w:val="0"/>
          <w:sz w:val="24"/>
          <w:szCs w:val="24"/>
        </w:rPr>
      </w:pPr>
      <w:r>
        <w:rPr>
          <w:color w:val="000000"/>
          <w:kern w:val="0"/>
          <w:sz w:val="24"/>
          <w:szCs w:val="24"/>
        </w:rPr>
        <w:t>1</w:t>
      </w:r>
      <w:r>
        <w:rPr>
          <w:rFonts w:hint="eastAsia"/>
          <w:color w:val="000000"/>
          <w:kern w:val="0"/>
          <w:sz w:val="24"/>
          <w:szCs w:val="24"/>
        </w:rPr>
        <w:t>、基金管理人决定收益分配方案并通知基金托管人，经基金托管人复核后公告。</w:t>
      </w:r>
    </w:p>
    <w:p w14:paraId="4A70F0F9" w14:textId="77777777" w:rsidR="007F0ECF" w:rsidRDefault="005B4DD9">
      <w:pPr>
        <w:tabs>
          <w:tab w:val="left" w:pos="1260"/>
        </w:tabs>
        <w:spacing w:line="360" w:lineRule="auto"/>
        <w:ind w:firstLineChars="200" w:firstLine="480"/>
        <w:rPr>
          <w:color w:val="000000"/>
          <w:kern w:val="0"/>
          <w:sz w:val="24"/>
          <w:szCs w:val="24"/>
        </w:rPr>
      </w:pPr>
      <w:r>
        <w:rPr>
          <w:color w:val="000000"/>
          <w:kern w:val="0"/>
          <w:sz w:val="24"/>
          <w:szCs w:val="24"/>
        </w:rPr>
        <w:t>2</w:t>
      </w:r>
      <w:r>
        <w:rPr>
          <w:rFonts w:hint="eastAsia"/>
          <w:color w:val="000000"/>
          <w:kern w:val="0"/>
          <w:sz w:val="24"/>
          <w:szCs w:val="24"/>
        </w:rPr>
        <w:t>、基金托管人和基金管理人对基金收益分配进行账务处理并核对后，基金管理人应及时向基金托管人发送现金红利的划款指令，基金托管人依据划款指令在指定</w:t>
      </w:r>
      <w:proofErr w:type="gramStart"/>
      <w:r>
        <w:rPr>
          <w:rFonts w:hint="eastAsia"/>
          <w:color w:val="000000"/>
          <w:kern w:val="0"/>
          <w:sz w:val="24"/>
          <w:szCs w:val="24"/>
        </w:rPr>
        <w:t>划付日</w:t>
      </w:r>
      <w:proofErr w:type="gramEnd"/>
      <w:r>
        <w:rPr>
          <w:rFonts w:hint="eastAsia"/>
          <w:color w:val="000000"/>
          <w:kern w:val="0"/>
          <w:sz w:val="24"/>
          <w:szCs w:val="24"/>
        </w:rPr>
        <w:t>及时将资金划至基金管理人指定账户。</w:t>
      </w:r>
    </w:p>
    <w:p w14:paraId="51512E16" w14:textId="77777777" w:rsidR="007F0ECF" w:rsidRDefault="005B4DD9">
      <w:pPr>
        <w:spacing w:line="360" w:lineRule="auto"/>
        <w:ind w:firstLine="480"/>
        <w:rPr>
          <w:color w:val="000000"/>
          <w:kern w:val="0"/>
          <w:sz w:val="24"/>
          <w:szCs w:val="24"/>
        </w:rPr>
      </w:pPr>
      <w:r>
        <w:rPr>
          <w:color w:val="000000"/>
          <w:kern w:val="0"/>
          <w:sz w:val="24"/>
          <w:szCs w:val="24"/>
        </w:rPr>
        <w:t>3</w:t>
      </w:r>
      <w:r>
        <w:rPr>
          <w:rFonts w:hint="eastAsia"/>
          <w:color w:val="000000"/>
          <w:kern w:val="0"/>
          <w:sz w:val="24"/>
          <w:szCs w:val="24"/>
        </w:rPr>
        <w:t>、基金管理人在下达分红款支付指令时，应给基金托管人留出必需的划款时间。</w:t>
      </w:r>
    </w:p>
    <w:p w14:paraId="6E6E01FA" w14:textId="77777777" w:rsidR="007F0ECF" w:rsidRDefault="005B4DD9">
      <w:pPr>
        <w:pStyle w:val="2"/>
        <w:spacing w:line="360" w:lineRule="auto"/>
        <w:jc w:val="center"/>
        <w:rPr>
          <w:rFonts w:ascii="Times New Roman" w:eastAsia="宋体" w:hAnsi="Times New Roman"/>
          <w:color w:val="000000"/>
          <w:sz w:val="30"/>
          <w:szCs w:val="30"/>
        </w:rPr>
      </w:pPr>
      <w:r>
        <w:rPr>
          <w:rFonts w:ascii="Times New Roman" w:eastAsia="宋体" w:hAnsi="Times New Roman"/>
          <w:color w:val="000000"/>
          <w:sz w:val="24"/>
          <w:szCs w:val="24"/>
        </w:rPr>
        <w:br w:type="page"/>
      </w:r>
      <w:bookmarkStart w:id="98" w:name="_Toc497759443"/>
      <w:r>
        <w:rPr>
          <w:rFonts w:ascii="Times New Roman" w:eastAsia="宋体" w:hAnsi="Times New Roman"/>
          <w:color w:val="000000"/>
          <w:sz w:val="30"/>
          <w:szCs w:val="30"/>
        </w:rPr>
        <w:lastRenderedPageBreak/>
        <w:t>八、基金资产净值计算和会计核算</w:t>
      </w:r>
      <w:bookmarkEnd w:id="98"/>
    </w:p>
    <w:p w14:paraId="0D4EC45E" w14:textId="77777777" w:rsidR="007F0ECF" w:rsidRDefault="005B4DD9">
      <w:pPr>
        <w:adjustRightInd w:val="0"/>
        <w:spacing w:line="360" w:lineRule="auto"/>
        <w:ind w:firstLineChars="200" w:firstLine="480"/>
        <w:rPr>
          <w:color w:val="000000"/>
          <w:sz w:val="24"/>
          <w:szCs w:val="24"/>
        </w:rPr>
      </w:pPr>
      <w:r>
        <w:rPr>
          <w:color w:val="000000"/>
          <w:sz w:val="24"/>
          <w:szCs w:val="24"/>
        </w:rPr>
        <w:t>（一）基金资产净值的计算及</w:t>
      </w:r>
      <w:r>
        <w:rPr>
          <w:rFonts w:hint="eastAsia"/>
          <w:color w:val="000000"/>
          <w:sz w:val="24"/>
          <w:szCs w:val="24"/>
        </w:rPr>
        <w:t>复核</w:t>
      </w:r>
      <w:r>
        <w:rPr>
          <w:color w:val="000000"/>
          <w:sz w:val="24"/>
          <w:szCs w:val="24"/>
        </w:rPr>
        <w:t>程序</w:t>
      </w:r>
    </w:p>
    <w:p w14:paraId="21CFF708" w14:textId="77777777" w:rsidR="007F0ECF" w:rsidRDefault="005B4DD9">
      <w:pPr>
        <w:adjustRightInd w:val="0"/>
        <w:spacing w:line="360" w:lineRule="auto"/>
        <w:ind w:firstLineChars="200" w:firstLine="480"/>
        <w:rPr>
          <w:color w:val="000000"/>
          <w:sz w:val="24"/>
          <w:szCs w:val="24"/>
        </w:rPr>
      </w:pPr>
      <w:r>
        <w:rPr>
          <w:color w:val="000000"/>
          <w:sz w:val="24"/>
          <w:szCs w:val="24"/>
        </w:rPr>
        <w:t>1</w:t>
      </w:r>
      <w:r>
        <w:rPr>
          <w:rFonts w:hint="eastAsia"/>
          <w:color w:val="000000"/>
          <w:sz w:val="24"/>
          <w:szCs w:val="24"/>
        </w:rPr>
        <w:t>、</w:t>
      </w:r>
      <w:r>
        <w:rPr>
          <w:color w:val="000000"/>
          <w:sz w:val="24"/>
          <w:szCs w:val="24"/>
        </w:rPr>
        <w:t>基金资产净值</w:t>
      </w:r>
    </w:p>
    <w:p w14:paraId="4244C02D" w14:textId="77777777" w:rsidR="007F0ECF" w:rsidRDefault="005B4DD9">
      <w:pPr>
        <w:adjustRightInd w:val="0"/>
        <w:spacing w:line="360" w:lineRule="auto"/>
        <w:ind w:firstLineChars="200" w:firstLine="480"/>
        <w:rPr>
          <w:color w:val="000000"/>
          <w:sz w:val="24"/>
          <w:szCs w:val="24"/>
        </w:rPr>
      </w:pPr>
      <w:r>
        <w:rPr>
          <w:color w:val="000000"/>
          <w:sz w:val="24"/>
          <w:szCs w:val="24"/>
        </w:rPr>
        <w:t>基金资产净值是指基金资产总值减去</w:t>
      </w:r>
      <w:r>
        <w:rPr>
          <w:rFonts w:hint="eastAsia"/>
          <w:color w:val="000000"/>
          <w:sz w:val="24"/>
          <w:szCs w:val="24"/>
        </w:rPr>
        <w:t>基金</w:t>
      </w:r>
      <w:r>
        <w:rPr>
          <w:color w:val="000000"/>
          <w:sz w:val="24"/>
          <w:szCs w:val="24"/>
        </w:rPr>
        <w:t>负债后的</w:t>
      </w:r>
      <w:r>
        <w:rPr>
          <w:rFonts w:hint="eastAsia"/>
          <w:color w:val="000000"/>
          <w:sz w:val="24"/>
          <w:szCs w:val="24"/>
        </w:rPr>
        <w:t>价值</w:t>
      </w:r>
      <w:r>
        <w:rPr>
          <w:color w:val="000000"/>
          <w:sz w:val="24"/>
          <w:szCs w:val="24"/>
        </w:rPr>
        <w:t>。</w:t>
      </w:r>
    </w:p>
    <w:p w14:paraId="628D691E" w14:textId="77777777" w:rsidR="007F0ECF" w:rsidRDefault="005B4DD9">
      <w:pPr>
        <w:adjustRightInd w:val="0"/>
        <w:spacing w:line="360" w:lineRule="auto"/>
        <w:ind w:firstLineChars="200" w:firstLine="480"/>
        <w:rPr>
          <w:color w:val="000000"/>
          <w:sz w:val="24"/>
          <w:szCs w:val="24"/>
        </w:rPr>
      </w:pPr>
      <w:r>
        <w:rPr>
          <w:rFonts w:hint="eastAsia"/>
          <w:bCs/>
          <w:sz w:val="24"/>
        </w:rPr>
        <w:t>各类</w:t>
      </w:r>
      <w:r>
        <w:rPr>
          <w:bCs/>
          <w:sz w:val="24"/>
        </w:rPr>
        <w:t>基金份额净值是按照每个</w:t>
      </w:r>
      <w:r>
        <w:rPr>
          <w:rFonts w:hint="eastAsia"/>
          <w:bCs/>
          <w:sz w:val="24"/>
        </w:rPr>
        <w:t>估值日</w:t>
      </w:r>
      <w:r>
        <w:rPr>
          <w:bCs/>
          <w:sz w:val="24"/>
        </w:rPr>
        <w:t>闭市后，</w:t>
      </w:r>
      <w:r>
        <w:rPr>
          <w:rFonts w:hint="eastAsia"/>
          <w:bCs/>
          <w:sz w:val="24"/>
        </w:rPr>
        <w:t>各类</w:t>
      </w:r>
      <w:r>
        <w:rPr>
          <w:bCs/>
          <w:sz w:val="24"/>
        </w:rPr>
        <w:t>基金资产净值除以当日</w:t>
      </w:r>
      <w:r>
        <w:rPr>
          <w:rFonts w:hint="eastAsia"/>
          <w:bCs/>
          <w:sz w:val="24"/>
        </w:rPr>
        <w:t>该类</w:t>
      </w:r>
      <w:r>
        <w:rPr>
          <w:bCs/>
          <w:sz w:val="24"/>
        </w:rPr>
        <w:t>基金份额的余额数量计算，</w:t>
      </w:r>
      <w:r>
        <w:rPr>
          <w:rFonts w:hint="eastAsia"/>
          <w:bCs/>
          <w:sz w:val="24"/>
        </w:rPr>
        <w:t>各类基金份额净值均</w:t>
      </w:r>
      <w:r>
        <w:rPr>
          <w:bCs/>
          <w:sz w:val="24"/>
        </w:rPr>
        <w:t>精确到</w:t>
      </w:r>
      <w:r>
        <w:rPr>
          <w:rFonts w:hint="eastAsia"/>
          <w:bCs/>
          <w:sz w:val="24"/>
        </w:rPr>
        <w:t>0.0001</w:t>
      </w:r>
      <w:r>
        <w:rPr>
          <w:bCs/>
          <w:sz w:val="24"/>
        </w:rPr>
        <w:t>元，小数点后第</w:t>
      </w:r>
      <w:r>
        <w:rPr>
          <w:rFonts w:hint="eastAsia"/>
          <w:bCs/>
          <w:sz w:val="24"/>
        </w:rPr>
        <w:t>5</w:t>
      </w:r>
      <w:r>
        <w:rPr>
          <w:bCs/>
          <w:sz w:val="24"/>
        </w:rPr>
        <w:t>位四舍五入。基金管理人可以设立大额赎回情形下的净值精度应急调整机制。国家另有规定的，从其规定</w:t>
      </w:r>
      <w:r>
        <w:rPr>
          <w:rFonts w:hint="eastAsia"/>
          <w:color w:val="000000"/>
          <w:sz w:val="24"/>
          <w:szCs w:val="24"/>
        </w:rPr>
        <w:t>。</w:t>
      </w:r>
    </w:p>
    <w:p w14:paraId="66069DE1"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基金管理人于每个估值日计算基金资产净值及各类基金份额净值，并按规定公告。</w:t>
      </w:r>
    </w:p>
    <w:p w14:paraId="26E3B5DA" w14:textId="77777777" w:rsidR="007F0ECF" w:rsidRDefault="005B4DD9">
      <w:pPr>
        <w:adjustRightInd w:val="0"/>
        <w:spacing w:line="360" w:lineRule="auto"/>
        <w:ind w:left="420" w:firstLineChars="25" w:firstLine="60"/>
        <w:rPr>
          <w:color w:val="000000"/>
          <w:sz w:val="24"/>
          <w:szCs w:val="24"/>
        </w:rPr>
      </w:pPr>
      <w:r>
        <w:rPr>
          <w:color w:val="000000"/>
          <w:sz w:val="24"/>
          <w:szCs w:val="24"/>
        </w:rPr>
        <w:t>2</w:t>
      </w:r>
      <w:r>
        <w:rPr>
          <w:rFonts w:hint="eastAsia"/>
          <w:color w:val="000000"/>
          <w:sz w:val="24"/>
          <w:szCs w:val="24"/>
        </w:rPr>
        <w:t>、</w:t>
      </w:r>
      <w:r>
        <w:rPr>
          <w:color w:val="000000"/>
          <w:sz w:val="24"/>
          <w:szCs w:val="24"/>
        </w:rPr>
        <w:t>复核程序</w:t>
      </w:r>
    </w:p>
    <w:p w14:paraId="08C4425E" w14:textId="77777777" w:rsidR="007F0ECF" w:rsidRDefault="005B4DD9">
      <w:pPr>
        <w:adjustRightInd w:val="0"/>
        <w:spacing w:line="360" w:lineRule="auto"/>
        <w:ind w:firstLineChars="200" w:firstLine="480"/>
        <w:rPr>
          <w:color w:val="000000"/>
          <w:sz w:val="24"/>
          <w:szCs w:val="24"/>
        </w:rPr>
      </w:pPr>
      <w:r>
        <w:rPr>
          <w:bCs/>
          <w:sz w:val="24"/>
        </w:rPr>
        <w:t>基金管理人</w:t>
      </w:r>
      <w:proofErr w:type="gramStart"/>
      <w:r>
        <w:rPr>
          <w:bCs/>
          <w:sz w:val="24"/>
        </w:rPr>
        <w:t>应每个</w:t>
      </w:r>
      <w:proofErr w:type="gramEnd"/>
      <w:r>
        <w:rPr>
          <w:rFonts w:hint="eastAsia"/>
          <w:bCs/>
          <w:sz w:val="24"/>
        </w:rPr>
        <w:t>估值日</w:t>
      </w:r>
      <w:r>
        <w:rPr>
          <w:bCs/>
          <w:sz w:val="24"/>
        </w:rPr>
        <w:t>对基金资产估值。但基金管理人根据法律法规或基金合同的规定暂停估值时除外。基金管理人每个</w:t>
      </w:r>
      <w:r>
        <w:rPr>
          <w:rFonts w:hint="eastAsia"/>
          <w:bCs/>
          <w:sz w:val="24"/>
        </w:rPr>
        <w:t>估值日</w:t>
      </w:r>
      <w:r>
        <w:rPr>
          <w:bCs/>
          <w:sz w:val="24"/>
        </w:rPr>
        <w:t>对基金资产估值后，将</w:t>
      </w:r>
      <w:r>
        <w:rPr>
          <w:rFonts w:hint="eastAsia"/>
          <w:bCs/>
          <w:sz w:val="24"/>
        </w:rPr>
        <w:t>各类</w:t>
      </w:r>
      <w:r>
        <w:rPr>
          <w:bCs/>
          <w:sz w:val="24"/>
        </w:rPr>
        <w:t>基金份额净值结果发送基金托管人，经基金托管人复核无误后，由基金管理人</w:t>
      </w:r>
      <w:r>
        <w:rPr>
          <w:rFonts w:hint="eastAsia"/>
          <w:bCs/>
          <w:sz w:val="24"/>
        </w:rPr>
        <w:t>按约定</w:t>
      </w:r>
      <w:r>
        <w:rPr>
          <w:bCs/>
          <w:sz w:val="24"/>
        </w:rPr>
        <w:t>对外公布</w:t>
      </w:r>
      <w:r>
        <w:rPr>
          <w:rFonts w:hint="eastAsia"/>
          <w:color w:val="000000"/>
          <w:sz w:val="24"/>
          <w:szCs w:val="24"/>
        </w:rPr>
        <w:t>。</w:t>
      </w:r>
    </w:p>
    <w:p w14:paraId="6C32BF47" w14:textId="77777777" w:rsidR="007F0ECF" w:rsidRDefault="005B4DD9">
      <w:pPr>
        <w:adjustRightInd w:val="0"/>
        <w:spacing w:line="360" w:lineRule="auto"/>
        <w:ind w:firstLineChars="200" w:firstLine="480"/>
        <w:rPr>
          <w:color w:val="000000"/>
          <w:sz w:val="24"/>
          <w:szCs w:val="24"/>
        </w:rPr>
      </w:pPr>
      <w:r>
        <w:rPr>
          <w:color w:val="000000"/>
          <w:sz w:val="24"/>
          <w:szCs w:val="24"/>
        </w:rPr>
        <w:t>（二）基金资产估值方法和特殊情形的处理</w:t>
      </w:r>
    </w:p>
    <w:p w14:paraId="71E0EA4C" w14:textId="77777777" w:rsidR="007F0ECF" w:rsidRDefault="005B4DD9">
      <w:pPr>
        <w:adjustRightInd w:val="0"/>
        <w:spacing w:line="360" w:lineRule="auto"/>
        <w:ind w:firstLineChars="200" w:firstLine="480"/>
        <w:rPr>
          <w:color w:val="000000"/>
          <w:sz w:val="24"/>
          <w:szCs w:val="24"/>
        </w:rPr>
      </w:pPr>
      <w:bookmarkStart w:id="99" w:name="_Hlk145081967"/>
      <w:r>
        <w:rPr>
          <w:color w:val="000000"/>
          <w:sz w:val="24"/>
          <w:szCs w:val="24"/>
        </w:rPr>
        <w:t>1</w:t>
      </w:r>
      <w:r>
        <w:rPr>
          <w:rFonts w:hint="eastAsia"/>
          <w:color w:val="000000"/>
          <w:sz w:val="24"/>
          <w:szCs w:val="24"/>
        </w:rPr>
        <w:t>、</w:t>
      </w:r>
      <w:r>
        <w:rPr>
          <w:color w:val="000000"/>
          <w:sz w:val="24"/>
          <w:szCs w:val="24"/>
        </w:rPr>
        <w:t>估值对象</w:t>
      </w:r>
    </w:p>
    <w:p w14:paraId="5C8947D7" w14:textId="77777777" w:rsidR="007F0ECF" w:rsidRDefault="005B4DD9">
      <w:pPr>
        <w:adjustRightInd w:val="0"/>
        <w:spacing w:line="360" w:lineRule="auto"/>
        <w:ind w:firstLineChars="200" w:firstLine="480"/>
        <w:rPr>
          <w:sz w:val="24"/>
          <w:szCs w:val="24"/>
        </w:rPr>
      </w:pPr>
      <w:r>
        <w:rPr>
          <w:rFonts w:hint="eastAsia"/>
          <w:bCs/>
          <w:sz w:val="24"/>
        </w:rPr>
        <w:t>基金所拥有的股票、存托凭证、债券、资产支持证券、股指期货合约、国债期货合约、股票期权合约、银行存款本息、应收款项、其它投资等资产及负债。</w:t>
      </w:r>
    </w:p>
    <w:p w14:paraId="1995E20B" w14:textId="77777777" w:rsidR="007F0ECF" w:rsidRDefault="005B4DD9">
      <w:pPr>
        <w:spacing w:line="360" w:lineRule="auto"/>
        <w:ind w:firstLineChars="200" w:firstLine="480"/>
        <w:rPr>
          <w:sz w:val="24"/>
          <w:szCs w:val="24"/>
        </w:rPr>
      </w:pPr>
      <w:r>
        <w:rPr>
          <w:sz w:val="24"/>
          <w:szCs w:val="24"/>
        </w:rPr>
        <w:t>2</w:t>
      </w:r>
      <w:r>
        <w:rPr>
          <w:rFonts w:hint="eastAsia"/>
          <w:sz w:val="24"/>
          <w:szCs w:val="24"/>
        </w:rPr>
        <w:t>、</w:t>
      </w:r>
      <w:r>
        <w:rPr>
          <w:sz w:val="24"/>
          <w:szCs w:val="24"/>
        </w:rPr>
        <w:t>估值方法</w:t>
      </w:r>
    </w:p>
    <w:p w14:paraId="5EFC253B" w14:textId="77777777" w:rsidR="007F0ECF" w:rsidRDefault="005B4DD9">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）证券交易所上市的权益类证券的估值</w:t>
      </w:r>
    </w:p>
    <w:p w14:paraId="0A2D4126" w14:textId="77777777" w:rsidR="007F0ECF" w:rsidRDefault="005B4DD9">
      <w:pPr>
        <w:spacing w:line="360" w:lineRule="auto"/>
        <w:ind w:firstLineChars="200" w:firstLine="480"/>
        <w:rPr>
          <w:sz w:val="24"/>
          <w:szCs w:val="24"/>
        </w:rPr>
      </w:pPr>
      <w:r>
        <w:rPr>
          <w:rFonts w:hint="eastAsia"/>
          <w:sz w:val="24"/>
          <w:szCs w:val="24"/>
        </w:rPr>
        <w:t>交易所上市的权益类证券（包括股票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528F3D3" w14:textId="77777777" w:rsidR="007F0ECF" w:rsidRDefault="005B4DD9">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）处于未上市期间的权益类证券应区分如下情况处理：</w:t>
      </w:r>
    </w:p>
    <w:p w14:paraId="0F1E8ECB" w14:textId="77777777" w:rsidR="007F0ECF" w:rsidRDefault="005B4DD9">
      <w:pPr>
        <w:spacing w:line="360" w:lineRule="auto"/>
        <w:ind w:firstLineChars="200" w:firstLine="480"/>
        <w:rPr>
          <w:sz w:val="24"/>
          <w:szCs w:val="24"/>
        </w:rPr>
      </w:pPr>
      <w:r>
        <w:rPr>
          <w:rFonts w:hint="eastAsia"/>
          <w:sz w:val="24"/>
          <w:szCs w:val="24"/>
        </w:rPr>
        <w:t>1</w:t>
      </w:r>
      <w:r>
        <w:rPr>
          <w:rFonts w:hint="eastAsia"/>
          <w:sz w:val="24"/>
          <w:szCs w:val="24"/>
        </w:rPr>
        <w:t>）送股、转增股、配股和公开增发的新股，按估值日在证券交易所挂牌的</w:t>
      </w:r>
      <w:r>
        <w:rPr>
          <w:rFonts w:hint="eastAsia"/>
          <w:sz w:val="24"/>
          <w:szCs w:val="24"/>
        </w:rPr>
        <w:lastRenderedPageBreak/>
        <w:t>同一股票的估值方法估值；该日无交易的，以最近一日的市价（收盘价）估值；</w:t>
      </w:r>
    </w:p>
    <w:p w14:paraId="2258AA82" w14:textId="77777777" w:rsidR="007F0ECF" w:rsidRDefault="005B4DD9">
      <w:pPr>
        <w:spacing w:line="360" w:lineRule="auto"/>
        <w:ind w:firstLineChars="200" w:firstLine="480"/>
        <w:rPr>
          <w:sz w:val="24"/>
          <w:szCs w:val="24"/>
        </w:rPr>
      </w:pPr>
      <w:r>
        <w:rPr>
          <w:rFonts w:hint="eastAsia"/>
          <w:sz w:val="24"/>
          <w:szCs w:val="24"/>
        </w:rPr>
        <w:t>2</w:t>
      </w:r>
      <w:r>
        <w:rPr>
          <w:rFonts w:hint="eastAsia"/>
          <w:sz w:val="24"/>
          <w:szCs w:val="24"/>
        </w:rPr>
        <w:t>）首次公开发行未上市的股票，采用估值技术确定公允价值，在估值技术难以可靠计量公允价值的情况下，按成本估值；</w:t>
      </w:r>
    </w:p>
    <w:p w14:paraId="3E920FDF" w14:textId="77777777" w:rsidR="007F0ECF" w:rsidRDefault="005B4DD9">
      <w:pPr>
        <w:spacing w:line="360" w:lineRule="auto"/>
        <w:ind w:firstLineChars="200" w:firstLine="480"/>
        <w:rPr>
          <w:sz w:val="24"/>
          <w:szCs w:val="24"/>
        </w:rPr>
      </w:pPr>
      <w:r>
        <w:rPr>
          <w:rFonts w:hint="eastAsia"/>
          <w:sz w:val="24"/>
          <w:szCs w:val="24"/>
        </w:rPr>
        <w:t>3</w:t>
      </w:r>
      <w:r>
        <w:rPr>
          <w:rFonts w:hint="eastAsia"/>
          <w:sz w:val="24"/>
          <w:szCs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sz w:val="24"/>
          <w:szCs w:val="24"/>
        </w:rPr>
        <w:t>券</w:t>
      </w:r>
      <w:proofErr w:type="gramEnd"/>
      <w:r>
        <w:rPr>
          <w:rFonts w:hint="eastAsia"/>
          <w:sz w:val="24"/>
          <w:szCs w:val="24"/>
        </w:rPr>
        <w:t>等流通受限股票，按监管机构或行业协会有关规定确定公允价值。</w:t>
      </w:r>
    </w:p>
    <w:p w14:paraId="0477C544" w14:textId="77777777" w:rsidR="007F0ECF" w:rsidRDefault="005B4DD9">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）固定收益品种的估值</w:t>
      </w:r>
    </w:p>
    <w:p w14:paraId="01D780B9" w14:textId="77777777" w:rsidR="007F0ECF" w:rsidRDefault="005B4DD9">
      <w:pPr>
        <w:spacing w:line="360" w:lineRule="auto"/>
        <w:ind w:firstLineChars="200" w:firstLine="480"/>
        <w:rPr>
          <w:sz w:val="24"/>
          <w:szCs w:val="24"/>
        </w:rPr>
      </w:pPr>
      <w:r>
        <w:rPr>
          <w:rFonts w:hint="eastAsia"/>
          <w:sz w:val="24"/>
          <w:szCs w:val="24"/>
        </w:rPr>
        <w:t>1</w:t>
      </w:r>
      <w:r>
        <w:rPr>
          <w:rFonts w:hint="eastAsia"/>
          <w:sz w:val="24"/>
          <w:szCs w:val="24"/>
        </w:rPr>
        <w:t>）对于已上市或已挂牌转让的不含</w:t>
      </w:r>
      <w:proofErr w:type="gramStart"/>
      <w:r>
        <w:rPr>
          <w:rFonts w:hint="eastAsia"/>
          <w:sz w:val="24"/>
          <w:szCs w:val="24"/>
        </w:rPr>
        <w:t>权固定</w:t>
      </w:r>
      <w:proofErr w:type="gramEnd"/>
      <w:r>
        <w:rPr>
          <w:rFonts w:hint="eastAsia"/>
          <w:sz w:val="24"/>
          <w:szCs w:val="24"/>
        </w:rPr>
        <w:t>收益品种（另有规定的除外），选取第三方估值基准服务机构提供的相应品种当日的估值全价进行估值。</w:t>
      </w:r>
    </w:p>
    <w:p w14:paraId="4371E377" w14:textId="77777777" w:rsidR="007F0ECF" w:rsidRDefault="005B4DD9">
      <w:pPr>
        <w:spacing w:line="360" w:lineRule="auto"/>
        <w:ind w:firstLineChars="200" w:firstLine="480"/>
        <w:rPr>
          <w:sz w:val="24"/>
          <w:szCs w:val="24"/>
        </w:rPr>
      </w:pPr>
      <w:r>
        <w:rPr>
          <w:rFonts w:hint="eastAsia"/>
          <w:sz w:val="24"/>
          <w:szCs w:val="24"/>
        </w:rPr>
        <w:t>2</w:t>
      </w:r>
      <w:r>
        <w:rPr>
          <w:rFonts w:hint="eastAsia"/>
          <w:sz w:val="24"/>
          <w:szCs w:val="24"/>
        </w:rPr>
        <w:t>）对于已上市或已挂牌转让的含</w:t>
      </w:r>
      <w:proofErr w:type="gramStart"/>
      <w:r>
        <w:rPr>
          <w:rFonts w:hint="eastAsia"/>
          <w:sz w:val="24"/>
          <w:szCs w:val="24"/>
        </w:rPr>
        <w:t>权固定</w:t>
      </w:r>
      <w:proofErr w:type="gramEnd"/>
      <w:r>
        <w:rPr>
          <w:rFonts w:hint="eastAsia"/>
          <w:sz w:val="24"/>
          <w:szCs w:val="24"/>
        </w:rPr>
        <w:t>收益品种（另有规定的除外），选取第三方估值基准服务机构提供的相应品种当日的唯一估值全价或推荐估值全价进行估值。</w:t>
      </w:r>
    </w:p>
    <w:p w14:paraId="03303729" w14:textId="77777777" w:rsidR="007F0ECF" w:rsidRDefault="005B4DD9">
      <w:pPr>
        <w:spacing w:line="360" w:lineRule="auto"/>
        <w:ind w:firstLineChars="200" w:firstLine="480"/>
        <w:rPr>
          <w:sz w:val="24"/>
          <w:szCs w:val="24"/>
        </w:rPr>
      </w:pPr>
      <w:r>
        <w:rPr>
          <w:rFonts w:hint="eastAsia"/>
          <w:sz w:val="24"/>
          <w:szCs w:val="24"/>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6BC0CBBA" w14:textId="77777777" w:rsidR="007F0ECF" w:rsidRDefault="005B4DD9">
      <w:pPr>
        <w:spacing w:line="360" w:lineRule="auto"/>
        <w:ind w:firstLineChars="200" w:firstLine="480"/>
        <w:rPr>
          <w:sz w:val="24"/>
          <w:szCs w:val="24"/>
        </w:rPr>
      </w:pPr>
      <w:r>
        <w:rPr>
          <w:rFonts w:hint="eastAsia"/>
          <w:sz w:val="24"/>
          <w:szCs w:val="24"/>
        </w:rPr>
        <w:t>3</w:t>
      </w:r>
      <w:r>
        <w:rPr>
          <w:rFonts w:hint="eastAsia"/>
          <w:sz w:val="24"/>
          <w:szCs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5E548260" w14:textId="77777777" w:rsidR="007F0ECF" w:rsidRDefault="005B4DD9">
      <w:pPr>
        <w:spacing w:line="360" w:lineRule="auto"/>
        <w:ind w:firstLineChars="200" w:firstLine="480"/>
        <w:rPr>
          <w:sz w:val="24"/>
          <w:szCs w:val="24"/>
        </w:rPr>
      </w:pPr>
      <w:r>
        <w:rPr>
          <w:rFonts w:hint="eastAsia"/>
          <w:sz w:val="24"/>
          <w:szCs w:val="24"/>
        </w:rPr>
        <w:t>4</w:t>
      </w:r>
      <w:r>
        <w:rPr>
          <w:rFonts w:hint="eastAsia"/>
          <w:sz w:val="24"/>
          <w:szCs w:val="24"/>
        </w:rPr>
        <w:t>）对于未上市或未挂牌转让且不存在活跃市场的固定收益品种，采用在当前情况下适用并且有足够可利用数据和其他信息支持的估值技术确定其公允价值。</w:t>
      </w:r>
    </w:p>
    <w:p w14:paraId="6B1A8BB1" w14:textId="77777777" w:rsidR="007F0ECF" w:rsidRDefault="005B4DD9">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）同一证券同时在两个或两个以上市场交易的，按证券所处的市场分别估值。</w:t>
      </w:r>
    </w:p>
    <w:p w14:paraId="746DF7F0" w14:textId="77777777" w:rsidR="007F0ECF" w:rsidRDefault="005B4DD9">
      <w:pPr>
        <w:spacing w:line="360" w:lineRule="auto"/>
        <w:ind w:firstLineChars="200" w:firstLine="480"/>
        <w:rPr>
          <w:sz w:val="24"/>
          <w:szCs w:val="24"/>
        </w:rPr>
      </w:pPr>
      <w:r>
        <w:rPr>
          <w:rFonts w:hint="eastAsia"/>
          <w:sz w:val="24"/>
          <w:szCs w:val="24"/>
        </w:rPr>
        <w:t>（</w:t>
      </w:r>
      <w:r>
        <w:rPr>
          <w:rFonts w:hint="eastAsia"/>
          <w:sz w:val="24"/>
          <w:szCs w:val="24"/>
        </w:rPr>
        <w:t>5</w:t>
      </w:r>
      <w:r>
        <w:rPr>
          <w:rFonts w:hint="eastAsia"/>
          <w:sz w:val="24"/>
          <w:szCs w:val="24"/>
        </w:rPr>
        <w:t>）存款的估值方法</w:t>
      </w:r>
    </w:p>
    <w:p w14:paraId="39CDAF18" w14:textId="77777777" w:rsidR="007F0ECF" w:rsidRDefault="005B4DD9">
      <w:pPr>
        <w:spacing w:line="360" w:lineRule="auto"/>
        <w:ind w:firstLineChars="200" w:firstLine="480"/>
        <w:rPr>
          <w:sz w:val="24"/>
          <w:szCs w:val="24"/>
        </w:rPr>
      </w:pPr>
      <w:r>
        <w:rPr>
          <w:rFonts w:hint="eastAsia"/>
          <w:sz w:val="24"/>
          <w:szCs w:val="24"/>
        </w:rPr>
        <w:t>持有的银行定期存款或通知存款以本金列示，按协议或合同利率逐日确认利息收入。</w:t>
      </w:r>
    </w:p>
    <w:p w14:paraId="22C2FDC4" w14:textId="77777777" w:rsidR="007F0ECF" w:rsidRDefault="005B4DD9">
      <w:pPr>
        <w:spacing w:line="360" w:lineRule="auto"/>
        <w:ind w:firstLineChars="200" w:firstLine="480"/>
        <w:rPr>
          <w:sz w:val="24"/>
          <w:szCs w:val="24"/>
        </w:rPr>
      </w:pPr>
      <w:r>
        <w:rPr>
          <w:rFonts w:hint="eastAsia"/>
          <w:sz w:val="24"/>
          <w:szCs w:val="24"/>
        </w:rPr>
        <w:lastRenderedPageBreak/>
        <w:t>（</w:t>
      </w:r>
      <w:r>
        <w:rPr>
          <w:rFonts w:hint="eastAsia"/>
          <w:sz w:val="24"/>
          <w:szCs w:val="24"/>
        </w:rPr>
        <w:t>6</w:t>
      </w:r>
      <w:r>
        <w:rPr>
          <w:rFonts w:hint="eastAsia"/>
          <w:sz w:val="24"/>
          <w:szCs w:val="24"/>
        </w:rPr>
        <w:t>）股指期货合约、国债期货合约、股票期权合约以估值当日结算价进行估值，估值当日无结算价的，且最近交易日后经济环境未发生重大变化的，采用最近交易日结算价估值。</w:t>
      </w:r>
    </w:p>
    <w:p w14:paraId="2D8E1E13" w14:textId="77777777" w:rsidR="007F0ECF" w:rsidRDefault="005B4DD9">
      <w:pPr>
        <w:spacing w:line="360" w:lineRule="auto"/>
        <w:ind w:firstLineChars="200" w:firstLine="480"/>
        <w:rPr>
          <w:sz w:val="24"/>
          <w:szCs w:val="24"/>
        </w:rPr>
      </w:pPr>
      <w:r>
        <w:rPr>
          <w:rFonts w:hint="eastAsia"/>
          <w:sz w:val="24"/>
          <w:szCs w:val="24"/>
        </w:rPr>
        <w:t>（</w:t>
      </w:r>
      <w:r>
        <w:rPr>
          <w:rFonts w:hint="eastAsia"/>
          <w:sz w:val="24"/>
          <w:szCs w:val="24"/>
        </w:rPr>
        <w:t>7</w:t>
      </w:r>
      <w:r>
        <w:rPr>
          <w:rFonts w:hint="eastAsia"/>
          <w:sz w:val="24"/>
          <w:szCs w:val="24"/>
        </w:rPr>
        <w:t>）本基金投资存托凭证的估值核算依照境内上市交易的股票执行。</w:t>
      </w:r>
    </w:p>
    <w:p w14:paraId="40247886" w14:textId="77777777" w:rsidR="007F0ECF" w:rsidRDefault="005B4DD9">
      <w:pPr>
        <w:spacing w:line="360" w:lineRule="auto"/>
        <w:ind w:firstLineChars="200" w:firstLine="480"/>
        <w:rPr>
          <w:sz w:val="24"/>
          <w:szCs w:val="24"/>
        </w:rPr>
      </w:pPr>
      <w:r>
        <w:rPr>
          <w:rFonts w:hint="eastAsia"/>
          <w:sz w:val="24"/>
          <w:szCs w:val="24"/>
        </w:rPr>
        <w:t>（</w:t>
      </w:r>
      <w:r>
        <w:rPr>
          <w:rFonts w:hint="eastAsia"/>
          <w:sz w:val="24"/>
          <w:szCs w:val="24"/>
        </w:rPr>
        <w:t>8</w:t>
      </w:r>
      <w:r>
        <w:rPr>
          <w:rFonts w:hint="eastAsia"/>
          <w:sz w:val="24"/>
          <w:szCs w:val="24"/>
        </w:rPr>
        <w:t>）本基金参与融资业务的，按照相关法律法规、监管部门和行业协会的相关规定进行估值。</w:t>
      </w:r>
    </w:p>
    <w:p w14:paraId="52307A4E" w14:textId="77777777" w:rsidR="007F0ECF" w:rsidRDefault="005B4DD9">
      <w:pPr>
        <w:spacing w:line="360" w:lineRule="auto"/>
        <w:ind w:firstLineChars="200" w:firstLine="480"/>
        <w:rPr>
          <w:sz w:val="24"/>
          <w:szCs w:val="24"/>
        </w:rPr>
      </w:pPr>
      <w:bookmarkStart w:id="100" w:name="OLE_LINK57"/>
      <w:bookmarkStart w:id="101" w:name="OLE_LINK58"/>
      <w:r>
        <w:rPr>
          <w:rFonts w:hint="eastAsia"/>
          <w:sz w:val="24"/>
          <w:szCs w:val="24"/>
        </w:rPr>
        <w:t>（</w:t>
      </w:r>
      <w:r>
        <w:rPr>
          <w:rFonts w:hint="eastAsia"/>
          <w:sz w:val="24"/>
          <w:szCs w:val="24"/>
        </w:rPr>
        <w:t>9</w:t>
      </w:r>
      <w:r>
        <w:rPr>
          <w:rFonts w:hint="eastAsia"/>
          <w:sz w:val="24"/>
          <w:szCs w:val="24"/>
        </w:rPr>
        <w:t>）本基金参与转融通证券出借业务，应参照监管机构或行业协会的相关规定进行估值，确保估值的公允性。</w:t>
      </w:r>
    </w:p>
    <w:p w14:paraId="16871322" w14:textId="1A6E4843" w:rsidR="007F0ECF" w:rsidRDefault="005B4DD9">
      <w:pPr>
        <w:spacing w:line="360" w:lineRule="auto"/>
        <w:ind w:firstLineChars="200" w:firstLine="480"/>
        <w:rPr>
          <w:sz w:val="24"/>
          <w:szCs w:val="24"/>
        </w:rPr>
      </w:pPr>
      <w:r>
        <w:rPr>
          <w:rFonts w:hint="eastAsia"/>
          <w:sz w:val="24"/>
          <w:szCs w:val="24"/>
        </w:rPr>
        <w:t>（</w:t>
      </w:r>
      <w:r>
        <w:rPr>
          <w:rFonts w:hint="eastAsia"/>
          <w:sz w:val="24"/>
          <w:szCs w:val="24"/>
        </w:rPr>
        <w:t>10</w:t>
      </w:r>
      <w:r>
        <w:rPr>
          <w:rFonts w:hint="eastAsia"/>
          <w:sz w:val="24"/>
          <w:szCs w:val="24"/>
        </w:rPr>
        <w:t>）估值计算中涉及港币对人民币汇率的，将依据下列信息提供机构所提供的汇率为基准：当日中国人民银行或其授权机构公布的人民币与港币的中间价</w:t>
      </w:r>
      <w:r w:rsidR="0021455D" w:rsidRPr="0021455D">
        <w:rPr>
          <w:rFonts w:hint="eastAsia"/>
          <w:sz w:val="24"/>
          <w:szCs w:val="24"/>
        </w:rPr>
        <w:t>，或其他可以反映公允价值的汇率</w:t>
      </w:r>
      <w:r>
        <w:rPr>
          <w:rFonts w:hint="eastAsia"/>
          <w:sz w:val="24"/>
          <w:szCs w:val="24"/>
        </w:rPr>
        <w:t>。</w:t>
      </w:r>
    </w:p>
    <w:p w14:paraId="58EA38DE" w14:textId="77777777" w:rsidR="007F0ECF" w:rsidRDefault="005B4DD9">
      <w:pPr>
        <w:spacing w:line="360" w:lineRule="auto"/>
        <w:ind w:firstLineChars="200" w:firstLine="480"/>
        <w:rPr>
          <w:sz w:val="24"/>
          <w:szCs w:val="24"/>
        </w:rPr>
      </w:pPr>
      <w:r>
        <w:rPr>
          <w:rFonts w:hint="eastAsia"/>
          <w:sz w:val="24"/>
          <w:szCs w:val="24"/>
        </w:rPr>
        <w:t>（</w:t>
      </w:r>
      <w:r>
        <w:rPr>
          <w:rFonts w:hint="eastAsia"/>
          <w:sz w:val="24"/>
          <w:szCs w:val="24"/>
        </w:rPr>
        <w:t>11</w:t>
      </w:r>
      <w:r>
        <w:rPr>
          <w:rFonts w:hint="eastAsia"/>
          <w:sz w:val="24"/>
          <w:szCs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28D0E312" w14:textId="7BDB5181" w:rsidR="007F0ECF" w:rsidRDefault="005B4DD9">
      <w:pPr>
        <w:spacing w:line="360" w:lineRule="auto"/>
        <w:ind w:firstLineChars="200" w:firstLine="480"/>
        <w:rPr>
          <w:sz w:val="24"/>
          <w:szCs w:val="24"/>
        </w:rPr>
      </w:pPr>
      <w:r>
        <w:rPr>
          <w:rFonts w:hint="eastAsia"/>
          <w:sz w:val="24"/>
          <w:szCs w:val="24"/>
        </w:rPr>
        <w:t>（</w:t>
      </w:r>
      <w:r>
        <w:rPr>
          <w:sz w:val="24"/>
          <w:szCs w:val="24"/>
        </w:rPr>
        <w:t>1</w:t>
      </w:r>
      <w:r>
        <w:rPr>
          <w:rFonts w:hint="eastAsia"/>
          <w:sz w:val="24"/>
          <w:szCs w:val="24"/>
        </w:rPr>
        <w:t>2</w:t>
      </w:r>
      <w:r>
        <w:rPr>
          <w:rFonts w:hint="eastAsia"/>
          <w:sz w:val="24"/>
          <w:szCs w:val="24"/>
        </w:rPr>
        <w:t>）如有确凿证据表明按上述方法进行估值不能客观反映其公允价值的，基金管理人可根据具体情况与基金托管人商定后，按最能反映公允价值的价格估值。</w:t>
      </w:r>
    </w:p>
    <w:p w14:paraId="70A3F01E" w14:textId="27D2C1D8" w:rsidR="007F0ECF" w:rsidRDefault="005B4DD9">
      <w:pPr>
        <w:spacing w:line="360" w:lineRule="auto"/>
        <w:ind w:firstLineChars="200" w:firstLine="480"/>
        <w:rPr>
          <w:sz w:val="24"/>
          <w:szCs w:val="24"/>
        </w:rPr>
      </w:pPr>
      <w:r>
        <w:rPr>
          <w:rFonts w:hint="eastAsia"/>
          <w:sz w:val="24"/>
          <w:szCs w:val="24"/>
        </w:rPr>
        <w:t>（</w:t>
      </w:r>
      <w:r>
        <w:rPr>
          <w:sz w:val="24"/>
          <w:szCs w:val="24"/>
        </w:rPr>
        <w:t>1</w:t>
      </w:r>
      <w:r>
        <w:rPr>
          <w:rFonts w:hint="eastAsia"/>
          <w:sz w:val="24"/>
          <w:szCs w:val="24"/>
        </w:rPr>
        <w:t>3</w:t>
      </w:r>
      <w:r>
        <w:rPr>
          <w:rFonts w:hint="eastAsia"/>
          <w:sz w:val="24"/>
          <w:szCs w:val="24"/>
        </w:rPr>
        <w:t>）当发生大额申购或赎回情形时，基金管理人可以采用摆动定价机制，以确保基金估值的公平性。</w:t>
      </w:r>
    </w:p>
    <w:p w14:paraId="6BAA94E6" w14:textId="5B63383C" w:rsidR="007F0ECF" w:rsidRDefault="005B4DD9">
      <w:pPr>
        <w:adjustRightInd w:val="0"/>
        <w:spacing w:line="360" w:lineRule="auto"/>
        <w:ind w:firstLineChars="200" w:firstLine="480"/>
        <w:rPr>
          <w:sz w:val="24"/>
          <w:szCs w:val="24"/>
        </w:rPr>
      </w:pPr>
      <w:r>
        <w:rPr>
          <w:rFonts w:hint="eastAsia"/>
          <w:sz w:val="24"/>
          <w:szCs w:val="24"/>
        </w:rPr>
        <w:t>（</w:t>
      </w:r>
      <w:r>
        <w:rPr>
          <w:sz w:val="24"/>
          <w:szCs w:val="24"/>
        </w:rPr>
        <w:t>1</w:t>
      </w:r>
      <w:r>
        <w:rPr>
          <w:rFonts w:hint="eastAsia"/>
          <w:sz w:val="24"/>
          <w:szCs w:val="24"/>
        </w:rPr>
        <w:t>4</w:t>
      </w:r>
      <w:r>
        <w:rPr>
          <w:rFonts w:hint="eastAsia"/>
          <w:sz w:val="24"/>
          <w:szCs w:val="24"/>
        </w:rPr>
        <w:t>）相关法律法规以及监管部门有强制规定的，从其规定。如有新增事项，按国家最新规定估值。</w:t>
      </w:r>
      <w:bookmarkEnd w:id="99"/>
    </w:p>
    <w:p w14:paraId="0A1F1F83" w14:textId="77777777" w:rsidR="007F0ECF" w:rsidRDefault="005B4DD9">
      <w:pPr>
        <w:adjustRightInd w:val="0"/>
        <w:spacing w:line="360" w:lineRule="auto"/>
        <w:ind w:firstLineChars="200" w:firstLine="480"/>
        <w:rPr>
          <w:sz w:val="24"/>
          <w:szCs w:val="24"/>
        </w:rPr>
      </w:pPr>
      <w:r>
        <w:rPr>
          <w:rFonts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6708A40D" w14:textId="77777777" w:rsidR="007F0ECF" w:rsidRDefault="005B4DD9">
      <w:pPr>
        <w:adjustRightInd w:val="0"/>
        <w:spacing w:line="360" w:lineRule="auto"/>
        <w:ind w:firstLineChars="200" w:firstLine="480"/>
        <w:rPr>
          <w:sz w:val="24"/>
          <w:szCs w:val="24"/>
        </w:rPr>
      </w:pPr>
      <w:r>
        <w:rPr>
          <w:rFonts w:hint="eastAsia"/>
          <w:sz w:val="24"/>
          <w:szCs w:val="24"/>
        </w:rPr>
        <w:t>根据有关法律法规，基金净值计算和基金会计核算的义务由基金管理人承担。本基金的基金会计责任方由基金管理人担任，因此，就与本基金有关的会计问题，如经相关各方在平等基础上充分讨论后，仍无法达成一致的意见，按照基金管理</w:t>
      </w:r>
      <w:r>
        <w:rPr>
          <w:rFonts w:hint="eastAsia"/>
          <w:sz w:val="24"/>
          <w:szCs w:val="24"/>
        </w:rPr>
        <w:lastRenderedPageBreak/>
        <w:t>人对基金净值的计算结果对外予以公布。</w:t>
      </w:r>
    </w:p>
    <w:p w14:paraId="518A8128" w14:textId="77777777" w:rsidR="007F0ECF" w:rsidRDefault="005B4DD9">
      <w:pPr>
        <w:adjustRightInd w:val="0"/>
        <w:spacing w:line="360" w:lineRule="auto"/>
        <w:ind w:firstLineChars="200" w:firstLine="480"/>
        <w:rPr>
          <w:rStyle w:val="read"/>
          <w:color w:val="000000"/>
          <w:sz w:val="24"/>
          <w:szCs w:val="24"/>
        </w:rPr>
      </w:pPr>
      <w:r>
        <w:rPr>
          <w:rStyle w:val="read"/>
          <w:color w:val="000000"/>
          <w:sz w:val="24"/>
          <w:szCs w:val="24"/>
        </w:rPr>
        <w:t>3</w:t>
      </w:r>
      <w:r>
        <w:rPr>
          <w:rStyle w:val="read"/>
          <w:rFonts w:hint="eastAsia"/>
          <w:color w:val="000000"/>
          <w:sz w:val="24"/>
          <w:szCs w:val="24"/>
        </w:rPr>
        <w:t>、</w:t>
      </w:r>
      <w:r>
        <w:rPr>
          <w:rStyle w:val="read"/>
          <w:color w:val="000000"/>
          <w:sz w:val="24"/>
          <w:szCs w:val="24"/>
        </w:rPr>
        <w:t>特殊情形的处理</w:t>
      </w:r>
    </w:p>
    <w:p w14:paraId="4989ADBA" w14:textId="08713B8E" w:rsidR="007F0ECF" w:rsidRDefault="005B4DD9">
      <w:pPr>
        <w:adjustRightInd w:val="0"/>
        <w:spacing w:line="360" w:lineRule="auto"/>
        <w:ind w:firstLineChars="200" w:firstLine="480"/>
        <w:rPr>
          <w:rStyle w:val="read"/>
          <w:color w:val="000000"/>
          <w:sz w:val="24"/>
          <w:szCs w:val="24"/>
        </w:rPr>
      </w:pPr>
      <w:r>
        <w:rPr>
          <w:rStyle w:val="read"/>
          <w:rFonts w:hint="eastAsia"/>
          <w:color w:val="000000"/>
          <w:sz w:val="24"/>
          <w:szCs w:val="24"/>
        </w:rPr>
        <w:t>（</w:t>
      </w:r>
      <w:r>
        <w:rPr>
          <w:rStyle w:val="read"/>
          <w:color w:val="000000"/>
          <w:sz w:val="24"/>
          <w:szCs w:val="24"/>
        </w:rPr>
        <w:t>1</w:t>
      </w:r>
      <w:r>
        <w:rPr>
          <w:rStyle w:val="read"/>
          <w:rFonts w:hint="eastAsia"/>
          <w:color w:val="000000"/>
          <w:sz w:val="24"/>
          <w:szCs w:val="24"/>
        </w:rPr>
        <w:t>）基金管理人或基金托管人按估值方法的第（</w:t>
      </w:r>
      <w:r>
        <w:rPr>
          <w:rStyle w:val="read"/>
          <w:color w:val="000000"/>
          <w:sz w:val="24"/>
          <w:szCs w:val="24"/>
        </w:rPr>
        <w:t>1</w:t>
      </w:r>
      <w:r>
        <w:rPr>
          <w:rStyle w:val="read"/>
          <w:rFonts w:hint="eastAsia"/>
          <w:color w:val="000000"/>
          <w:sz w:val="24"/>
          <w:szCs w:val="24"/>
        </w:rPr>
        <w:t>2</w:t>
      </w:r>
      <w:r>
        <w:rPr>
          <w:rStyle w:val="read"/>
          <w:rFonts w:hint="eastAsia"/>
          <w:color w:val="000000"/>
          <w:sz w:val="24"/>
          <w:szCs w:val="24"/>
        </w:rPr>
        <w:t>）项进行估值时，所造成的误差不作为基金资产估值错误处理。</w:t>
      </w:r>
    </w:p>
    <w:p w14:paraId="41DA9C60" w14:textId="77777777" w:rsidR="007F0ECF" w:rsidRDefault="005B4DD9">
      <w:pPr>
        <w:adjustRightInd w:val="0"/>
        <w:spacing w:line="360" w:lineRule="auto"/>
        <w:ind w:firstLineChars="200" w:firstLine="480"/>
        <w:rPr>
          <w:rStyle w:val="read"/>
          <w:color w:val="000000"/>
          <w:sz w:val="24"/>
          <w:szCs w:val="24"/>
        </w:rPr>
      </w:pPr>
      <w:r>
        <w:rPr>
          <w:rStyle w:val="read"/>
          <w:rFonts w:hint="eastAsia"/>
          <w:color w:val="000000"/>
          <w:sz w:val="24"/>
          <w:szCs w:val="24"/>
        </w:rPr>
        <w:t>（</w:t>
      </w:r>
      <w:r>
        <w:rPr>
          <w:rStyle w:val="read"/>
          <w:color w:val="000000"/>
          <w:sz w:val="24"/>
          <w:szCs w:val="24"/>
        </w:rPr>
        <w:t>2</w:t>
      </w:r>
      <w:r>
        <w:rPr>
          <w:rStyle w:val="read"/>
          <w:rFonts w:hint="eastAsia"/>
          <w:color w:val="000000"/>
          <w:sz w:val="24"/>
          <w:szCs w:val="24"/>
        </w:rPr>
        <w:t>）</w:t>
      </w:r>
      <w:bookmarkStart w:id="102" w:name="_Hlk145081994"/>
      <w:r>
        <w:rPr>
          <w:rFonts w:hint="eastAsia"/>
          <w:bCs/>
          <w:sz w:val="24"/>
        </w:rPr>
        <w:t>由于不可抗力，或证券、期货交易所、证券</w:t>
      </w:r>
      <w:r>
        <w:rPr>
          <w:rFonts w:hint="eastAsia"/>
          <w:bCs/>
          <w:sz w:val="24"/>
        </w:rPr>
        <w:t>/</w:t>
      </w:r>
      <w:r>
        <w:rPr>
          <w:rFonts w:hint="eastAsia"/>
          <w:bCs/>
          <w:sz w:val="24"/>
        </w:rPr>
        <w:t>期货经纪机构、登记结算公司、指数编制机构、</w:t>
      </w:r>
      <w:bookmarkEnd w:id="102"/>
      <w:r>
        <w:rPr>
          <w:rFonts w:hint="eastAsia"/>
          <w:bCs/>
          <w:sz w:val="24"/>
        </w:rPr>
        <w:t>第三方估值基准服务机构、存款银行等第三方机构发送的数据错误、遗漏，或国家会计政策变更、市场规则变更等</w:t>
      </w:r>
      <w:proofErr w:type="gramStart"/>
      <w:r>
        <w:rPr>
          <w:rFonts w:hint="eastAsia"/>
          <w:bCs/>
          <w:sz w:val="24"/>
        </w:rPr>
        <w:t>非基金</w:t>
      </w:r>
      <w:proofErr w:type="gramEnd"/>
      <w:r>
        <w:rPr>
          <w:rFonts w:hint="eastAsia"/>
          <w:bCs/>
          <w:sz w:val="24"/>
        </w:rPr>
        <w:t>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r>
        <w:rPr>
          <w:rStyle w:val="read"/>
          <w:rFonts w:hint="eastAsia"/>
          <w:color w:val="000000"/>
          <w:sz w:val="24"/>
          <w:szCs w:val="24"/>
        </w:rPr>
        <w:t>。</w:t>
      </w:r>
    </w:p>
    <w:bookmarkEnd w:id="100"/>
    <w:bookmarkEnd w:id="101"/>
    <w:p w14:paraId="7AADE69D" w14:textId="77777777" w:rsidR="007F0ECF" w:rsidRDefault="005B4DD9">
      <w:pPr>
        <w:adjustRightInd w:val="0"/>
        <w:spacing w:line="360" w:lineRule="auto"/>
        <w:ind w:firstLineChars="200" w:firstLine="480"/>
        <w:rPr>
          <w:rStyle w:val="read"/>
          <w:color w:val="000000"/>
          <w:sz w:val="24"/>
          <w:szCs w:val="24"/>
        </w:rPr>
      </w:pPr>
      <w:r>
        <w:rPr>
          <w:rStyle w:val="read"/>
          <w:color w:val="000000"/>
          <w:sz w:val="24"/>
          <w:szCs w:val="24"/>
        </w:rPr>
        <w:t>（三）基金份额净值错误的处理方式</w:t>
      </w:r>
    </w:p>
    <w:p w14:paraId="7C7509C5" w14:textId="77777777" w:rsidR="007F0ECF" w:rsidRDefault="005B4DD9">
      <w:pPr>
        <w:adjustRightInd w:val="0"/>
        <w:spacing w:line="360" w:lineRule="auto"/>
        <w:ind w:firstLineChars="200" w:firstLine="480"/>
        <w:rPr>
          <w:sz w:val="24"/>
          <w:szCs w:val="24"/>
        </w:rPr>
      </w:pPr>
      <w:r>
        <w:rPr>
          <w:bCs/>
          <w:sz w:val="24"/>
        </w:rPr>
        <w:t>基金管理人和基金托管人将采取必要、适当、合理的措施确保基金资产估值的准确性、及时性。当</w:t>
      </w:r>
      <w:r>
        <w:rPr>
          <w:rFonts w:hint="eastAsia"/>
          <w:bCs/>
          <w:sz w:val="24"/>
        </w:rPr>
        <w:t>任一类</w:t>
      </w:r>
      <w:r>
        <w:rPr>
          <w:bCs/>
          <w:sz w:val="24"/>
        </w:rPr>
        <w:t>基金份额净值小数点后</w:t>
      </w:r>
      <w:r>
        <w:rPr>
          <w:rFonts w:hint="eastAsia"/>
          <w:bCs/>
          <w:sz w:val="24"/>
        </w:rPr>
        <w:t>4</w:t>
      </w:r>
      <w:r>
        <w:rPr>
          <w:bCs/>
          <w:sz w:val="24"/>
        </w:rPr>
        <w:t>位以内</w:t>
      </w:r>
      <w:r>
        <w:rPr>
          <w:bCs/>
          <w:sz w:val="24"/>
        </w:rPr>
        <w:t>(</w:t>
      </w:r>
      <w:r>
        <w:rPr>
          <w:bCs/>
          <w:sz w:val="24"/>
        </w:rPr>
        <w:t>含第</w:t>
      </w:r>
      <w:r>
        <w:rPr>
          <w:rFonts w:hint="eastAsia"/>
          <w:bCs/>
          <w:sz w:val="24"/>
        </w:rPr>
        <w:t>4</w:t>
      </w:r>
      <w:r>
        <w:rPr>
          <w:bCs/>
          <w:sz w:val="24"/>
        </w:rPr>
        <w:t>位</w:t>
      </w:r>
      <w:r>
        <w:rPr>
          <w:bCs/>
          <w:sz w:val="24"/>
        </w:rPr>
        <w:t>)</w:t>
      </w:r>
      <w:r>
        <w:rPr>
          <w:bCs/>
          <w:sz w:val="24"/>
        </w:rPr>
        <w:t>发生估值错误时，视为</w:t>
      </w:r>
      <w:r>
        <w:rPr>
          <w:rFonts w:hint="eastAsia"/>
          <w:bCs/>
          <w:sz w:val="24"/>
        </w:rPr>
        <w:t>该类</w:t>
      </w:r>
      <w:r>
        <w:rPr>
          <w:bCs/>
          <w:sz w:val="24"/>
        </w:rPr>
        <w:t>基金份额净值错误</w:t>
      </w:r>
      <w:r>
        <w:rPr>
          <w:rFonts w:hint="eastAsia"/>
          <w:sz w:val="24"/>
          <w:szCs w:val="24"/>
        </w:rPr>
        <w:t>。</w:t>
      </w:r>
    </w:p>
    <w:p w14:paraId="3104CAC5" w14:textId="77777777" w:rsidR="007F0ECF" w:rsidRDefault="005B4DD9">
      <w:pPr>
        <w:adjustRightInd w:val="0"/>
        <w:spacing w:line="360" w:lineRule="auto"/>
        <w:ind w:firstLineChars="200" w:firstLine="480"/>
        <w:rPr>
          <w:sz w:val="24"/>
          <w:szCs w:val="24"/>
        </w:rPr>
      </w:pPr>
      <w:r>
        <w:rPr>
          <w:rFonts w:hint="eastAsia"/>
          <w:sz w:val="24"/>
          <w:szCs w:val="24"/>
        </w:rPr>
        <w:t>基金合同的当事人应按照以下约定处理：</w:t>
      </w:r>
    </w:p>
    <w:p w14:paraId="1FE3B951" w14:textId="77777777" w:rsidR="007F0ECF" w:rsidRDefault="005B4DD9">
      <w:pPr>
        <w:adjustRightInd w:val="0"/>
        <w:spacing w:line="360" w:lineRule="auto"/>
        <w:ind w:firstLineChars="200" w:firstLine="480"/>
        <w:rPr>
          <w:sz w:val="24"/>
          <w:szCs w:val="24"/>
        </w:rPr>
      </w:pPr>
      <w:r>
        <w:rPr>
          <w:sz w:val="24"/>
          <w:szCs w:val="24"/>
        </w:rPr>
        <w:t>1</w:t>
      </w:r>
      <w:r>
        <w:rPr>
          <w:rFonts w:hint="eastAsia"/>
          <w:sz w:val="24"/>
          <w:szCs w:val="24"/>
        </w:rPr>
        <w:t>、估值错误类型</w:t>
      </w:r>
    </w:p>
    <w:p w14:paraId="7E49126B" w14:textId="77777777" w:rsidR="007F0ECF" w:rsidRDefault="005B4DD9">
      <w:pPr>
        <w:spacing w:line="360" w:lineRule="auto"/>
        <w:ind w:firstLineChars="200" w:firstLine="480"/>
        <w:rPr>
          <w:bCs/>
          <w:sz w:val="24"/>
        </w:rPr>
      </w:pPr>
      <w:r>
        <w:rPr>
          <w:bCs/>
          <w:sz w:val="24"/>
        </w:rPr>
        <w:t>本基金运作过程中，如果由于基金管理人或基金托管人、或登记机构、</w:t>
      </w:r>
      <w:r>
        <w:rPr>
          <w:rFonts w:hint="eastAsia"/>
          <w:bCs/>
          <w:sz w:val="24"/>
        </w:rPr>
        <w:t>或证券经纪机构、</w:t>
      </w:r>
      <w:r>
        <w:rPr>
          <w:bCs/>
          <w:sz w:val="24"/>
        </w:rPr>
        <w:t>或销售机构、或投资人自身的过错造成估值错误，导致其他当事人遭受损失的，过错的责任人应当对由于该估值错误遭受损失当事人</w:t>
      </w:r>
      <w:r>
        <w:rPr>
          <w:bCs/>
          <w:sz w:val="24"/>
        </w:rPr>
        <w:t>(</w:t>
      </w:r>
      <w:r>
        <w:rPr>
          <w:rFonts w:hint="eastAsia"/>
          <w:bCs/>
          <w:sz w:val="24"/>
        </w:rPr>
        <w:t>“受损方”</w:t>
      </w:r>
      <w:r>
        <w:rPr>
          <w:bCs/>
          <w:sz w:val="24"/>
        </w:rPr>
        <w:t>)</w:t>
      </w:r>
      <w:r>
        <w:rPr>
          <w:bCs/>
          <w:sz w:val="24"/>
        </w:rPr>
        <w:t>的直接损失按下述</w:t>
      </w:r>
      <w:r>
        <w:rPr>
          <w:rFonts w:hint="eastAsia"/>
          <w:bCs/>
          <w:sz w:val="24"/>
        </w:rPr>
        <w:t>“估值错误处理原则”</w:t>
      </w:r>
      <w:r>
        <w:rPr>
          <w:bCs/>
          <w:sz w:val="24"/>
        </w:rPr>
        <w:t>给予赔偿，承担赔偿责任。</w:t>
      </w:r>
    </w:p>
    <w:p w14:paraId="54548356" w14:textId="77777777" w:rsidR="007F0ECF" w:rsidRDefault="005B4DD9">
      <w:pPr>
        <w:spacing w:line="360" w:lineRule="auto"/>
        <w:ind w:firstLineChars="200" w:firstLine="480"/>
        <w:rPr>
          <w:rStyle w:val="bumpedfont15"/>
          <w:color w:val="000000"/>
          <w:kern w:val="0"/>
          <w:sz w:val="24"/>
          <w:szCs w:val="24"/>
        </w:rPr>
      </w:pPr>
      <w:r>
        <w:rPr>
          <w:bCs/>
          <w:sz w:val="24"/>
        </w:rPr>
        <w:t>上述估值错误的主要类型包括但不限于：资料申报差错、数据传输差错、数据计算差错、系统故障差错、下达指令差错等。</w:t>
      </w:r>
    </w:p>
    <w:p w14:paraId="493F6CCF" w14:textId="77777777" w:rsidR="007F0ECF" w:rsidRDefault="005B4DD9">
      <w:pPr>
        <w:adjustRightInd w:val="0"/>
        <w:spacing w:line="360" w:lineRule="auto"/>
        <w:ind w:firstLineChars="200" w:firstLine="480"/>
        <w:rPr>
          <w:sz w:val="24"/>
          <w:szCs w:val="24"/>
        </w:rPr>
      </w:pPr>
      <w:r>
        <w:rPr>
          <w:sz w:val="24"/>
          <w:szCs w:val="24"/>
        </w:rPr>
        <w:t>2</w:t>
      </w:r>
      <w:r>
        <w:rPr>
          <w:rFonts w:hint="eastAsia"/>
          <w:sz w:val="24"/>
          <w:szCs w:val="24"/>
        </w:rPr>
        <w:t>、估值错误处理原则</w:t>
      </w:r>
    </w:p>
    <w:p w14:paraId="213E10A0" w14:textId="77777777" w:rsidR="007F0ECF" w:rsidRDefault="005B4DD9">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w:t>
      </w:r>
      <w:r>
        <w:rPr>
          <w:bCs/>
          <w:sz w:val="24"/>
        </w:rPr>
        <w:lastRenderedPageBreak/>
        <w:t>任。估值错误责任方应对更正的情况向有关当事人进行确认，确保估值错误已得到更正。</w:t>
      </w:r>
    </w:p>
    <w:p w14:paraId="65109247" w14:textId="77777777" w:rsidR="007F0ECF" w:rsidRDefault="005B4DD9">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47C8AAEC" w14:textId="77777777" w:rsidR="007F0ECF" w:rsidRDefault="005B4DD9">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852069C" w14:textId="77777777" w:rsidR="007F0ECF" w:rsidRDefault="005B4DD9">
      <w:pPr>
        <w:spacing w:line="360" w:lineRule="auto"/>
        <w:ind w:firstLineChars="200" w:firstLine="480"/>
        <w:rPr>
          <w:rStyle w:val="bumpedfont15"/>
          <w:color w:val="000000"/>
          <w:kern w:val="0"/>
          <w:sz w:val="24"/>
          <w:szCs w:val="24"/>
        </w:rPr>
      </w:pPr>
      <w:r>
        <w:rPr>
          <w:bCs/>
          <w:sz w:val="24"/>
        </w:rPr>
        <w:t>（</w:t>
      </w:r>
      <w:r>
        <w:rPr>
          <w:rFonts w:hint="eastAsia"/>
          <w:bCs/>
          <w:sz w:val="24"/>
        </w:rPr>
        <w:t>4</w:t>
      </w:r>
      <w:r>
        <w:rPr>
          <w:bCs/>
          <w:sz w:val="24"/>
        </w:rPr>
        <w:t>）估值错误调整采用尽量恢复至假设未发生估值错误的正确情形的方式。</w:t>
      </w:r>
    </w:p>
    <w:p w14:paraId="7DD47791" w14:textId="77777777" w:rsidR="007F0ECF" w:rsidRDefault="005B4DD9">
      <w:pPr>
        <w:adjustRightInd w:val="0"/>
        <w:spacing w:line="360" w:lineRule="auto"/>
        <w:ind w:firstLineChars="200" w:firstLine="480"/>
        <w:rPr>
          <w:sz w:val="24"/>
          <w:szCs w:val="24"/>
        </w:rPr>
      </w:pPr>
      <w:r>
        <w:rPr>
          <w:sz w:val="24"/>
          <w:szCs w:val="24"/>
        </w:rPr>
        <w:t>3</w:t>
      </w:r>
      <w:r>
        <w:rPr>
          <w:rFonts w:hint="eastAsia"/>
          <w:sz w:val="24"/>
          <w:szCs w:val="24"/>
        </w:rPr>
        <w:t>、估值错误处理程序</w:t>
      </w:r>
    </w:p>
    <w:p w14:paraId="5AFC0144" w14:textId="77777777" w:rsidR="007F0ECF" w:rsidRDefault="005B4DD9">
      <w:pPr>
        <w:spacing w:line="360" w:lineRule="auto"/>
        <w:ind w:firstLineChars="200" w:firstLine="480"/>
        <w:rPr>
          <w:rStyle w:val="bumpedfont15"/>
          <w:color w:val="000000"/>
          <w:kern w:val="0"/>
          <w:sz w:val="24"/>
          <w:szCs w:val="24"/>
        </w:rPr>
      </w:pPr>
      <w:r>
        <w:rPr>
          <w:rStyle w:val="bumpedfont15"/>
          <w:rFonts w:hint="eastAsia"/>
          <w:color w:val="000000"/>
          <w:kern w:val="0"/>
          <w:sz w:val="24"/>
          <w:szCs w:val="24"/>
        </w:rPr>
        <w:t>估值错误被发现后，有关的当事人应当及时进行处理，处理的程序如下：</w:t>
      </w:r>
    </w:p>
    <w:p w14:paraId="10C976D5" w14:textId="77777777" w:rsidR="007F0ECF" w:rsidRDefault="005B4DD9">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1BE076CA" w14:textId="77777777" w:rsidR="007F0ECF" w:rsidRDefault="005B4DD9">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0D39D9B6" w14:textId="77777777" w:rsidR="007F0ECF" w:rsidRDefault="005B4DD9">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7F61C2AD" w14:textId="77777777" w:rsidR="007F0ECF" w:rsidRDefault="005B4DD9">
      <w:pPr>
        <w:spacing w:line="360" w:lineRule="auto"/>
        <w:ind w:firstLineChars="200" w:firstLine="480"/>
        <w:rPr>
          <w:rStyle w:val="bumpedfont15"/>
          <w:color w:val="000000"/>
          <w:kern w:val="0"/>
          <w:sz w:val="24"/>
          <w:szCs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64766374" w14:textId="77777777" w:rsidR="007F0ECF" w:rsidRDefault="005B4DD9">
      <w:pPr>
        <w:adjustRightInd w:val="0"/>
        <w:spacing w:line="360" w:lineRule="auto"/>
        <w:ind w:firstLineChars="200" w:firstLine="480"/>
        <w:rPr>
          <w:sz w:val="24"/>
          <w:szCs w:val="24"/>
        </w:rPr>
      </w:pPr>
      <w:r>
        <w:rPr>
          <w:sz w:val="24"/>
          <w:szCs w:val="24"/>
        </w:rPr>
        <w:t>4</w:t>
      </w:r>
      <w:r>
        <w:rPr>
          <w:rFonts w:hint="eastAsia"/>
          <w:sz w:val="24"/>
          <w:szCs w:val="24"/>
        </w:rPr>
        <w:t>、基金份额净值估值错误处理的方法如下：</w:t>
      </w:r>
    </w:p>
    <w:p w14:paraId="2CD235AE" w14:textId="77777777" w:rsidR="007F0ECF" w:rsidRDefault="005B4DD9">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r>
        <w:rPr>
          <w:rFonts w:hint="eastAsia"/>
          <w:bCs/>
          <w:sz w:val="24"/>
        </w:rPr>
        <w:t>；</w:t>
      </w:r>
    </w:p>
    <w:p w14:paraId="17621434" w14:textId="77777777" w:rsidR="007F0ECF" w:rsidRDefault="005B4DD9">
      <w:pPr>
        <w:spacing w:line="360" w:lineRule="auto"/>
        <w:ind w:firstLineChars="200" w:firstLine="480"/>
        <w:rPr>
          <w:bCs/>
          <w:sz w:val="24"/>
        </w:rPr>
      </w:pPr>
      <w:r>
        <w:rPr>
          <w:bCs/>
          <w:sz w:val="24"/>
        </w:rPr>
        <w:t>（</w:t>
      </w:r>
      <w:r>
        <w:rPr>
          <w:rFonts w:hint="eastAsia"/>
          <w:bCs/>
          <w:sz w:val="24"/>
        </w:rPr>
        <w:t>2</w:t>
      </w:r>
      <w:r>
        <w:rPr>
          <w:bCs/>
          <w:sz w:val="24"/>
        </w:rPr>
        <w:t>）错误偏差达到</w:t>
      </w:r>
      <w:r>
        <w:rPr>
          <w:rFonts w:hint="eastAsia"/>
          <w:bCs/>
          <w:sz w:val="24"/>
        </w:rPr>
        <w:t>该类</w:t>
      </w:r>
      <w:r>
        <w:rPr>
          <w:bCs/>
          <w:sz w:val="24"/>
        </w:rPr>
        <w:t>基金份额净值的</w:t>
      </w:r>
      <w:r>
        <w:rPr>
          <w:bCs/>
          <w:sz w:val="24"/>
        </w:rPr>
        <w:t>0.25%</w:t>
      </w:r>
      <w:r>
        <w:rPr>
          <w:bCs/>
          <w:sz w:val="24"/>
        </w:rPr>
        <w:t>时，基金管理人应当通报基金托管人并报中国证监会备案；错误偏差达到</w:t>
      </w:r>
      <w:r>
        <w:rPr>
          <w:rFonts w:hint="eastAsia"/>
          <w:bCs/>
          <w:sz w:val="24"/>
        </w:rPr>
        <w:t>该类</w:t>
      </w:r>
      <w:r>
        <w:rPr>
          <w:bCs/>
          <w:sz w:val="24"/>
        </w:rPr>
        <w:t>基金份额净值的</w:t>
      </w:r>
      <w:r>
        <w:rPr>
          <w:bCs/>
          <w:sz w:val="24"/>
        </w:rPr>
        <w:t>0.5%</w:t>
      </w:r>
      <w:r>
        <w:rPr>
          <w:bCs/>
          <w:sz w:val="24"/>
        </w:rPr>
        <w:t>时，基金管理人应当</w:t>
      </w:r>
      <w:r>
        <w:rPr>
          <w:rFonts w:hint="eastAsia"/>
          <w:bCs/>
          <w:sz w:val="24"/>
        </w:rPr>
        <w:t>通报基金托管人，及时</w:t>
      </w:r>
      <w:r>
        <w:rPr>
          <w:bCs/>
          <w:sz w:val="24"/>
        </w:rPr>
        <w:t>公告</w:t>
      </w:r>
      <w:r>
        <w:rPr>
          <w:rFonts w:hint="eastAsia"/>
          <w:bCs/>
          <w:sz w:val="24"/>
        </w:rPr>
        <w:t>，</w:t>
      </w:r>
      <w:r>
        <w:rPr>
          <w:bCs/>
          <w:sz w:val="24"/>
        </w:rPr>
        <w:t>并报中国</w:t>
      </w:r>
      <w:r>
        <w:rPr>
          <w:rFonts w:hint="eastAsia"/>
          <w:bCs/>
          <w:sz w:val="24"/>
        </w:rPr>
        <w:t>证监会</w:t>
      </w:r>
      <w:r>
        <w:rPr>
          <w:bCs/>
          <w:sz w:val="24"/>
        </w:rPr>
        <w:t>备案</w:t>
      </w:r>
      <w:r>
        <w:rPr>
          <w:rFonts w:hint="eastAsia"/>
          <w:bCs/>
          <w:sz w:val="24"/>
        </w:rPr>
        <w:t>；</w:t>
      </w:r>
    </w:p>
    <w:p w14:paraId="28ADC703" w14:textId="77777777" w:rsidR="007F0ECF" w:rsidRDefault="005B4DD9">
      <w:pPr>
        <w:spacing w:line="360" w:lineRule="auto"/>
        <w:ind w:firstLineChars="200" w:firstLine="480"/>
        <w:rPr>
          <w:bCs/>
          <w:sz w:val="24"/>
          <w:szCs w:val="24"/>
        </w:rPr>
      </w:pPr>
      <w:r>
        <w:rPr>
          <w:bCs/>
          <w:sz w:val="24"/>
        </w:rPr>
        <w:t>（</w:t>
      </w:r>
      <w:r>
        <w:rPr>
          <w:rFonts w:hint="eastAsia"/>
          <w:bCs/>
          <w:sz w:val="24"/>
        </w:rPr>
        <w:t>3</w:t>
      </w:r>
      <w:r>
        <w:rPr>
          <w:bCs/>
          <w:sz w:val="24"/>
        </w:rPr>
        <w:t>）前述内容如法律法规或监管机关另有规定的，从其规定处理。</w:t>
      </w:r>
      <w:r>
        <w:rPr>
          <w:rFonts w:hint="eastAsia"/>
          <w:bCs/>
          <w:sz w:val="24"/>
        </w:rPr>
        <w:t>如果行</w:t>
      </w:r>
      <w:r>
        <w:rPr>
          <w:rFonts w:hint="eastAsia"/>
          <w:bCs/>
          <w:sz w:val="24"/>
        </w:rPr>
        <w:lastRenderedPageBreak/>
        <w:t>业另有通行做法，基金管理人和基金托管人应本着平等和保护基金份额持有人利益的原则进行协商。</w:t>
      </w:r>
    </w:p>
    <w:p w14:paraId="2DB899CE" w14:textId="77777777" w:rsidR="007F0ECF" w:rsidRDefault="005B4DD9">
      <w:pPr>
        <w:adjustRightInd w:val="0"/>
        <w:spacing w:line="360" w:lineRule="auto"/>
        <w:ind w:firstLineChars="200" w:firstLine="480"/>
        <w:rPr>
          <w:color w:val="000000"/>
          <w:sz w:val="24"/>
          <w:szCs w:val="24"/>
        </w:rPr>
      </w:pPr>
      <w:bookmarkStart w:id="103" w:name="OLE_LINK59"/>
      <w:r>
        <w:rPr>
          <w:color w:val="000000"/>
          <w:sz w:val="24"/>
          <w:szCs w:val="24"/>
        </w:rPr>
        <w:t>（四）暂停估值的情形</w:t>
      </w:r>
    </w:p>
    <w:p w14:paraId="1DF133E7" w14:textId="77777777" w:rsidR="007F0ECF" w:rsidRDefault="005B4DD9">
      <w:pPr>
        <w:spacing w:line="360" w:lineRule="auto"/>
        <w:ind w:firstLineChars="200" w:firstLine="480"/>
        <w:rPr>
          <w:bCs/>
          <w:sz w:val="24"/>
        </w:rPr>
      </w:pPr>
      <w:r>
        <w:rPr>
          <w:bCs/>
          <w:sz w:val="24"/>
        </w:rPr>
        <w:t>1</w:t>
      </w:r>
      <w:r>
        <w:rPr>
          <w:bCs/>
          <w:sz w:val="24"/>
        </w:rPr>
        <w:t>、基金投资所涉及的证券</w:t>
      </w:r>
      <w:r>
        <w:rPr>
          <w:rFonts w:hint="eastAsia"/>
          <w:sz w:val="24"/>
          <w:szCs w:val="24"/>
        </w:rPr>
        <w:t>、期货交易所或外汇市场</w:t>
      </w:r>
      <w:r>
        <w:rPr>
          <w:bCs/>
          <w:sz w:val="24"/>
        </w:rPr>
        <w:t>遇法定节假日或因其他原因暂停营业时；</w:t>
      </w:r>
    </w:p>
    <w:bookmarkEnd w:id="103"/>
    <w:p w14:paraId="4960E402" w14:textId="77777777" w:rsidR="007F0ECF" w:rsidRDefault="005B4DD9">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2517F852" w14:textId="77777777" w:rsidR="007F0ECF" w:rsidRDefault="005B4DD9">
      <w:pPr>
        <w:spacing w:line="360" w:lineRule="auto"/>
        <w:ind w:firstLineChars="200" w:firstLine="480"/>
        <w:rPr>
          <w:bCs/>
          <w:sz w:val="24"/>
        </w:rPr>
      </w:pPr>
      <w:r>
        <w:rPr>
          <w:rFonts w:hint="eastAsia"/>
          <w:bCs/>
          <w:sz w:val="24"/>
        </w:rPr>
        <w:t>3</w:t>
      </w:r>
      <w:r>
        <w:rPr>
          <w:rFonts w:hint="eastAsia"/>
          <w:bCs/>
          <w:sz w:val="24"/>
        </w:rPr>
        <w:t>、当特定资产占前一估值日基金资产净值</w:t>
      </w:r>
      <w:r>
        <w:rPr>
          <w:rFonts w:hint="eastAsia"/>
          <w:bCs/>
          <w:sz w:val="24"/>
        </w:rPr>
        <w:t>50%</w:t>
      </w:r>
      <w:r>
        <w:rPr>
          <w:rFonts w:hint="eastAsia"/>
          <w:bCs/>
          <w:sz w:val="24"/>
        </w:rPr>
        <w:t>以上的，经与基金托管人协商确认</w:t>
      </w:r>
      <w:r>
        <w:rPr>
          <w:bCs/>
          <w:sz w:val="24"/>
        </w:rPr>
        <w:t>后</w:t>
      </w:r>
      <w:r>
        <w:rPr>
          <w:rFonts w:hint="eastAsia"/>
          <w:bCs/>
          <w:sz w:val="24"/>
        </w:rPr>
        <w:t>，基金管理人应当暂停估值；</w:t>
      </w:r>
    </w:p>
    <w:p w14:paraId="239E223B" w14:textId="77777777" w:rsidR="007F0ECF" w:rsidRDefault="005B4DD9">
      <w:pPr>
        <w:spacing w:line="360" w:lineRule="auto"/>
        <w:ind w:firstLineChars="200" w:firstLine="480"/>
        <w:rPr>
          <w:rStyle w:val="bumpedfont15"/>
          <w:color w:val="000000"/>
          <w:kern w:val="0"/>
          <w:sz w:val="24"/>
          <w:szCs w:val="24"/>
        </w:rPr>
      </w:pPr>
      <w:r>
        <w:rPr>
          <w:rFonts w:hint="eastAsia"/>
          <w:bCs/>
          <w:sz w:val="24"/>
        </w:rPr>
        <w:t>4</w:t>
      </w:r>
      <w:r>
        <w:rPr>
          <w:bCs/>
          <w:sz w:val="24"/>
        </w:rPr>
        <w:t>、</w:t>
      </w:r>
      <w:r>
        <w:rPr>
          <w:rFonts w:hint="eastAsia"/>
          <w:bCs/>
          <w:sz w:val="24"/>
        </w:rPr>
        <w:t>法律法规、</w:t>
      </w:r>
      <w:r>
        <w:rPr>
          <w:bCs/>
          <w:sz w:val="24"/>
        </w:rPr>
        <w:t>中国证监会和基金合同认定的其它情形。</w:t>
      </w:r>
    </w:p>
    <w:p w14:paraId="0493ED01" w14:textId="77777777" w:rsidR="007F0ECF" w:rsidRDefault="005B4DD9">
      <w:pPr>
        <w:adjustRightInd w:val="0"/>
        <w:spacing w:line="360" w:lineRule="auto"/>
        <w:ind w:firstLineChars="200" w:firstLine="480"/>
        <w:rPr>
          <w:color w:val="000000"/>
          <w:sz w:val="24"/>
          <w:szCs w:val="24"/>
        </w:rPr>
      </w:pPr>
      <w:r>
        <w:rPr>
          <w:color w:val="000000"/>
          <w:sz w:val="24"/>
          <w:szCs w:val="24"/>
        </w:rPr>
        <w:t>（五）基金会计制度</w:t>
      </w:r>
    </w:p>
    <w:p w14:paraId="39F8025A" w14:textId="77777777" w:rsidR="007F0ECF" w:rsidRDefault="005B4DD9">
      <w:pPr>
        <w:adjustRightInd w:val="0"/>
        <w:spacing w:line="360" w:lineRule="auto"/>
        <w:ind w:firstLineChars="200" w:firstLine="480"/>
        <w:rPr>
          <w:color w:val="000000"/>
          <w:sz w:val="24"/>
          <w:szCs w:val="24"/>
        </w:rPr>
      </w:pPr>
      <w:r>
        <w:rPr>
          <w:color w:val="000000"/>
          <w:sz w:val="24"/>
          <w:szCs w:val="24"/>
        </w:rPr>
        <w:t>按国家有关部门规定的会计制度执行。</w:t>
      </w:r>
    </w:p>
    <w:p w14:paraId="7A7EF901" w14:textId="77777777" w:rsidR="007F0ECF" w:rsidRDefault="005B4DD9">
      <w:pPr>
        <w:adjustRightInd w:val="0"/>
        <w:spacing w:line="360" w:lineRule="auto"/>
        <w:ind w:firstLineChars="200" w:firstLine="480"/>
        <w:rPr>
          <w:color w:val="000000"/>
          <w:sz w:val="24"/>
          <w:szCs w:val="24"/>
        </w:rPr>
      </w:pPr>
      <w:r>
        <w:rPr>
          <w:color w:val="000000"/>
          <w:sz w:val="24"/>
          <w:szCs w:val="24"/>
        </w:rPr>
        <w:t>（六）基金账册的建立</w:t>
      </w:r>
    </w:p>
    <w:p w14:paraId="7423920C"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基金管理人进行基金会计核算并编制基金财务会计报告。基金管理人、基金托管人分别独立地设置、记录和保管本基金的全套账册。</w:t>
      </w:r>
      <w:proofErr w:type="gramStart"/>
      <w:r>
        <w:rPr>
          <w:rFonts w:hint="eastAsia"/>
          <w:color w:val="000000"/>
          <w:sz w:val="24"/>
          <w:szCs w:val="24"/>
        </w:rPr>
        <w:t>若基金</w:t>
      </w:r>
      <w:proofErr w:type="gramEnd"/>
      <w:r>
        <w:rPr>
          <w:rFonts w:hint="eastAsia"/>
          <w:color w:val="000000"/>
          <w:sz w:val="24"/>
          <w:szCs w:val="24"/>
        </w:rPr>
        <w:t>管理人和基金托管人对会计处理方法存在分歧，应以基金管理人的处理方法为准。若当日核对不符，暂时无法查找到错账的原因而影响到基金净值</w:t>
      </w:r>
      <w:r>
        <w:rPr>
          <w:color w:val="000000"/>
          <w:sz w:val="24"/>
          <w:szCs w:val="24"/>
        </w:rPr>
        <w:t>信息</w:t>
      </w:r>
      <w:r>
        <w:rPr>
          <w:rFonts w:hint="eastAsia"/>
          <w:color w:val="000000"/>
          <w:sz w:val="24"/>
          <w:szCs w:val="24"/>
        </w:rPr>
        <w:t>的计算和公告的，以基金管理人的账册为准。</w:t>
      </w:r>
    </w:p>
    <w:p w14:paraId="13A6CBC6" w14:textId="77777777" w:rsidR="007F0ECF" w:rsidRDefault="005B4DD9">
      <w:pPr>
        <w:adjustRightInd w:val="0"/>
        <w:spacing w:line="360" w:lineRule="auto"/>
        <w:ind w:firstLineChars="200" w:firstLine="480"/>
        <w:rPr>
          <w:color w:val="000000"/>
          <w:sz w:val="24"/>
          <w:szCs w:val="24"/>
        </w:rPr>
      </w:pPr>
      <w:r>
        <w:rPr>
          <w:color w:val="000000"/>
          <w:sz w:val="24"/>
          <w:szCs w:val="24"/>
        </w:rPr>
        <w:t>（七）基金财务报表与报告的编制和复核</w:t>
      </w:r>
    </w:p>
    <w:p w14:paraId="00E436B0" w14:textId="77777777" w:rsidR="007F0ECF" w:rsidRDefault="005B4DD9">
      <w:pPr>
        <w:adjustRightInd w:val="0"/>
        <w:spacing w:line="360" w:lineRule="auto"/>
        <w:ind w:firstLineChars="200" w:firstLine="480"/>
        <w:rPr>
          <w:color w:val="000000"/>
          <w:sz w:val="24"/>
          <w:szCs w:val="24"/>
        </w:rPr>
      </w:pPr>
      <w:r>
        <w:rPr>
          <w:color w:val="000000"/>
          <w:sz w:val="24"/>
          <w:szCs w:val="24"/>
        </w:rPr>
        <w:t>1</w:t>
      </w:r>
      <w:r>
        <w:rPr>
          <w:rFonts w:hint="eastAsia"/>
          <w:color w:val="000000"/>
          <w:sz w:val="24"/>
          <w:szCs w:val="24"/>
        </w:rPr>
        <w:t>、</w:t>
      </w:r>
      <w:r>
        <w:rPr>
          <w:color w:val="000000"/>
          <w:sz w:val="24"/>
          <w:szCs w:val="24"/>
        </w:rPr>
        <w:t>财务报表</w:t>
      </w:r>
      <w:r>
        <w:rPr>
          <w:rFonts w:hint="eastAsia"/>
          <w:color w:val="000000"/>
          <w:sz w:val="24"/>
          <w:szCs w:val="24"/>
        </w:rPr>
        <w:t>与报告</w:t>
      </w:r>
      <w:r>
        <w:rPr>
          <w:color w:val="000000"/>
          <w:sz w:val="24"/>
          <w:szCs w:val="24"/>
        </w:rPr>
        <w:t>的编制</w:t>
      </w:r>
    </w:p>
    <w:p w14:paraId="4E12A38D"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基金管理人应当及时编制并对外提供真实、完整的基金财务会计报告。</w:t>
      </w:r>
      <w:r>
        <w:rPr>
          <w:color w:val="000000"/>
          <w:sz w:val="24"/>
          <w:szCs w:val="24"/>
        </w:rPr>
        <w:t>月度报表的编制，基金管理人应于每月终了后</w:t>
      </w:r>
      <w:r>
        <w:rPr>
          <w:color w:val="000000"/>
          <w:sz w:val="24"/>
          <w:szCs w:val="24"/>
        </w:rPr>
        <w:t>5</w:t>
      </w:r>
      <w:r>
        <w:rPr>
          <w:rFonts w:hint="eastAsia"/>
          <w:color w:val="000000"/>
          <w:sz w:val="24"/>
          <w:szCs w:val="24"/>
        </w:rPr>
        <w:t>个工作</w:t>
      </w:r>
      <w:r>
        <w:rPr>
          <w:color w:val="000000"/>
          <w:sz w:val="24"/>
          <w:szCs w:val="24"/>
        </w:rPr>
        <w:t>日内完成</w:t>
      </w:r>
      <w:r>
        <w:rPr>
          <w:rFonts w:hint="eastAsia"/>
          <w:color w:val="000000"/>
          <w:sz w:val="24"/>
          <w:szCs w:val="24"/>
        </w:rPr>
        <w:t>。《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r>
        <w:rPr>
          <w:color w:val="000000"/>
          <w:sz w:val="24"/>
          <w:szCs w:val="24"/>
        </w:rPr>
        <w:t>季度报告应在每个季度结束之日起</w:t>
      </w:r>
      <w:r>
        <w:rPr>
          <w:color w:val="000000"/>
          <w:sz w:val="24"/>
          <w:szCs w:val="24"/>
        </w:rPr>
        <w:t>15</w:t>
      </w:r>
      <w:r>
        <w:rPr>
          <w:color w:val="000000"/>
          <w:sz w:val="24"/>
          <w:szCs w:val="24"/>
        </w:rPr>
        <w:t>个工作日内</w:t>
      </w:r>
      <w:r>
        <w:rPr>
          <w:rFonts w:hint="eastAsia"/>
          <w:color w:val="000000"/>
          <w:sz w:val="24"/>
          <w:szCs w:val="24"/>
        </w:rPr>
        <w:t>编制完毕并</w:t>
      </w:r>
      <w:r>
        <w:rPr>
          <w:color w:val="000000"/>
          <w:sz w:val="24"/>
          <w:szCs w:val="24"/>
        </w:rPr>
        <w:t>予以公告；中期报告在</w:t>
      </w:r>
      <w:r>
        <w:rPr>
          <w:rFonts w:hint="eastAsia"/>
          <w:color w:val="000000"/>
          <w:sz w:val="24"/>
          <w:szCs w:val="24"/>
        </w:rPr>
        <w:t>上半年结束之日起两个月</w:t>
      </w:r>
      <w:r>
        <w:rPr>
          <w:color w:val="000000"/>
          <w:sz w:val="24"/>
          <w:szCs w:val="24"/>
        </w:rPr>
        <w:t>内</w:t>
      </w:r>
      <w:r>
        <w:rPr>
          <w:rFonts w:hint="eastAsia"/>
          <w:color w:val="000000"/>
          <w:sz w:val="24"/>
          <w:szCs w:val="24"/>
        </w:rPr>
        <w:t>编制完毕并</w:t>
      </w:r>
      <w:r>
        <w:rPr>
          <w:color w:val="000000"/>
          <w:sz w:val="24"/>
          <w:szCs w:val="24"/>
        </w:rPr>
        <w:t>予以公告；年度报告在</w:t>
      </w:r>
      <w:r>
        <w:rPr>
          <w:rFonts w:hint="eastAsia"/>
          <w:color w:val="000000"/>
          <w:sz w:val="24"/>
          <w:szCs w:val="24"/>
        </w:rPr>
        <w:t>每年结束之日起三个月内编制完毕并</w:t>
      </w:r>
      <w:r>
        <w:rPr>
          <w:color w:val="000000"/>
          <w:sz w:val="24"/>
          <w:szCs w:val="24"/>
        </w:rPr>
        <w:t>予以公告。基金合同生效不足</w:t>
      </w:r>
      <w:r>
        <w:rPr>
          <w:color w:val="000000"/>
          <w:sz w:val="24"/>
          <w:szCs w:val="24"/>
        </w:rPr>
        <w:t>2</w:t>
      </w:r>
      <w:r>
        <w:rPr>
          <w:color w:val="000000"/>
          <w:sz w:val="24"/>
          <w:szCs w:val="24"/>
        </w:rPr>
        <w:t>个月的，基金管理人可以不编制当期季度报告、中期报告或者年度报告。</w:t>
      </w:r>
    </w:p>
    <w:p w14:paraId="3C19391B" w14:textId="77777777" w:rsidR="007F0ECF" w:rsidRDefault="005B4DD9">
      <w:pPr>
        <w:adjustRightInd w:val="0"/>
        <w:spacing w:line="360" w:lineRule="auto"/>
        <w:ind w:firstLineChars="200" w:firstLine="480"/>
        <w:rPr>
          <w:color w:val="000000"/>
          <w:sz w:val="24"/>
          <w:szCs w:val="24"/>
        </w:rPr>
      </w:pPr>
      <w:r>
        <w:rPr>
          <w:color w:val="000000"/>
          <w:sz w:val="24"/>
          <w:szCs w:val="24"/>
        </w:rPr>
        <w:t>2</w:t>
      </w:r>
      <w:r>
        <w:rPr>
          <w:rFonts w:hint="eastAsia"/>
          <w:color w:val="000000"/>
          <w:sz w:val="24"/>
          <w:szCs w:val="24"/>
        </w:rPr>
        <w:t>、</w:t>
      </w:r>
      <w:r>
        <w:rPr>
          <w:color w:val="000000"/>
          <w:sz w:val="24"/>
          <w:szCs w:val="24"/>
        </w:rPr>
        <w:t>报表</w:t>
      </w:r>
      <w:r>
        <w:rPr>
          <w:rFonts w:hint="eastAsia"/>
          <w:color w:val="000000"/>
          <w:sz w:val="24"/>
          <w:szCs w:val="24"/>
        </w:rPr>
        <w:t>与报告的</w:t>
      </w:r>
      <w:r>
        <w:rPr>
          <w:color w:val="000000"/>
          <w:sz w:val="24"/>
          <w:szCs w:val="24"/>
        </w:rPr>
        <w:t>复核</w:t>
      </w:r>
    </w:p>
    <w:p w14:paraId="2EB0A0CB" w14:textId="77777777" w:rsidR="007F0ECF" w:rsidRDefault="005B4DD9">
      <w:pPr>
        <w:adjustRightInd w:val="0"/>
        <w:spacing w:line="360" w:lineRule="auto"/>
        <w:ind w:firstLineChars="200" w:firstLine="480"/>
        <w:rPr>
          <w:color w:val="000000"/>
          <w:sz w:val="24"/>
          <w:szCs w:val="24"/>
        </w:rPr>
      </w:pPr>
      <w:r>
        <w:rPr>
          <w:color w:val="000000"/>
          <w:sz w:val="24"/>
          <w:szCs w:val="24"/>
        </w:rPr>
        <w:lastRenderedPageBreak/>
        <w:t>基金管理人在月度报表完成当日，将报表盖章后提供给基金托管人复核；基金托管人在收到后应在</w:t>
      </w:r>
      <w:r>
        <w:rPr>
          <w:color w:val="000000"/>
          <w:sz w:val="24"/>
          <w:szCs w:val="24"/>
        </w:rPr>
        <w:t>3</w:t>
      </w:r>
      <w:r>
        <w:rPr>
          <w:color w:val="000000"/>
          <w:sz w:val="24"/>
          <w:szCs w:val="24"/>
        </w:rPr>
        <w:t>日内进行复核，并将复核结果书面通知</w:t>
      </w:r>
      <w:r>
        <w:rPr>
          <w:rFonts w:hint="eastAsia"/>
          <w:color w:val="000000"/>
          <w:sz w:val="24"/>
          <w:szCs w:val="24"/>
        </w:rPr>
        <w:t>或通过电子形式通知</w:t>
      </w:r>
      <w:r>
        <w:rPr>
          <w:color w:val="000000"/>
          <w:sz w:val="24"/>
          <w:szCs w:val="24"/>
        </w:rPr>
        <w:t>基金管理人。基金管理人在季度报告完成当日，将有关报告提供给基金托管人复核，基金托管人应在收到后</w:t>
      </w:r>
      <w:r>
        <w:rPr>
          <w:color w:val="000000"/>
          <w:sz w:val="24"/>
          <w:szCs w:val="24"/>
        </w:rPr>
        <w:t>7</w:t>
      </w:r>
      <w:r>
        <w:rPr>
          <w:color w:val="000000"/>
          <w:sz w:val="24"/>
          <w:szCs w:val="24"/>
        </w:rPr>
        <w:t>个工作日内完成复核，并将复核结果书面通知</w:t>
      </w:r>
      <w:r>
        <w:rPr>
          <w:rFonts w:hint="eastAsia"/>
          <w:color w:val="000000"/>
          <w:sz w:val="24"/>
          <w:szCs w:val="24"/>
        </w:rPr>
        <w:t>或通过电子形式通知</w:t>
      </w:r>
      <w:r>
        <w:rPr>
          <w:color w:val="000000"/>
          <w:sz w:val="24"/>
          <w:szCs w:val="24"/>
        </w:rPr>
        <w:t>基金管理人。基金管理人在中期报告完成当日，将有关报告提供给基金托管人复核，基金托管人应在收到后</w:t>
      </w:r>
      <w:r>
        <w:rPr>
          <w:color w:val="000000"/>
          <w:sz w:val="24"/>
          <w:szCs w:val="24"/>
        </w:rPr>
        <w:t>30</w:t>
      </w:r>
      <w:r>
        <w:rPr>
          <w:color w:val="000000"/>
          <w:sz w:val="24"/>
          <w:szCs w:val="24"/>
        </w:rPr>
        <w:t>日内完成复核，并将复核结果书面通知</w:t>
      </w:r>
      <w:r>
        <w:rPr>
          <w:rFonts w:hint="eastAsia"/>
          <w:color w:val="000000"/>
          <w:sz w:val="24"/>
          <w:szCs w:val="24"/>
        </w:rPr>
        <w:t>或通过电子形式通知</w:t>
      </w:r>
      <w:r>
        <w:rPr>
          <w:color w:val="000000"/>
          <w:sz w:val="24"/>
          <w:szCs w:val="24"/>
        </w:rPr>
        <w:t>基金管理人。基金管理人在年度报告完成当日，将有关报告提供基金托管人复核，基金托管人应在收到后</w:t>
      </w:r>
      <w:r>
        <w:rPr>
          <w:color w:val="000000"/>
          <w:sz w:val="24"/>
          <w:szCs w:val="24"/>
        </w:rPr>
        <w:t>45</w:t>
      </w:r>
      <w:r>
        <w:rPr>
          <w:color w:val="000000"/>
          <w:sz w:val="24"/>
          <w:szCs w:val="24"/>
        </w:rPr>
        <w:t>日内完成复核，并将复核结果书面通知</w:t>
      </w:r>
      <w:r>
        <w:rPr>
          <w:rFonts w:hint="eastAsia"/>
          <w:color w:val="000000"/>
          <w:sz w:val="24"/>
          <w:szCs w:val="24"/>
        </w:rPr>
        <w:t>或通过电子形式通知</w:t>
      </w:r>
      <w:r>
        <w:rPr>
          <w:color w:val="000000"/>
          <w:sz w:val="24"/>
          <w:szCs w:val="24"/>
        </w:rPr>
        <w:t>基金管理人。基金管理人和基金托管人之间的上述文件往来均以传真的方式或双方商定的其他方式进行。</w:t>
      </w:r>
    </w:p>
    <w:p w14:paraId="4915595F" w14:textId="77777777" w:rsidR="007F0ECF" w:rsidRDefault="005B4DD9">
      <w:pPr>
        <w:adjustRightInd w:val="0"/>
        <w:spacing w:line="360" w:lineRule="auto"/>
        <w:ind w:firstLineChars="200" w:firstLine="480"/>
        <w:rPr>
          <w:color w:val="000000"/>
          <w:sz w:val="24"/>
          <w:szCs w:val="24"/>
        </w:rPr>
      </w:pPr>
      <w:r>
        <w:rPr>
          <w:color w:val="000000"/>
          <w:sz w:val="24"/>
          <w:szCs w:val="24"/>
        </w:rPr>
        <w:t>基金托管人在复核过程中，发现双方的报表</w:t>
      </w:r>
      <w:r>
        <w:rPr>
          <w:rFonts w:hint="eastAsia"/>
          <w:color w:val="000000"/>
          <w:sz w:val="24"/>
          <w:szCs w:val="24"/>
        </w:rPr>
        <w:t>或报告</w:t>
      </w:r>
      <w:r>
        <w:rPr>
          <w:color w:val="000000"/>
          <w:sz w:val="24"/>
          <w:szCs w:val="24"/>
        </w:rPr>
        <w:t>存在不符时，基金管理人和基金托管人应共同查明原因，进行调整，调整以双方认可的账务处理方式为准；若双方无法达成一致，以基金管理人的账务处理为准。核对无误后，基金托管人在基金管理人提供的报表</w:t>
      </w:r>
      <w:r>
        <w:rPr>
          <w:rFonts w:hint="eastAsia"/>
          <w:color w:val="000000"/>
          <w:sz w:val="24"/>
          <w:szCs w:val="24"/>
        </w:rPr>
        <w:t>或</w:t>
      </w:r>
      <w:r>
        <w:rPr>
          <w:color w:val="000000"/>
          <w:sz w:val="24"/>
          <w:szCs w:val="24"/>
        </w:rPr>
        <w:t>报告上加盖托管业务</w:t>
      </w:r>
      <w:r>
        <w:rPr>
          <w:rFonts w:hint="eastAsia"/>
          <w:color w:val="000000"/>
          <w:sz w:val="24"/>
          <w:szCs w:val="24"/>
        </w:rPr>
        <w:t>专用</w:t>
      </w:r>
      <w:r>
        <w:rPr>
          <w:color w:val="000000"/>
          <w:sz w:val="24"/>
          <w:szCs w:val="24"/>
        </w:rPr>
        <w:t>章或者出具加盖托管业务专用章的复核意见书</w:t>
      </w:r>
      <w:r>
        <w:rPr>
          <w:rFonts w:hint="eastAsia"/>
          <w:color w:val="000000"/>
          <w:sz w:val="24"/>
          <w:szCs w:val="24"/>
        </w:rPr>
        <w:t>或进行电子确认</w:t>
      </w:r>
      <w:r>
        <w:rPr>
          <w:color w:val="000000"/>
          <w:sz w:val="24"/>
          <w:szCs w:val="24"/>
        </w:rPr>
        <w:t>，双方各自留存一份。如果基金管理人与基金托管人不能</w:t>
      </w:r>
      <w:proofErr w:type="gramStart"/>
      <w:r>
        <w:rPr>
          <w:color w:val="000000"/>
          <w:sz w:val="24"/>
          <w:szCs w:val="24"/>
        </w:rPr>
        <w:t>于应当</w:t>
      </w:r>
      <w:proofErr w:type="gramEnd"/>
      <w:r>
        <w:rPr>
          <w:color w:val="000000"/>
          <w:sz w:val="24"/>
          <w:szCs w:val="24"/>
        </w:rPr>
        <w:t>发布公告之日之前就相关报表</w:t>
      </w:r>
      <w:r>
        <w:rPr>
          <w:rFonts w:hint="eastAsia"/>
          <w:color w:val="000000"/>
          <w:sz w:val="24"/>
          <w:szCs w:val="24"/>
        </w:rPr>
        <w:t>或</w:t>
      </w:r>
      <w:r>
        <w:rPr>
          <w:color w:val="000000"/>
          <w:sz w:val="24"/>
          <w:szCs w:val="24"/>
        </w:rPr>
        <w:t>报告达成一致，基金管理人有权按照其编制的报表</w:t>
      </w:r>
      <w:r>
        <w:rPr>
          <w:rFonts w:hint="eastAsia"/>
          <w:color w:val="000000"/>
          <w:sz w:val="24"/>
          <w:szCs w:val="24"/>
        </w:rPr>
        <w:t>或</w:t>
      </w:r>
      <w:r>
        <w:rPr>
          <w:color w:val="000000"/>
          <w:sz w:val="24"/>
          <w:szCs w:val="24"/>
        </w:rPr>
        <w:t>报告对外发布公告，基金托管人有权就相关情况报中国证监会备案。</w:t>
      </w:r>
    </w:p>
    <w:p w14:paraId="5312723E" w14:textId="77777777" w:rsidR="007F0ECF" w:rsidRDefault="005B4DD9">
      <w:pPr>
        <w:adjustRightInd w:val="0"/>
        <w:spacing w:line="360" w:lineRule="auto"/>
        <w:ind w:firstLineChars="200" w:firstLine="480"/>
        <w:rPr>
          <w:color w:val="000000"/>
          <w:sz w:val="24"/>
          <w:szCs w:val="24"/>
        </w:rPr>
      </w:pPr>
      <w:r>
        <w:rPr>
          <w:color w:val="000000"/>
          <w:sz w:val="24"/>
          <w:szCs w:val="24"/>
        </w:rPr>
        <w:t>（八）基金管理人应每</w:t>
      </w:r>
      <w:r>
        <w:rPr>
          <w:rFonts w:hint="eastAsia"/>
          <w:color w:val="000000"/>
          <w:sz w:val="24"/>
          <w:szCs w:val="24"/>
        </w:rPr>
        <w:t>季度</w:t>
      </w:r>
      <w:r>
        <w:rPr>
          <w:color w:val="000000"/>
          <w:sz w:val="24"/>
          <w:szCs w:val="24"/>
        </w:rPr>
        <w:t>向基金托管人提供基金业绩比较基准的基础数据和编制结果。</w:t>
      </w:r>
    </w:p>
    <w:p w14:paraId="05B5A179"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（九）实施</w:t>
      </w:r>
      <w:proofErr w:type="gramStart"/>
      <w:r>
        <w:rPr>
          <w:color w:val="000000"/>
          <w:sz w:val="24"/>
          <w:szCs w:val="24"/>
        </w:rPr>
        <w:t>侧袋机制</w:t>
      </w:r>
      <w:proofErr w:type="gramEnd"/>
      <w:r>
        <w:rPr>
          <w:color w:val="000000"/>
          <w:sz w:val="24"/>
          <w:szCs w:val="24"/>
        </w:rPr>
        <w:t>期间的基金资产</w:t>
      </w:r>
      <w:r>
        <w:rPr>
          <w:rFonts w:hint="eastAsia"/>
          <w:color w:val="000000"/>
          <w:sz w:val="24"/>
          <w:szCs w:val="24"/>
        </w:rPr>
        <w:t>估值</w:t>
      </w:r>
    </w:p>
    <w:p w14:paraId="2400567B" w14:textId="77777777" w:rsidR="007F0ECF" w:rsidRDefault="005B4DD9">
      <w:pPr>
        <w:adjustRightInd w:val="0"/>
        <w:spacing w:line="360" w:lineRule="auto"/>
        <w:ind w:firstLineChars="200" w:firstLine="480"/>
        <w:rPr>
          <w:color w:val="000000"/>
          <w:sz w:val="24"/>
          <w:szCs w:val="24"/>
        </w:rPr>
      </w:pPr>
      <w:r>
        <w:rPr>
          <w:rFonts w:hint="eastAsia"/>
          <w:bCs/>
          <w:sz w:val="24"/>
        </w:rPr>
        <w:t>本基金实施</w:t>
      </w:r>
      <w:proofErr w:type="gramStart"/>
      <w:r>
        <w:rPr>
          <w:rFonts w:hint="eastAsia"/>
          <w:bCs/>
          <w:sz w:val="24"/>
        </w:rPr>
        <w:t>侧袋机制</w:t>
      </w:r>
      <w:proofErr w:type="gramEnd"/>
      <w:r>
        <w:rPr>
          <w:rFonts w:hint="eastAsia"/>
          <w:bCs/>
          <w:sz w:val="24"/>
        </w:rPr>
        <w:t>的，应根据本部分的约定</w:t>
      </w:r>
      <w:proofErr w:type="gramStart"/>
      <w:r>
        <w:rPr>
          <w:rFonts w:hint="eastAsia"/>
          <w:bCs/>
          <w:sz w:val="24"/>
        </w:rPr>
        <w:t>对主袋账户</w:t>
      </w:r>
      <w:proofErr w:type="gramEnd"/>
      <w:r>
        <w:rPr>
          <w:rFonts w:hint="eastAsia"/>
          <w:bCs/>
          <w:sz w:val="24"/>
        </w:rPr>
        <w:t>资产进行估值并</w:t>
      </w:r>
      <w:proofErr w:type="gramStart"/>
      <w:r>
        <w:rPr>
          <w:rFonts w:hint="eastAsia"/>
          <w:bCs/>
          <w:sz w:val="24"/>
        </w:rPr>
        <w:t>披露主袋账户</w:t>
      </w:r>
      <w:proofErr w:type="gramEnd"/>
      <w:r>
        <w:rPr>
          <w:rFonts w:hint="eastAsia"/>
          <w:bCs/>
          <w:sz w:val="24"/>
        </w:rPr>
        <w:t>的基金净值信息，暂停</w:t>
      </w:r>
      <w:proofErr w:type="gramStart"/>
      <w:r>
        <w:rPr>
          <w:rFonts w:hint="eastAsia"/>
          <w:bCs/>
          <w:sz w:val="24"/>
        </w:rPr>
        <w:t>披露侧袋账户</w:t>
      </w:r>
      <w:proofErr w:type="gramEnd"/>
      <w:r>
        <w:rPr>
          <w:rFonts w:hint="eastAsia"/>
          <w:bCs/>
          <w:sz w:val="24"/>
        </w:rPr>
        <w:t>份额净值</w:t>
      </w:r>
      <w:r>
        <w:rPr>
          <w:rFonts w:hint="eastAsia"/>
          <w:color w:val="000000"/>
          <w:sz w:val="24"/>
          <w:szCs w:val="24"/>
        </w:rPr>
        <w:t>。</w:t>
      </w:r>
    </w:p>
    <w:p w14:paraId="3C027703" w14:textId="77777777" w:rsidR="007F0ECF" w:rsidRDefault="005B4DD9">
      <w:pPr>
        <w:pStyle w:val="2"/>
        <w:spacing w:line="360" w:lineRule="auto"/>
        <w:jc w:val="center"/>
        <w:rPr>
          <w:rFonts w:ascii="Times New Roman" w:eastAsia="宋体" w:hAnsi="Times New Roman"/>
          <w:color w:val="000000"/>
          <w:sz w:val="30"/>
          <w:szCs w:val="30"/>
        </w:rPr>
      </w:pPr>
      <w:r>
        <w:rPr>
          <w:rFonts w:ascii="Times New Roman" w:eastAsia="宋体" w:hAnsi="Times New Roman"/>
          <w:sz w:val="24"/>
          <w:szCs w:val="24"/>
        </w:rPr>
        <w:br w:type="page"/>
      </w:r>
      <w:bookmarkStart w:id="104" w:name="_Toc497759444"/>
      <w:r>
        <w:rPr>
          <w:rFonts w:ascii="Times New Roman" w:eastAsia="宋体" w:hAnsi="Times New Roman"/>
          <w:color w:val="000000"/>
          <w:sz w:val="30"/>
          <w:szCs w:val="30"/>
        </w:rPr>
        <w:lastRenderedPageBreak/>
        <w:t>九、基金收益分配</w:t>
      </w:r>
      <w:bookmarkEnd w:id="104"/>
    </w:p>
    <w:p w14:paraId="459C8F1F" w14:textId="77777777" w:rsidR="007F0ECF" w:rsidRDefault="005B4DD9">
      <w:pPr>
        <w:adjustRightInd w:val="0"/>
        <w:spacing w:line="360" w:lineRule="auto"/>
        <w:ind w:firstLineChars="200" w:firstLine="480"/>
        <w:rPr>
          <w:color w:val="000000"/>
          <w:sz w:val="24"/>
          <w:szCs w:val="24"/>
        </w:rPr>
      </w:pPr>
      <w:r>
        <w:rPr>
          <w:color w:val="000000"/>
          <w:sz w:val="24"/>
          <w:szCs w:val="24"/>
        </w:rPr>
        <w:t>基金收益分配是指按规定将基金的可</w:t>
      </w:r>
      <w:r>
        <w:rPr>
          <w:rFonts w:hint="eastAsia"/>
          <w:color w:val="000000"/>
          <w:sz w:val="24"/>
          <w:szCs w:val="24"/>
        </w:rPr>
        <w:t>供</w:t>
      </w:r>
      <w:r>
        <w:rPr>
          <w:color w:val="000000"/>
          <w:sz w:val="24"/>
          <w:szCs w:val="24"/>
        </w:rPr>
        <w:t>分配</w:t>
      </w:r>
      <w:r>
        <w:rPr>
          <w:rFonts w:hint="eastAsia"/>
          <w:color w:val="000000"/>
          <w:sz w:val="24"/>
          <w:szCs w:val="24"/>
        </w:rPr>
        <w:t>利润</w:t>
      </w:r>
      <w:r>
        <w:rPr>
          <w:color w:val="000000"/>
          <w:sz w:val="24"/>
          <w:szCs w:val="24"/>
        </w:rPr>
        <w:t>按基金份额进行比例分配。</w:t>
      </w:r>
    </w:p>
    <w:p w14:paraId="222B7AB8" w14:textId="77777777" w:rsidR="007F0ECF" w:rsidRDefault="005B4DD9">
      <w:pPr>
        <w:adjustRightInd w:val="0"/>
        <w:spacing w:line="360" w:lineRule="auto"/>
        <w:ind w:firstLineChars="200" w:firstLine="480"/>
        <w:rPr>
          <w:color w:val="000000"/>
          <w:sz w:val="24"/>
          <w:szCs w:val="24"/>
        </w:rPr>
      </w:pPr>
      <w:r>
        <w:rPr>
          <w:color w:val="000000"/>
          <w:sz w:val="24"/>
          <w:szCs w:val="24"/>
        </w:rPr>
        <w:t>（一）基金收益分配的原则</w:t>
      </w:r>
    </w:p>
    <w:p w14:paraId="1373736A" w14:textId="77777777" w:rsidR="007F0ECF" w:rsidRDefault="005B4DD9">
      <w:pPr>
        <w:adjustRightInd w:val="0"/>
        <w:spacing w:line="360" w:lineRule="auto"/>
        <w:ind w:firstLineChars="200" w:firstLine="480"/>
        <w:rPr>
          <w:bCs/>
          <w:sz w:val="24"/>
        </w:rPr>
      </w:pPr>
      <w:r>
        <w:rPr>
          <w:rFonts w:hint="eastAsia"/>
          <w:bCs/>
          <w:sz w:val="24"/>
        </w:rPr>
        <w:t>1</w:t>
      </w:r>
      <w:r>
        <w:rPr>
          <w:rFonts w:hint="eastAsia"/>
          <w:bCs/>
          <w:sz w:val="24"/>
        </w:rPr>
        <w:t>、本基金收益分配方式分两种：现金分红与红利再投资，投资者可选择现金红利或将现金红利按照除权除息日的基金份额净值自动转为相应类别的基金份额进行再投资；若投资者不选择，本基金默认的收益分配方式是现金分红；</w:t>
      </w:r>
    </w:p>
    <w:p w14:paraId="4F1F7243" w14:textId="77777777" w:rsidR="007F0ECF" w:rsidRDefault="005B4DD9">
      <w:pPr>
        <w:adjustRightInd w:val="0"/>
        <w:spacing w:line="360" w:lineRule="auto"/>
        <w:ind w:firstLineChars="200" w:firstLine="480"/>
        <w:rPr>
          <w:bCs/>
          <w:sz w:val="24"/>
        </w:rPr>
      </w:pPr>
      <w:r>
        <w:rPr>
          <w:rFonts w:hint="eastAsia"/>
          <w:bCs/>
          <w:sz w:val="24"/>
        </w:rPr>
        <w:t>2</w:t>
      </w:r>
      <w:r>
        <w:rPr>
          <w:rFonts w:hint="eastAsia"/>
          <w:bCs/>
          <w:sz w:val="24"/>
        </w:rPr>
        <w:t>、基金收益分配后各类基金份额净值不能低于面值；即基金收益分配基准日的各类基金份额净值减去每单位该类基金份额收益分配金额后不能低于面值；</w:t>
      </w:r>
    </w:p>
    <w:p w14:paraId="046F5C7E" w14:textId="77777777" w:rsidR="007F0ECF" w:rsidRDefault="005B4DD9">
      <w:pPr>
        <w:adjustRightInd w:val="0"/>
        <w:spacing w:line="360" w:lineRule="auto"/>
        <w:ind w:firstLineChars="200" w:firstLine="480"/>
        <w:rPr>
          <w:bCs/>
          <w:sz w:val="24"/>
        </w:rPr>
      </w:pPr>
      <w:r>
        <w:rPr>
          <w:rFonts w:hint="eastAsia"/>
          <w:bCs/>
          <w:sz w:val="24"/>
        </w:rPr>
        <w:t>3</w:t>
      </w:r>
      <w:r>
        <w:rPr>
          <w:rFonts w:hint="eastAsia"/>
          <w:bCs/>
          <w:sz w:val="24"/>
        </w:rPr>
        <w:t>、本基金各基金份额类别在费用收取上不同，其对应的可分配收益可能有所不同；本基金同一类别的每一基金份额享有同等分配权；</w:t>
      </w:r>
    </w:p>
    <w:p w14:paraId="3B35AB5C" w14:textId="77777777" w:rsidR="007F0ECF" w:rsidRDefault="005B4DD9">
      <w:pPr>
        <w:adjustRightInd w:val="0"/>
        <w:spacing w:line="360" w:lineRule="auto"/>
        <w:ind w:firstLineChars="200" w:firstLine="480"/>
        <w:rPr>
          <w:color w:val="000000"/>
          <w:sz w:val="24"/>
          <w:szCs w:val="24"/>
        </w:rPr>
      </w:pPr>
      <w:r>
        <w:rPr>
          <w:rFonts w:hint="eastAsia"/>
          <w:bCs/>
          <w:sz w:val="24"/>
        </w:rPr>
        <w:t>4</w:t>
      </w:r>
      <w:r>
        <w:rPr>
          <w:rFonts w:hint="eastAsia"/>
          <w:bCs/>
          <w:sz w:val="24"/>
        </w:rPr>
        <w:t>、法律法规或监管机关另有规定的，从其规定。</w:t>
      </w:r>
    </w:p>
    <w:p w14:paraId="14FBBD52"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在不违反法律法规和监管部门的规定且对现有基金份额持有人利益无实质性不利影响的情况下，基金管理人履行适当程序后，可对基金收益分配原则进行调整，不需召开基金份额持有人大会。</w:t>
      </w:r>
    </w:p>
    <w:p w14:paraId="189A9E8D" w14:textId="77777777" w:rsidR="007F0ECF" w:rsidRDefault="005B4DD9">
      <w:pPr>
        <w:adjustRightInd w:val="0"/>
        <w:spacing w:line="360" w:lineRule="auto"/>
        <w:ind w:firstLineChars="200" w:firstLine="480"/>
        <w:rPr>
          <w:color w:val="000000"/>
          <w:sz w:val="24"/>
          <w:szCs w:val="24"/>
        </w:rPr>
      </w:pPr>
      <w:r>
        <w:rPr>
          <w:color w:val="000000"/>
          <w:sz w:val="24"/>
          <w:szCs w:val="24"/>
        </w:rPr>
        <w:t>（二）基金收益分配</w:t>
      </w:r>
      <w:r>
        <w:rPr>
          <w:rFonts w:hint="eastAsia"/>
          <w:color w:val="000000"/>
          <w:sz w:val="24"/>
          <w:szCs w:val="24"/>
        </w:rPr>
        <w:t>方案</w:t>
      </w:r>
      <w:r>
        <w:rPr>
          <w:color w:val="000000"/>
          <w:sz w:val="24"/>
          <w:szCs w:val="24"/>
        </w:rPr>
        <w:t>的</w:t>
      </w:r>
      <w:r>
        <w:rPr>
          <w:rFonts w:hint="eastAsia"/>
          <w:color w:val="000000"/>
          <w:sz w:val="24"/>
          <w:szCs w:val="24"/>
        </w:rPr>
        <w:t>确定、公告与实施</w:t>
      </w:r>
    </w:p>
    <w:p w14:paraId="7EC13DB1" w14:textId="77777777" w:rsidR="007F0ECF" w:rsidRDefault="005B4DD9">
      <w:pPr>
        <w:adjustRightInd w:val="0"/>
        <w:spacing w:line="360" w:lineRule="auto"/>
        <w:ind w:firstLineChars="200" w:firstLine="480"/>
        <w:rPr>
          <w:color w:val="000000"/>
          <w:sz w:val="24"/>
          <w:szCs w:val="24"/>
        </w:rPr>
      </w:pPr>
      <w:r>
        <w:rPr>
          <w:bCs/>
          <w:sz w:val="24"/>
        </w:rPr>
        <w:t>本基金收益分配方案由基金管理人拟定，并由基金托管人复核</w:t>
      </w:r>
      <w:r>
        <w:rPr>
          <w:rFonts w:hint="eastAsia"/>
          <w:bCs/>
          <w:sz w:val="24"/>
        </w:rPr>
        <w:t>。基金收益分配方案确定后，由基金管理人按照《信息披露办法》的有关规定</w:t>
      </w:r>
      <w:r>
        <w:rPr>
          <w:bCs/>
          <w:sz w:val="24"/>
        </w:rPr>
        <w:t>在规定媒介公告</w:t>
      </w:r>
      <w:r>
        <w:rPr>
          <w:rFonts w:hint="eastAsia"/>
          <w:color w:val="000000"/>
          <w:sz w:val="24"/>
          <w:szCs w:val="24"/>
        </w:rPr>
        <w:t>。</w:t>
      </w:r>
    </w:p>
    <w:p w14:paraId="5668B186"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（三）实施</w:t>
      </w:r>
      <w:proofErr w:type="gramStart"/>
      <w:r>
        <w:rPr>
          <w:rFonts w:hint="eastAsia"/>
          <w:color w:val="000000"/>
          <w:sz w:val="24"/>
          <w:szCs w:val="24"/>
        </w:rPr>
        <w:t>侧袋机制</w:t>
      </w:r>
      <w:proofErr w:type="gramEnd"/>
      <w:r>
        <w:rPr>
          <w:rFonts w:hint="eastAsia"/>
          <w:color w:val="000000"/>
          <w:sz w:val="24"/>
          <w:szCs w:val="24"/>
        </w:rPr>
        <w:t>期间的收益分配</w:t>
      </w:r>
    </w:p>
    <w:p w14:paraId="096F5632" w14:textId="77777777" w:rsidR="007F0ECF" w:rsidRDefault="005B4DD9">
      <w:pPr>
        <w:adjustRightInd w:val="0"/>
        <w:spacing w:line="360" w:lineRule="auto"/>
        <w:ind w:firstLineChars="200" w:firstLine="480"/>
        <w:rPr>
          <w:color w:val="000000"/>
          <w:sz w:val="24"/>
          <w:szCs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侧袋账户</w:t>
      </w:r>
      <w:proofErr w:type="gramEnd"/>
      <w:r>
        <w:rPr>
          <w:rFonts w:hint="eastAsia"/>
          <w:bCs/>
          <w:sz w:val="24"/>
        </w:rPr>
        <w:t>不进行收益分配，详见招募说明书的规定</w:t>
      </w:r>
      <w:r>
        <w:rPr>
          <w:rFonts w:hint="eastAsia"/>
          <w:color w:val="000000"/>
          <w:sz w:val="24"/>
          <w:szCs w:val="24"/>
        </w:rPr>
        <w:t>。</w:t>
      </w:r>
    </w:p>
    <w:p w14:paraId="0F4A80F4" w14:textId="77777777" w:rsidR="007F0ECF" w:rsidRDefault="005B4DD9">
      <w:pPr>
        <w:pStyle w:val="2"/>
        <w:spacing w:line="360" w:lineRule="auto"/>
        <w:jc w:val="center"/>
        <w:rPr>
          <w:rFonts w:ascii="Times New Roman" w:eastAsia="宋体" w:hAnsi="Times New Roman"/>
          <w:color w:val="000000"/>
          <w:sz w:val="30"/>
          <w:szCs w:val="30"/>
        </w:rPr>
      </w:pPr>
      <w:r>
        <w:rPr>
          <w:rFonts w:ascii="Times New Roman" w:eastAsia="宋体" w:hAnsi="Times New Roman"/>
          <w:b w:val="0"/>
          <w:sz w:val="24"/>
          <w:szCs w:val="24"/>
        </w:rPr>
        <w:br w:type="page"/>
      </w:r>
      <w:bookmarkStart w:id="105" w:name="_Toc497759445"/>
      <w:r>
        <w:rPr>
          <w:rFonts w:ascii="Times New Roman" w:eastAsia="宋体" w:hAnsi="Times New Roman"/>
          <w:color w:val="000000"/>
          <w:sz w:val="30"/>
          <w:szCs w:val="30"/>
        </w:rPr>
        <w:lastRenderedPageBreak/>
        <w:t>十、基金信息披露</w:t>
      </w:r>
      <w:bookmarkEnd w:id="105"/>
    </w:p>
    <w:p w14:paraId="3841BA60" w14:textId="77777777" w:rsidR="007F0ECF" w:rsidRDefault="005B4DD9">
      <w:pPr>
        <w:adjustRightInd w:val="0"/>
        <w:spacing w:line="360" w:lineRule="auto"/>
        <w:ind w:firstLineChars="200" w:firstLine="480"/>
        <w:rPr>
          <w:color w:val="000000"/>
          <w:sz w:val="24"/>
          <w:szCs w:val="24"/>
        </w:rPr>
      </w:pPr>
      <w:r>
        <w:rPr>
          <w:color w:val="000000"/>
          <w:sz w:val="24"/>
          <w:szCs w:val="24"/>
        </w:rPr>
        <w:t>（一）保密义务</w:t>
      </w:r>
    </w:p>
    <w:p w14:paraId="4C97D562" w14:textId="77777777" w:rsidR="007F0ECF" w:rsidRDefault="005B4DD9">
      <w:pPr>
        <w:adjustRightInd w:val="0"/>
        <w:spacing w:line="360" w:lineRule="auto"/>
        <w:ind w:firstLineChars="200" w:firstLine="480"/>
        <w:rPr>
          <w:color w:val="000000"/>
          <w:sz w:val="24"/>
          <w:szCs w:val="24"/>
        </w:rPr>
      </w:pPr>
      <w:r>
        <w:rPr>
          <w:color w:val="000000"/>
          <w:sz w:val="24"/>
          <w:szCs w:val="24"/>
        </w:rPr>
        <w:t>基金托管人和基金管理人应按法律法规、基金合同的有关规定进行信息披露，拟公开披露的信息在公开披露之前应予保密。除按《基金法》、</w:t>
      </w:r>
      <w:r>
        <w:rPr>
          <w:rFonts w:hint="eastAsia"/>
          <w:color w:val="000000"/>
          <w:sz w:val="24"/>
          <w:szCs w:val="24"/>
        </w:rPr>
        <w:t>《运作办法》、</w:t>
      </w:r>
      <w:r>
        <w:rPr>
          <w:color w:val="000000"/>
          <w:sz w:val="24"/>
          <w:szCs w:val="24"/>
        </w:rPr>
        <w:t>《信息披露办法》</w:t>
      </w:r>
      <w:r>
        <w:rPr>
          <w:rFonts w:hint="eastAsia"/>
          <w:color w:val="000000"/>
          <w:sz w:val="24"/>
          <w:szCs w:val="24"/>
        </w:rPr>
        <w:t>、</w:t>
      </w:r>
      <w:r>
        <w:rPr>
          <w:rFonts w:hint="eastAsia"/>
          <w:bCs/>
          <w:sz w:val="24"/>
        </w:rPr>
        <w:t>《流动性风险管理规定》、</w:t>
      </w:r>
      <w:r>
        <w:rPr>
          <w:color w:val="000000"/>
          <w:sz w:val="24"/>
          <w:szCs w:val="24"/>
        </w:rPr>
        <w:t>基金合同及其他有关规定进行信息披露外，基金管理人和基金托管人对基金运作中产生的信息以及从对方获得的业务信息应予保密。</w:t>
      </w:r>
    </w:p>
    <w:p w14:paraId="77E1E8A4"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基金管理人和基金托管人除了为</w:t>
      </w:r>
      <w:proofErr w:type="gramStart"/>
      <w:r>
        <w:rPr>
          <w:rFonts w:hint="eastAsia"/>
          <w:color w:val="000000"/>
          <w:sz w:val="24"/>
          <w:szCs w:val="24"/>
        </w:rPr>
        <w:t>合法履行</w:t>
      </w:r>
      <w:proofErr w:type="gramEnd"/>
      <w:r>
        <w:rPr>
          <w:rFonts w:hint="eastAsia"/>
          <w:color w:val="000000"/>
          <w:sz w:val="24"/>
          <w:szCs w:val="24"/>
        </w:rPr>
        <w:t>法律法规、基金合同及本托管协议规定的义务所必要之外，不得为其他目的使用、利用其所知悉的基金的保密信息，并且应当将保密信息限制在为履行前述义务而需要了解该保密信息的职员范围之内。</w:t>
      </w:r>
      <w:r>
        <w:rPr>
          <w:color w:val="000000"/>
          <w:sz w:val="24"/>
          <w:szCs w:val="24"/>
        </w:rPr>
        <w:t>但是，如下情况不应视为基金管理人或基金托管人违反保密义务：</w:t>
      </w:r>
    </w:p>
    <w:p w14:paraId="30A6C5D4" w14:textId="77777777" w:rsidR="007F0ECF" w:rsidRDefault="005B4DD9">
      <w:pPr>
        <w:adjustRightInd w:val="0"/>
        <w:spacing w:line="360" w:lineRule="auto"/>
        <w:ind w:firstLineChars="200" w:firstLine="480"/>
        <w:rPr>
          <w:color w:val="000000"/>
          <w:sz w:val="24"/>
          <w:szCs w:val="24"/>
        </w:rPr>
      </w:pPr>
      <w:r>
        <w:rPr>
          <w:color w:val="000000"/>
          <w:sz w:val="24"/>
          <w:szCs w:val="24"/>
        </w:rPr>
        <w:t>1</w:t>
      </w:r>
      <w:r>
        <w:rPr>
          <w:color w:val="000000"/>
          <w:sz w:val="24"/>
          <w:szCs w:val="24"/>
        </w:rPr>
        <w:t>、非因基金管理人和基金托管人的原因导致保密信息被披露、泄露或公开；</w:t>
      </w:r>
    </w:p>
    <w:p w14:paraId="5D9B9920" w14:textId="77777777" w:rsidR="007F0ECF" w:rsidRDefault="005B4DD9">
      <w:pPr>
        <w:adjustRightInd w:val="0"/>
        <w:spacing w:line="360" w:lineRule="auto"/>
        <w:ind w:firstLineChars="200" w:firstLine="480"/>
        <w:rPr>
          <w:color w:val="000000"/>
          <w:sz w:val="24"/>
          <w:szCs w:val="24"/>
        </w:rPr>
      </w:pPr>
      <w:r>
        <w:rPr>
          <w:color w:val="000000"/>
          <w:sz w:val="24"/>
          <w:szCs w:val="24"/>
        </w:rPr>
        <w:t>2</w:t>
      </w:r>
      <w:r>
        <w:rPr>
          <w:color w:val="000000"/>
          <w:sz w:val="24"/>
          <w:szCs w:val="24"/>
        </w:rPr>
        <w:t>、基金管理人和基金托管人为遵守和服从法院判决或裁定、仲裁裁决或中国证监会等监管机构的命令、决定所做出的信息披露或公开</w:t>
      </w:r>
      <w:r>
        <w:rPr>
          <w:rFonts w:hint="eastAsia"/>
          <w:color w:val="000000"/>
          <w:sz w:val="24"/>
          <w:szCs w:val="24"/>
        </w:rPr>
        <w:t>；</w:t>
      </w:r>
    </w:p>
    <w:p w14:paraId="09001F60"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3</w:t>
      </w:r>
      <w:r>
        <w:rPr>
          <w:rFonts w:hint="eastAsia"/>
          <w:color w:val="000000"/>
          <w:sz w:val="24"/>
          <w:szCs w:val="24"/>
        </w:rPr>
        <w:t>、基金管理人和基金托管人在要求保密的前提下对自身聘请的外部法律顾问、财务顾问、审计人员、技术顾问等做出的必要信息披露。</w:t>
      </w:r>
    </w:p>
    <w:p w14:paraId="64C052AE" w14:textId="77777777" w:rsidR="007F0ECF" w:rsidRDefault="005B4DD9">
      <w:pPr>
        <w:adjustRightInd w:val="0"/>
        <w:spacing w:line="360" w:lineRule="auto"/>
        <w:ind w:firstLineChars="200" w:firstLine="480"/>
        <w:rPr>
          <w:color w:val="000000"/>
          <w:sz w:val="24"/>
          <w:szCs w:val="24"/>
        </w:rPr>
      </w:pPr>
      <w:r>
        <w:rPr>
          <w:color w:val="000000"/>
          <w:sz w:val="24"/>
          <w:szCs w:val="24"/>
        </w:rPr>
        <w:t>（二）信息披露的内容</w:t>
      </w:r>
    </w:p>
    <w:p w14:paraId="4130CEE1" w14:textId="77777777" w:rsidR="007F0ECF" w:rsidRDefault="005B4DD9">
      <w:pPr>
        <w:adjustRightInd w:val="0"/>
        <w:spacing w:line="360" w:lineRule="auto"/>
        <w:ind w:firstLineChars="200" w:firstLine="480"/>
        <w:rPr>
          <w:color w:val="000000"/>
          <w:sz w:val="24"/>
          <w:szCs w:val="24"/>
        </w:rPr>
      </w:pPr>
      <w:r>
        <w:rPr>
          <w:color w:val="000000"/>
          <w:sz w:val="24"/>
          <w:szCs w:val="24"/>
        </w:rPr>
        <w:t>基金的信息披露主要包括基金招募说明书</w:t>
      </w:r>
      <w:r>
        <w:rPr>
          <w:rFonts w:hint="eastAsia"/>
          <w:color w:val="000000"/>
          <w:sz w:val="24"/>
          <w:szCs w:val="24"/>
        </w:rPr>
        <w:t>及</w:t>
      </w:r>
      <w:r>
        <w:rPr>
          <w:color w:val="000000"/>
          <w:sz w:val="24"/>
          <w:szCs w:val="24"/>
        </w:rPr>
        <w:t>其更新、基金合同、托管协议、</w:t>
      </w:r>
      <w:r>
        <w:rPr>
          <w:rFonts w:ascii="宋体" w:hAnsi="宋体" w:hint="eastAsia"/>
          <w:color w:val="000000"/>
          <w:sz w:val="24"/>
        </w:rPr>
        <w:t>基金产品资料概要、</w:t>
      </w:r>
      <w:r>
        <w:rPr>
          <w:color w:val="000000"/>
          <w:sz w:val="24"/>
          <w:szCs w:val="24"/>
        </w:rPr>
        <w:t>基金份额发售公告、基金合同生效公告、</w:t>
      </w:r>
      <w:r>
        <w:rPr>
          <w:rFonts w:hint="eastAsia"/>
          <w:color w:val="000000"/>
          <w:sz w:val="24"/>
          <w:szCs w:val="24"/>
        </w:rPr>
        <w:t>基金净值信息</w:t>
      </w:r>
      <w:r>
        <w:rPr>
          <w:color w:val="000000"/>
          <w:sz w:val="24"/>
          <w:szCs w:val="24"/>
        </w:rPr>
        <w:t>、基金份额申购、赎回价格、基金定期报告</w:t>
      </w:r>
      <w:r>
        <w:rPr>
          <w:rFonts w:hint="eastAsia"/>
          <w:color w:val="000000"/>
          <w:sz w:val="24"/>
          <w:szCs w:val="24"/>
        </w:rPr>
        <w:t>（</w:t>
      </w:r>
      <w:r>
        <w:rPr>
          <w:color w:val="000000"/>
          <w:sz w:val="24"/>
          <w:szCs w:val="24"/>
        </w:rPr>
        <w:t>包括基金年度报告、基金中期报告和基金季度报告</w:t>
      </w:r>
      <w:r>
        <w:rPr>
          <w:rFonts w:hint="eastAsia"/>
          <w:color w:val="000000"/>
          <w:sz w:val="24"/>
          <w:szCs w:val="24"/>
        </w:rPr>
        <w:t>）、</w:t>
      </w:r>
      <w:r>
        <w:rPr>
          <w:color w:val="000000"/>
          <w:sz w:val="24"/>
          <w:szCs w:val="24"/>
        </w:rPr>
        <w:t>临时报告、澄清</w:t>
      </w:r>
      <w:r>
        <w:rPr>
          <w:rFonts w:hint="eastAsia"/>
          <w:color w:val="000000"/>
          <w:sz w:val="24"/>
          <w:szCs w:val="24"/>
        </w:rPr>
        <w:t>公</w:t>
      </w:r>
      <w:r>
        <w:rPr>
          <w:color w:val="000000"/>
          <w:sz w:val="24"/>
          <w:szCs w:val="24"/>
        </w:rPr>
        <w:t>告、基金份额持有人大会决议、</w:t>
      </w:r>
      <w:r>
        <w:rPr>
          <w:rFonts w:hint="eastAsia"/>
          <w:bCs/>
          <w:sz w:val="24"/>
        </w:rPr>
        <w:t>清算报告</w:t>
      </w:r>
      <w:r>
        <w:rPr>
          <w:rFonts w:hint="eastAsia"/>
          <w:color w:val="000000"/>
          <w:sz w:val="24"/>
          <w:szCs w:val="24"/>
        </w:rPr>
        <w:t>、参与融资及转融通证券出借业务的信息披露、投资港股通标的股票的信息披露、投资股指期货的信息披露、投资国债期货的信息披露、投资股票期权的信息披露、投资资产支持证券的信息披露、实施</w:t>
      </w:r>
      <w:proofErr w:type="gramStart"/>
      <w:r>
        <w:rPr>
          <w:rFonts w:hint="eastAsia"/>
          <w:color w:val="000000"/>
          <w:sz w:val="24"/>
          <w:szCs w:val="24"/>
        </w:rPr>
        <w:t>侧袋机制</w:t>
      </w:r>
      <w:proofErr w:type="gramEnd"/>
      <w:r>
        <w:rPr>
          <w:rFonts w:hint="eastAsia"/>
          <w:color w:val="000000"/>
          <w:sz w:val="24"/>
          <w:szCs w:val="24"/>
        </w:rPr>
        <w:t>期间的信息披露</w:t>
      </w:r>
      <w:r>
        <w:rPr>
          <w:rFonts w:hint="eastAsia"/>
          <w:bCs/>
          <w:sz w:val="24"/>
        </w:rPr>
        <w:t>和</w:t>
      </w:r>
      <w:r>
        <w:rPr>
          <w:color w:val="000000"/>
          <w:sz w:val="24"/>
          <w:szCs w:val="24"/>
        </w:rPr>
        <w:t>中国证监会规定的其他信息。基金年度报告</w:t>
      </w:r>
      <w:r>
        <w:rPr>
          <w:rFonts w:hint="eastAsia"/>
          <w:color w:val="000000"/>
          <w:sz w:val="24"/>
          <w:szCs w:val="24"/>
        </w:rPr>
        <w:t>中的财务会计报告</w:t>
      </w:r>
      <w:r>
        <w:rPr>
          <w:color w:val="000000"/>
          <w:sz w:val="24"/>
          <w:szCs w:val="24"/>
        </w:rPr>
        <w:t>需</w:t>
      </w:r>
      <w:proofErr w:type="gramStart"/>
      <w:r>
        <w:rPr>
          <w:color w:val="000000"/>
          <w:sz w:val="24"/>
          <w:szCs w:val="24"/>
        </w:rPr>
        <w:t>经</w:t>
      </w:r>
      <w:r>
        <w:rPr>
          <w:rFonts w:hint="eastAsia"/>
          <w:color w:val="000000"/>
          <w:sz w:val="24"/>
          <w:szCs w:val="24"/>
        </w:rPr>
        <w:t>符合</w:t>
      </w:r>
      <w:proofErr w:type="gramEnd"/>
      <w:r>
        <w:rPr>
          <w:rFonts w:hint="eastAsia"/>
          <w:color w:val="000000"/>
          <w:sz w:val="24"/>
          <w:szCs w:val="24"/>
        </w:rPr>
        <w:t>《中华人民共和国证券法》规定</w:t>
      </w:r>
      <w:r>
        <w:rPr>
          <w:color w:val="000000"/>
          <w:sz w:val="24"/>
          <w:szCs w:val="24"/>
        </w:rPr>
        <w:t>的会计师事务所审计后，方可披露。</w:t>
      </w:r>
    </w:p>
    <w:p w14:paraId="087D5646" w14:textId="77777777" w:rsidR="007F0ECF" w:rsidRDefault="005B4DD9">
      <w:pPr>
        <w:adjustRightInd w:val="0"/>
        <w:spacing w:line="360" w:lineRule="auto"/>
        <w:ind w:firstLineChars="200" w:firstLine="480"/>
        <w:rPr>
          <w:color w:val="000000"/>
          <w:sz w:val="24"/>
          <w:szCs w:val="24"/>
        </w:rPr>
      </w:pPr>
      <w:r>
        <w:rPr>
          <w:color w:val="000000"/>
          <w:sz w:val="24"/>
          <w:szCs w:val="24"/>
        </w:rPr>
        <w:t>（三）基金托管人和基金管理人在信息披露中的职责和信息披露程序</w:t>
      </w:r>
    </w:p>
    <w:p w14:paraId="4B636850" w14:textId="77777777" w:rsidR="007F0ECF" w:rsidRDefault="005B4DD9">
      <w:pPr>
        <w:adjustRightInd w:val="0"/>
        <w:spacing w:line="360" w:lineRule="auto"/>
        <w:ind w:firstLineChars="200" w:firstLine="480"/>
        <w:rPr>
          <w:color w:val="000000"/>
          <w:sz w:val="24"/>
          <w:szCs w:val="24"/>
        </w:rPr>
      </w:pPr>
      <w:r>
        <w:rPr>
          <w:color w:val="000000"/>
          <w:sz w:val="24"/>
          <w:szCs w:val="24"/>
        </w:rPr>
        <w:t>1</w:t>
      </w:r>
      <w:r>
        <w:rPr>
          <w:rFonts w:hint="eastAsia"/>
          <w:color w:val="000000"/>
          <w:sz w:val="24"/>
          <w:szCs w:val="24"/>
        </w:rPr>
        <w:t>、</w:t>
      </w:r>
      <w:r>
        <w:rPr>
          <w:color w:val="000000"/>
          <w:sz w:val="24"/>
          <w:szCs w:val="24"/>
        </w:rPr>
        <w:t>职责</w:t>
      </w:r>
    </w:p>
    <w:p w14:paraId="3FA59756" w14:textId="77777777" w:rsidR="007F0ECF" w:rsidRDefault="005B4DD9">
      <w:pPr>
        <w:adjustRightInd w:val="0"/>
        <w:spacing w:line="360" w:lineRule="auto"/>
        <w:ind w:firstLineChars="200" w:firstLine="480"/>
        <w:rPr>
          <w:color w:val="000000"/>
          <w:sz w:val="24"/>
          <w:szCs w:val="24"/>
        </w:rPr>
      </w:pPr>
      <w:r>
        <w:rPr>
          <w:color w:val="000000"/>
          <w:sz w:val="24"/>
          <w:szCs w:val="24"/>
        </w:rPr>
        <w:t>基金托管人和基金管理人在信息披露过程中应以保护基金份额持有人利益</w:t>
      </w:r>
      <w:r>
        <w:rPr>
          <w:color w:val="000000"/>
          <w:sz w:val="24"/>
          <w:szCs w:val="24"/>
        </w:rPr>
        <w:lastRenderedPageBreak/>
        <w:t>为宗旨，诚实信用，严守秘密。基金管理人负责办理与基金有关的信息披露事宜，对于本章第（二）条规定的应由基金托管人复核的事项，应经基金托管人复核</w:t>
      </w:r>
      <w:r>
        <w:rPr>
          <w:rFonts w:hint="eastAsia"/>
          <w:color w:val="000000"/>
          <w:sz w:val="24"/>
          <w:szCs w:val="24"/>
        </w:rPr>
        <w:t>、审查，并向基金管理人进行书面或电子确认</w:t>
      </w:r>
      <w:r>
        <w:rPr>
          <w:color w:val="000000"/>
          <w:sz w:val="24"/>
          <w:szCs w:val="24"/>
        </w:rPr>
        <w:t>。</w:t>
      </w:r>
    </w:p>
    <w:p w14:paraId="4EAB82A7" w14:textId="77777777" w:rsidR="007F0ECF" w:rsidRDefault="005B4DD9">
      <w:pPr>
        <w:adjustRightInd w:val="0"/>
        <w:spacing w:line="360" w:lineRule="auto"/>
        <w:ind w:firstLineChars="200" w:firstLine="480"/>
        <w:rPr>
          <w:color w:val="000000"/>
          <w:sz w:val="24"/>
          <w:szCs w:val="24"/>
        </w:rPr>
      </w:pPr>
      <w:r>
        <w:rPr>
          <w:bCs/>
          <w:sz w:val="24"/>
        </w:rPr>
        <w:t>本基金信息披露义务人应当在中国证监会规定时间内，将应予披露的基金信息通过</w:t>
      </w:r>
      <w:r>
        <w:rPr>
          <w:rFonts w:hint="eastAsia"/>
          <w:bCs/>
          <w:sz w:val="24"/>
        </w:rPr>
        <w:t>符合中国证监会规定条件的全国性报刊（以下简称“规定报刊”）及《信息披露办法》规定的互联网网站（以下简称“规定网站”）等媒介</w:t>
      </w:r>
      <w:r>
        <w:rPr>
          <w:bCs/>
          <w:sz w:val="24"/>
        </w:rPr>
        <w:t>披露，并保证基金投资者能够按照基金合同约定的时间和方式查阅或者复制公开披露的信息资料。</w:t>
      </w:r>
    </w:p>
    <w:p w14:paraId="24C0144A" w14:textId="77777777" w:rsidR="007F0ECF" w:rsidRDefault="005B4DD9">
      <w:pPr>
        <w:adjustRightInd w:val="0"/>
        <w:spacing w:line="360" w:lineRule="auto"/>
        <w:ind w:firstLineChars="200" w:firstLine="480"/>
        <w:rPr>
          <w:color w:val="000000"/>
          <w:sz w:val="24"/>
          <w:szCs w:val="24"/>
        </w:rPr>
      </w:pPr>
      <w:r>
        <w:rPr>
          <w:color w:val="000000"/>
          <w:sz w:val="24"/>
          <w:szCs w:val="24"/>
        </w:rPr>
        <w:t>当出现下述情况时，基金管理人和基金托管人可暂停或延迟披露基金</w:t>
      </w:r>
      <w:r>
        <w:rPr>
          <w:rFonts w:hint="eastAsia"/>
          <w:color w:val="000000"/>
          <w:sz w:val="24"/>
          <w:szCs w:val="24"/>
        </w:rPr>
        <w:t>相关</w:t>
      </w:r>
      <w:r>
        <w:rPr>
          <w:color w:val="000000"/>
          <w:sz w:val="24"/>
          <w:szCs w:val="24"/>
        </w:rPr>
        <w:t>信息：</w:t>
      </w:r>
    </w:p>
    <w:p w14:paraId="77D729A1" w14:textId="77777777" w:rsidR="007F0ECF" w:rsidRDefault="005B4DD9">
      <w:pPr>
        <w:spacing w:line="360" w:lineRule="auto"/>
        <w:ind w:firstLineChars="200" w:firstLine="480"/>
        <w:rPr>
          <w:rFonts w:ascii="宋体" w:hAnsi="宋体" w:cs="宋体"/>
          <w:sz w:val="24"/>
          <w:szCs w:val="24"/>
          <w:shd w:val="clear" w:color="FFFFFF" w:fill="D9D9D9"/>
        </w:rPr>
      </w:pPr>
      <w:r>
        <w:rPr>
          <w:rFonts w:hint="eastAsia"/>
          <w:sz w:val="24"/>
          <w:szCs w:val="24"/>
        </w:rPr>
        <w:t>（</w:t>
      </w:r>
      <w:r>
        <w:rPr>
          <w:rFonts w:hint="eastAsia"/>
          <w:sz w:val="24"/>
          <w:szCs w:val="24"/>
        </w:rPr>
        <w:t>1</w:t>
      </w:r>
      <w:r>
        <w:rPr>
          <w:rFonts w:hint="eastAsia"/>
          <w:sz w:val="24"/>
          <w:szCs w:val="24"/>
        </w:rPr>
        <w:t>）基金投资所涉及的证券、期货交易所或外汇市场遇法定节假日或因其他原因暂停营业时；</w:t>
      </w:r>
    </w:p>
    <w:p w14:paraId="14650206" w14:textId="77777777" w:rsidR="007F0ECF" w:rsidRDefault="005B4DD9">
      <w:pPr>
        <w:spacing w:line="360" w:lineRule="auto"/>
        <w:ind w:firstLineChars="200" w:firstLine="480"/>
        <w:rPr>
          <w:bCs/>
          <w:sz w:val="24"/>
        </w:rPr>
      </w:pPr>
      <w:r>
        <w:rPr>
          <w:rFonts w:hint="eastAsia"/>
          <w:sz w:val="24"/>
          <w:szCs w:val="24"/>
        </w:rPr>
        <w:t>（</w:t>
      </w:r>
      <w:r>
        <w:rPr>
          <w:rFonts w:hint="eastAsia"/>
          <w:sz w:val="24"/>
          <w:szCs w:val="24"/>
        </w:rPr>
        <w:t>2</w:t>
      </w:r>
      <w:r>
        <w:rPr>
          <w:rFonts w:hint="eastAsia"/>
          <w:sz w:val="24"/>
          <w:szCs w:val="24"/>
        </w:rPr>
        <w:t>）</w:t>
      </w:r>
      <w:r>
        <w:rPr>
          <w:rFonts w:hint="eastAsia"/>
          <w:bCs/>
          <w:sz w:val="24"/>
        </w:rPr>
        <w:t>因不可抗力或其他情形致使基金管理人、基金托管人无法准确评估基金资产价值时；</w:t>
      </w:r>
    </w:p>
    <w:p w14:paraId="020B4F77" w14:textId="77777777" w:rsidR="007F0ECF" w:rsidRDefault="005B4DD9">
      <w:pPr>
        <w:adjustRightInd w:val="0"/>
        <w:spacing w:line="360" w:lineRule="auto"/>
        <w:ind w:firstLineChars="200" w:firstLine="480"/>
        <w:rPr>
          <w:color w:val="000000"/>
          <w:sz w:val="24"/>
          <w:szCs w:val="24"/>
        </w:rPr>
      </w:pPr>
      <w:r>
        <w:rPr>
          <w:rFonts w:hint="eastAsia"/>
          <w:bCs/>
          <w:sz w:val="24"/>
        </w:rPr>
        <w:t>（</w:t>
      </w:r>
      <w:r>
        <w:rPr>
          <w:rFonts w:hint="eastAsia"/>
          <w:bCs/>
          <w:sz w:val="24"/>
        </w:rPr>
        <w:t>3</w:t>
      </w:r>
      <w:r>
        <w:rPr>
          <w:rFonts w:hint="eastAsia"/>
          <w:bCs/>
          <w:sz w:val="24"/>
        </w:rPr>
        <w:t>）法律法规规定、中国证监会或基金合同认定的其他情形</w:t>
      </w:r>
      <w:r>
        <w:rPr>
          <w:color w:val="000000"/>
          <w:sz w:val="24"/>
          <w:szCs w:val="24"/>
        </w:rPr>
        <w:t>。</w:t>
      </w:r>
    </w:p>
    <w:p w14:paraId="06F42CF3" w14:textId="77777777" w:rsidR="007F0ECF" w:rsidRDefault="005B4DD9">
      <w:pPr>
        <w:adjustRightInd w:val="0"/>
        <w:spacing w:line="360" w:lineRule="auto"/>
        <w:ind w:firstLineChars="200" w:firstLine="480"/>
        <w:rPr>
          <w:color w:val="000000"/>
          <w:sz w:val="24"/>
          <w:szCs w:val="24"/>
        </w:rPr>
      </w:pPr>
      <w:r>
        <w:rPr>
          <w:color w:val="000000"/>
          <w:sz w:val="24"/>
          <w:szCs w:val="24"/>
        </w:rPr>
        <w:t>2</w:t>
      </w:r>
      <w:r>
        <w:rPr>
          <w:rFonts w:hint="eastAsia"/>
          <w:color w:val="000000"/>
          <w:sz w:val="24"/>
          <w:szCs w:val="24"/>
        </w:rPr>
        <w:t>、</w:t>
      </w:r>
      <w:r>
        <w:rPr>
          <w:color w:val="000000"/>
          <w:sz w:val="24"/>
          <w:szCs w:val="24"/>
        </w:rPr>
        <w:t>程序</w:t>
      </w:r>
    </w:p>
    <w:p w14:paraId="606D19E7" w14:textId="77777777" w:rsidR="007F0ECF" w:rsidRDefault="005B4DD9">
      <w:pPr>
        <w:adjustRightInd w:val="0"/>
        <w:spacing w:line="360" w:lineRule="auto"/>
        <w:ind w:firstLineChars="200" w:firstLine="480"/>
        <w:rPr>
          <w:color w:val="000000"/>
          <w:sz w:val="24"/>
          <w:szCs w:val="24"/>
        </w:rPr>
      </w:pPr>
      <w:r>
        <w:rPr>
          <w:color w:val="000000"/>
          <w:sz w:val="24"/>
          <w:szCs w:val="24"/>
        </w:rPr>
        <w:t>按有关规定须经基金托管人复核的信息披露文件，由基金管理人起草、并经基金托管人复核后由基金管理人公告。发生基金合同中规定需要披露的事项时，按基金合同规定公布。</w:t>
      </w:r>
    </w:p>
    <w:p w14:paraId="5487A985" w14:textId="77777777" w:rsidR="007F0ECF" w:rsidRDefault="005B4DD9">
      <w:pPr>
        <w:adjustRightInd w:val="0"/>
        <w:spacing w:line="360" w:lineRule="auto"/>
        <w:ind w:firstLineChars="200" w:firstLine="480"/>
        <w:rPr>
          <w:color w:val="000000"/>
          <w:sz w:val="24"/>
          <w:szCs w:val="24"/>
        </w:rPr>
      </w:pPr>
      <w:r>
        <w:rPr>
          <w:color w:val="000000"/>
          <w:sz w:val="24"/>
          <w:szCs w:val="24"/>
        </w:rPr>
        <w:t>3</w:t>
      </w:r>
      <w:r>
        <w:rPr>
          <w:rFonts w:hint="eastAsia"/>
          <w:color w:val="000000"/>
          <w:sz w:val="24"/>
          <w:szCs w:val="24"/>
        </w:rPr>
        <w:t>、</w:t>
      </w:r>
      <w:r>
        <w:rPr>
          <w:color w:val="000000"/>
          <w:sz w:val="24"/>
          <w:szCs w:val="24"/>
        </w:rPr>
        <w:t>信息文本的存放</w:t>
      </w:r>
    </w:p>
    <w:p w14:paraId="737F3279" w14:textId="77777777" w:rsidR="007F0ECF" w:rsidRDefault="005B4DD9">
      <w:pPr>
        <w:spacing w:line="360" w:lineRule="auto"/>
        <w:ind w:firstLineChars="200" w:firstLine="480"/>
        <w:rPr>
          <w:sz w:val="24"/>
          <w:szCs w:val="24"/>
        </w:rPr>
      </w:pPr>
      <w:r>
        <w:rPr>
          <w:rFonts w:hint="eastAsia"/>
          <w:sz w:val="24"/>
          <w:szCs w:val="24"/>
        </w:rPr>
        <w:t>依法必须披露的信息发布后，基金管理人、基金托管人应当按照相关法律法规规定将信息置备于各自住所，供社会公众查阅、复制。</w:t>
      </w:r>
    </w:p>
    <w:p w14:paraId="71C04005" w14:textId="77777777" w:rsidR="007F0ECF" w:rsidRDefault="005B4DD9">
      <w:pPr>
        <w:pStyle w:val="a0"/>
        <w:spacing w:line="360" w:lineRule="auto"/>
        <w:ind w:firstLine="480"/>
        <w:rPr>
          <w:color w:val="000000"/>
          <w:sz w:val="24"/>
          <w:szCs w:val="24"/>
        </w:rPr>
      </w:pPr>
      <w:r>
        <w:rPr>
          <w:color w:val="000000"/>
          <w:sz w:val="24"/>
          <w:szCs w:val="24"/>
        </w:rPr>
        <w:t>投资者可以免费查阅</w:t>
      </w:r>
      <w:r>
        <w:rPr>
          <w:rFonts w:hint="eastAsia"/>
          <w:color w:val="000000"/>
          <w:sz w:val="24"/>
          <w:szCs w:val="24"/>
        </w:rPr>
        <w:t>上述文件</w:t>
      </w:r>
      <w:r>
        <w:rPr>
          <w:color w:val="000000"/>
          <w:sz w:val="24"/>
          <w:szCs w:val="24"/>
        </w:rPr>
        <w:t>。在支付工本费后可在合理时间获得上述文件的复制件或复印件。基金管理人和基金托管人应保证文本的内容与所公告的内容完全一致。</w:t>
      </w:r>
    </w:p>
    <w:p w14:paraId="7764E797" w14:textId="77777777" w:rsidR="007F0ECF" w:rsidRDefault="005B4DD9">
      <w:pPr>
        <w:pStyle w:val="2"/>
        <w:spacing w:line="360" w:lineRule="auto"/>
        <w:jc w:val="center"/>
        <w:rPr>
          <w:rFonts w:ascii="Times New Roman" w:eastAsia="宋体" w:hAnsi="Times New Roman"/>
          <w:color w:val="000000"/>
          <w:sz w:val="30"/>
          <w:szCs w:val="30"/>
        </w:rPr>
      </w:pPr>
      <w:r>
        <w:rPr>
          <w:rFonts w:ascii="Times New Roman" w:eastAsia="宋体" w:hAnsi="Times New Roman"/>
          <w:b w:val="0"/>
          <w:color w:val="000000"/>
          <w:sz w:val="24"/>
          <w:szCs w:val="24"/>
        </w:rPr>
        <w:br w:type="page"/>
      </w:r>
      <w:bookmarkStart w:id="106" w:name="_Toc497759446"/>
      <w:r>
        <w:rPr>
          <w:rFonts w:ascii="Times New Roman" w:eastAsia="宋体" w:hAnsi="Times New Roman"/>
          <w:color w:val="000000"/>
          <w:sz w:val="30"/>
          <w:szCs w:val="30"/>
        </w:rPr>
        <w:lastRenderedPageBreak/>
        <w:t>十一、基金费用</w:t>
      </w:r>
      <w:bookmarkEnd w:id="106"/>
    </w:p>
    <w:p w14:paraId="75157BB8" w14:textId="77777777" w:rsidR="007F0ECF" w:rsidRDefault="005B4DD9">
      <w:pPr>
        <w:adjustRightInd w:val="0"/>
        <w:spacing w:line="360" w:lineRule="auto"/>
        <w:ind w:firstLineChars="200" w:firstLine="480"/>
        <w:rPr>
          <w:color w:val="000000"/>
          <w:sz w:val="24"/>
          <w:szCs w:val="24"/>
        </w:rPr>
      </w:pPr>
      <w:r>
        <w:rPr>
          <w:color w:val="000000"/>
          <w:sz w:val="24"/>
          <w:szCs w:val="24"/>
        </w:rPr>
        <w:t>（一）基金管理费的计提比例和计提方法</w:t>
      </w:r>
    </w:p>
    <w:p w14:paraId="54384963" w14:textId="77777777" w:rsidR="007F0ECF" w:rsidRDefault="005B4DD9">
      <w:pPr>
        <w:spacing w:line="360" w:lineRule="auto"/>
        <w:ind w:firstLineChars="200" w:firstLine="480"/>
        <w:rPr>
          <w:bCs/>
          <w:sz w:val="24"/>
        </w:rPr>
      </w:pPr>
      <w:r>
        <w:rPr>
          <w:rFonts w:hint="eastAsia"/>
          <w:bCs/>
          <w:sz w:val="24"/>
        </w:rPr>
        <w:t>本基金的管理费按前一日基金资产净值的</w:t>
      </w:r>
      <w:r>
        <w:rPr>
          <w:rFonts w:hint="eastAsia"/>
          <w:bCs/>
          <w:sz w:val="24"/>
        </w:rPr>
        <w:t>0.80%</w:t>
      </w:r>
      <w:r>
        <w:rPr>
          <w:rFonts w:hint="eastAsia"/>
          <w:bCs/>
          <w:sz w:val="24"/>
        </w:rPr>
        <w:t>年费率计提。管理费的计算方法如下：</w:t>
      </w:r>
    </w:p>
    <w:p w14:paraId="0E644B70" w14:textId="77777777" w:rsidR="007F0ECF" w:rsidRDefault="005B4DD9">
      <w:pPr>
        <w:spacing w:line="360" w:lineRule="auto"/>
        <w:ind w:firstLineChars="200" w:firstLine="480"/>
        <w:rPr>
          <w:bCs/>
          <w:sz w:val="24"/>
        </w:rPr>
      </w:pPr>
      <w:r>
        <w:rPr>
          <w:bCs/>
          <w:sz w:val="24"/>
        </w:rPr>
        <w:t>H</w:t>
      </w:r>
      <w:r>
        <w:rPr>
          <w:bCs/>
          <w:sz w:val="24"/>
        </w:rPr>
        <w:t>＝</w:t>
      </w:r>
      <w:r>
        <w:rPr>
          <w:bCs/>
          <w:sz w:val="24"/>
        </w:rPr>
        <w:t>E×0</w:t>
      </w:r>
      <w:r>
        <w:rPr>
          <w:rFonts w:hint="eastAsia"/>
          <w:bCs/>
          <w:sz w:val="24"/>
        </w:rPr>
        <w:t>.</w:t>
      </w:r>
      <w:r>
        <w:rPr>
          <w:bCs/>
          <w:sz w:val="24"/>
        </w:rPr>
        <w:t>8</w:t>
      </w:r>
      <w:r>
        <w:rPr>
          <w:rFonts w:hint="eastAsia"/>
          <w:bCs/>
          <w:sz w:val="24"/>
        </w:rPr>
        <w:t>0</w:t>
      </w:r>
      <w:r>
        <w:rPr>
          <w:bCs/>
          <w:sz w:val="24"/>
        </w:rPr>
        <w:t>%÷</w:t>
      </w:r>
      <w:r>
        <w:rPr>
          <w:bCs/>
          <w:sz w:val="24"/>
        </w:rPr>
        <w:t>当年天数</w:t>
      </w:r>
    </w:p>
    <w:p w14:paraId="38AEAD74" w14:textId="77777777" w:rsidR="007F0ECF" w:rsidRDefault="005B4DD9">
      <w:pPr>
        <w:spacing w:line="360" w:lineRule="auto"/>
        <w:ind w:firstLineChars="200" w:firstLine="480"/>
        <w:rPr>
          <w:bCs/>
          <w:sz w:val="24"/>
        </w:rPr>
      </w:pPr>
      <w:r>
        <w:rPr>
          <w:bCs/>
          <w:sz w:val="24"/>
        </w:rPr>
        <w:t>H</w:t>
      </w:r>
      <w:r>
        <w:rPr>
          <w:bCs/>
          <w:sz w:val="24"/>
        </w:rPr>
        <w:t>为每日应计提的基金管理费</w:t>
      </w:r>
    </w:p>
    <w:p w14:paraId="20410399" w14:textId="77777777" w:rsidR="007F0ECF" w:rsidRDefault="005B4DD9">
      <w:pPr>
        <w:adjustRightInd w:val="0"/>
        <w:spacing w:line="360" w:lineRule="auto"/>
        <w:ind w:firstLineChars="200" w:firstLine="480"/>
        <w:rPr>
          <w:color w:val="000000"/>
          <w:sz w:val="24"/>
          <w:szCs w:val="24"/>
        </w:rPr>
      </w:pPr>
      <w:r>
        <w:rPr>
          <w:bCs/>
          <w:sz w:val="24"/>
        </w:rPr>
        <w:t>E</w:t>
      </w:r>
      <w:r>
        <w:rPr>
          <w:bCs/>
          <w:sz w:val="24"/>
        </w:rPr>
        <w:t>为前一日的</w:t>
      </w:r>
      <w:r>
        <w:rPr>
          <w:rFonts w:hint="eastAsia"/>
          <w:bCs/>
          <w:sz w:val="24"/>
        </w:rPr>
        <w:t>基金资产净值</w:t>
      </w:r>
    </w:p>
    <w:p w14:paraId="7933D0DB" w14:textId="77777777" w:rsidR="007F0ECF" w:rsidRDefault="005B4DD9">
      <w:pPr>
        <w:adjustRightInd w:val="0"/>
        <w:spacing w:line="360" w:lineRule="auto"/>
        <w:ind w:firstLineChars="200" w:firstLine="480"/>
        <w:rPr>
          <w:color w:val="000000"/>
          <w:sz w:val="24"/>
          <w:szCs w:val="24"/>
        </w:rPr>
      </w:pPr>
      <w:r>
        <w:rPr>
          <w:color w:val="000000"/>
          <w:sz w:val="24"/>
          <w:szCs w:val="24"/>
        </w:rPr>
        <w:t>（二）基金托管费的计提比例和计提方法</w:t>
      </w:r>
    </w:p>
    <w:p w14:paraId="53E05E50" w14:textId="77777777" w:rsidR="007F0ECF" w:rsidRDefault="005B4DD9">
      <w:pPr>
        <w:spacing w:line="360" w:lineRule="auto"/>
        <w:ind w:firstLineChars="200" w:firstLine="480"/>
        <w:rPr>
          <w:bCs/>
          <w:sz w:val="24"/>
        </w:rPr>
      </w:pPr>
      <w:r>
        <w:rPr>
          <w:rFonts w:hint="eastAsia"/>
          <w:bCs/>
          <w:sz w:val="24"/>
        </w:rPr>
        <w:t>本基金的托管费按前一日基金资产净值的</w:t>
      </w:r>
      <w:r>
        <w:rPr>
          <w:rFonts w:hint="eastAsia"/>
          <w:bCs/>
          <w:sz w:val="24"/>
        </w:rPr>
        <w:t>0.</w:t>
      </w:r>
      <w:r>
        <w:rPr>
          <w:bCs/>
          <w:sz w:val="24"/>
        </w:rPr>
        <w:t>1</w:t>
      </w:r>
      <w:r>
        <w:rPr>
          <w:rFonts w:hint="eastAsia"/>
          <w:bCs/>
          <w:sz w:val="24"/>
        </w:rPr>
        <w:t>0%</w:t>
      </w:r>
      <w:r>
        <w:rPr>
          <w:rFonts w:hint="eastAsia"/>
          <w:bCs/>
          <w:sz w:val="24"/>
        </w:rPr>
        <w:t>年费率计提。托管费的计算方法如下：</w:t>
      </w:r>
    </w:p>
    <w:p w14:paraId="618F0D89" w14:textId="77777777" w:rsidR="007F0ECF" w:rsidRDefault="005B4DD9">
      <w:pPr>
        <w:spacing w:line="360" w:lineRule="auto"/>
        <w:ind w:firstLineChars="200" w:firstLine="480"/>
        <w:rPr>
          <w:bCs/>
          <w:sz w:val="24"/>
        </w:rPr>
      </w:pPr>
      <w:r>
        <w:rPr>
          <w:bCs/>
          <w:sz w:val="24"/>
        </w:rPr>
        <w:t>H</w:t>
      </w:r>
      <w:r>
        <w:rPr>
          <w:bCs/>
          <w:sz w:val="24"/>
        </w:rPr>
        <w:t>＝</w:t>
      </w:r>
      <w:r>
        <w:rPr>
          <w:bCs/>
          <w:sz w:val="24"/>
        </w:rPr>
        <w:t>E×</w:t>
      </w:r>
      <w:r>
        <w:rPr>
          <w:rFonts w:hint="eastAsia"/>
          <w:bCs/>
          <w:sz w:val="24"/>
        </w:rPr>
        <w:t>0.</w:t>
      </w:r>
      <w:r>
        <w:rPr>
          <w:rFonts w:eastAsia="仿宋_GB2312"/>
          <w:color w:val="000000"/>
          <w:sz w:val="24"/>
        </w:rPr>
        <w:t>10</w:t>
      </w:r>
      <w:r>
        <w:rPr>
          <w:bCs/>
          <w:sz w:val="24"/>
        </w:rPr>
        <w:t>%÷</w:t>
      </w:r>
      <w:r>
        <w:rPr>
          <w:bCs/>
          <w:sz w:val="24"/>
        </w:rPr>
        <w:t>当年天数</w:t>
      </w:r>
    </w:p>
    <w:p w14:paraId="48071EE1" w14:textId="77777777" w:rsidR="007F0ECF" w:rsidRDefault="005B4DD9">
      <w:pPr>
        <w:spacing w:line="360" w:lineRule="auto"/>
        <w:ind w:firstLineChars="200" w:firstLine="480"/>
        <w:rPr>
          <w:bCs/>
          <w:sz w:val="24"/>
        </w:rPr>
      </w:pPr>
      <w:r>
        <w:rPr>
          <w:bCs/>
          <w:sz w:val="24"/>
        </w:rPr>
        <w:t>H</w:t>
      </w:r>
      <w:r>
        <w:rPr>
          <w:bCs/>
          <w:sz w:val="24"/>
        </w:rPr>
        <w:t>为每日应计提的基金托管费</w:t>
      </w:r>
    </w:p>
    <w:p w14:paraId="54387CF9" w14:textId="77777777" w:rsidR="007F0ECF" w:rsidRDefault="005B4DD9">
      <w:pPr>
        <w:adjustRightInd w:val="0"/>
        <w:spacing w:line="360" w:lineRule="auto"/>
        <w:ind w:firstLineChars="200" w:firstLine="480"/>
        <w:rPr>
          <w:bCs/>
          <w:sz w:val="24"/>
        </w:rPr>
      </w:pPr>
      <w:r>
        <w:rPr>
          <w:bCs/>
          <w:sz w:val="24"/>
        </w:rPr>
        <w:t>E</w:t>
      </w:r>
      <w:r>
        <w:rPr>
          <w:bCs/>
          <w:sz w:val="24"/>
        </w:rPr>
        <w:t>为前一日的基金资产净值</w:t>
      </w:r>
    </w:p>
    <w:p w14:paraId="161F3121" w14:textId="77777777" w:rsidR="007F0ECF" w:rsidRDefault="005B4DD9">
      <w:pPr>
        <w:adjustRightInd w:val="0"/>
        <w:spacing w:line="360" w:lineRule="auto"/>
        <w:ind w:firstLineChars="200" w:firstLine="480"/>
        <w:rPr>
          <w:bCs/>
          <w:sz w:val="24"/>
        </w:rPr>
      </w:pPr>
      <w:r>
        <w:rPr>
          <w:rFonts w:hint="eastAsia"/>
          <w:bCs/>
          <w:sz w:val="24"/>
        </w:rPr>
        <w:t>（三）基金销售服务费的计提比例和计提方法</w:t>
      </w:r>
    </w:p>
    <w:p w14:paraId="0525C018" w14:textId="77777777" w:rsidR="007F0ECF" w:rsidRDefault="005B4DD9">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类基金资产净值的</w:t>
      </w:r>
      <w:r>
        <w:rPr>
          <w:bCs/>
          <w:sz w:val="24"/>
        </w:rPr>
        <w:t>0.4</w:t>
      </w:r>
      <w:r>
        <w:rPr>
          <w:rFonts w:hint="eastAsia"/>
          <w:bCs/>
          <w:sz w:val="24"/>
        </w:rPr>
        <w:t>0</w:t>
      </w:r>
      <w:r>
        <w:rPr>
          <w:bCs/>
          <w:sz w:val="24"/>
        </w:rPr>
        <w:t>%</w:t>
      </w:r>
      <w:r>
        <w:rPr>
          <w:rFonts w:hint="eastAsia"/>
          <w:bCs/>
          <w:sz w:val="24"/>
        </w:rPr>
        <w:t>年费率计提。计算方法如下：</w:t>
      </w:r>
    </w:p>
    <w:p w14:paraId="14470D19" w14:textId="77777777" w:rsidR="007F0ECF" w:rsidRDefault="005B4DD9">
      <w:pPr>
        <w:spacing w:line="360" w:lineRule="auto"/>
        <w:ind w:firstLineChars="200" w:firstLine="480"/>
        <w:rPr>
          <w:bCs/>
          <w:sz w:val="24"/>
        </w:rPr>
      </w:pPr>
      <w:r>
        <w:rPr>
          <w:bCs/>
          <w:sz w:val="24"/>
        </w:rPr>
        <w:t>H</w:t>
      </w:r>
      <w:r>
        <w:rPr>
          <w:bCs/>
          <w:sz w:val="24"/>
        </w:rPr>
        <w:t>＝</w:t>
      </w:r>
      <w:r>
        <w:rPr>
          <w:bCs/>
          <w:sz w:val="24"/>
        </w:rPr>
        <w:t>E×</w:t>
      </w:r>
      <w:r>
        <w:rPr>
          <w:rFonts w:hint="eastAsia"/>
          <w:bCs/>
          <w:sz w:val="24"/>
        </w:rPr>
        <w:t>0.</w:t>
      </w:r>
      <w:r>
        <w:rPr>
          <w:bCs/>
          <w:sz w:val="24"/>
        </w:rPr>
        <w:t>4</w:t>
      </w:r>
      <w:r>
        <w:rPr>
          <w:rFonts w:hint="eastAsia"/>
          <w:bCs/>
          <w:sz w:val="24"/>
        </w:rPr>
        <w:t>0</w:t>
      </w:r>
      <w:r>
        <w:rPr>
          <w:bCs/>
          <w:sz w:val="24"/>
        </w:rPr>
        <w:t>%÷</w:t>
      </w:r>
      <w:r>
        <w:rPr>
          <w:bCs/>
          <w:sz w:val="24"/>
        </w:rPr>
        <w:t>当年天数</w:t>
      </w:r>
    </w:p>
    <w:p w14:paraId="04CE2A4A" w14:textId="77777777" w:rsidR="007F0ECF" w:rsidRDefault="005B4DD9">
      <w:pPr>
        <w:spacing w:line="360" w:lineRule="auto"/>
        <w:ind w:firstLineChars="200" w:firstLine="480"/>
        <w:rPr>
          <w:bCs/>
          <w:sz w:val="24"/>
        </w:rPr>
      </w:pPr>
      <w:r>
        <w:rPr>
          <w:bCs/>
          <w:sz w:val="24"/>
        </w:rPr>
        <w:t>H</w:t>
      </w:r>
      <w:r>
        <w:rPr>
          <w:bCs/>
          <w:sz w:val="24"/>
        </w:rPr>
        <w:t>为</w:t>
      </w:r>
      <w:r>
        <w:rPr>
          <w:rFonts w:hint="eastAsia"/>
          <w:bCs/>
          <w:sz w:val="24"/>
        </w:rPr>
        <w:t>C</w:t>
      </w:r>
      <w:r>
        <w:rPr>
          <w:rFonts w:hint="eastAsia"/>
          <w:bCs/>
          <w:sz w:val="24"/>
        </w:rPr>
        <w:t>类基金份额每日应计提的销售服务费</w:t>
      </w:r>
    </w:p>
    <w:p w14:paraId="743900D1" w14:textId="77777777" w:rsidR="007F0ECF" w:rsidRDefault="005B4DD9">
      <w:pPr>
        <w:adjustRightInd w:val="0"/>
        <w:spacing w:line="360" w:lineRule="auto"/>
        <w:ind w:firstLineChars="200" w:firstLine="480"/>
        <w:rPr>
          <w:color w:val="000000"/>
          <w:sz w:val="24"/>
          <w:szCs w:val="24"/>
        </w:rPr>
      </w:pPr>
      <w:r>
        <w:rPr>
          <w:bCs/>
          <w:sz w:val="24"/>
        </w:rPr>
        <w:t>E</w:t>
      </w:r>
      <w:r>
        <w:rPr>
          <w:bCs/>
          <w:sz w:val="24"/>
        </w:rPr>
        <w:t>为</w:t>
      </w:r>
      <w:r>
        <w:rPr>
          <w:rFonts w:hint="eastAsia"/>
          <w:bCs/>
          <w:sz w:val="24"/>
        </w:rPr>
        <w:t>C</w:t>
      </w:r>
      <w:r>
        <w:rPr>
          <w:rFonts w:hint="eastAsia"/>
          <w:bCs/>
          <w:sz w:val="24"/>
        </w:rPr>
        <w:t>类基金份额前一日基金资产净值</w:t>
      </w:r>
    </w:p>
    <w:p w14:paraId="49E14B02"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（四）《基金合同》生效后与基金相关的</w:t>
      </w:r>
      <w:r>
        <w:rPr>
          <w:color w:val="000000"/>
          <w:sz w:val="24"/>
          <w:szCs w:val="24"/>
        </w:rPr>
        <w:t>信息披露费用、</w:t>
      </w:r>
      <w:r>
        <w:rPr>
          <w:rFonts w:hint="eastAsia"/>
          <w:color w:val="000000"/>
          <w:sz w:val="24"/>
          <w:szCs w:val="24"/>
        </w:rPr>
        <w:t>《基金合同》生效后与基金相关的</w:t>
      </w:r>
      <w:r>
        <w:rPr>
          <w:color w:val="000000"/>
          <w:sz w:val="24"/>
          <w:szCs w:val="24"/>
        </w:rPr>
        <w:t>会计师费</w:t>
      </w:r>
      <w:r>
        <w:rPr>
          <w:rFonts w:hint="eastAsia"/>
          <w:color w:val="000000"/>
          <w:sz w:val="24"/>
          <w:szCs w:val="24"/>
        </w:rPr>
        <w:t>、</w:t>
      </w:r>
      <w:r>
        <w:rPr>
          <w:color w:val="000000"/>
          <w:sz w:val="24"/>
          <w:szCs w:val="24"/>
        </w:rPr>
        <w:t>律师费</w:t>
      </w:r>
      <w:r>
        <w:rPr>
          <w:rFonts w:hint="eastAsia"/>
          <w:color w:val="000000"/>
          <w:sz w:val="24"/>
          <w:szCs w:val="24"/>
        </w:rPr>
        <w:t>、仲裁费和诉讼费、</w:t>
      </w:r>
      <w:r>
        <w:rPr>
          <w:color w:val="000000"/>
          <w:sz w:val="24"/>
          <w:szCs w:val="24"/>
        </w:rPr>
        <w:t>基金份额持有人大会费用、</w:t>
      </w:r>
      <w:r>
        <w:rPr>
          <w:rFonts w:hint="eastAsia"/>
          <w:color w:val="000000"/>
          <w:sz w:val="24"/>
          <w:szCs w:val="24"/>
        </w:rPr>
        <w:t>基金的投资标的交易费用、基金的银行汇划费用、基金的开户费用、账户维护费用、因投资港股通标的股票而产生的各项合理费用</w:t>
      </w:r>
      <w:r>
        <w:rPr>
          <w:color w:val="000000"/>
          <w:sz w:val="24"/>
          <w:szCs w:val="24"/>
        </w:rPr>
        <w:t>等有关法律法规、《基金合同》规定</w:t>
      </w:r>
      <w:r>
        <w:rPr>
          <w:rFonts w:hint="eastAsia"/>
          <w:color w:val="000000"/>
          <w:sz w:val="24"/>
          <w:szCs w:val="24"/>
        </w:rPr>
        <w:t>的费用</w:t>
      </w:r>
      <w:r>
        <w:rPr>
          <w:color w:val="000000"/>
          <w:sz w:val="24"/>
          <w:szCs w:val="24"/>
        </w:rPr>
        <w:t>，</w:t>
      </w:r>
      <w:r>
        <w:rPr>
          <w:rFonts w:hint="eastAsia"/>
          <w:color w:val="000000"/>
          <w:sz w:val="24"/>
          <w:szCs w:val="24"/>
        </w:rPr>
        <w:t>可以</w:t>
      </w:r>
      <w:r>
        <w:rPr>
          <w:color w:val="000000"/>
          <w:sz w:val="24"/>
          <w:szCs w:val="24"/>
        </w:rPr>
        <w:t>列入当期基金费用。</w:t>
      </w:r>
    </w:p>
    <w:p w14:paraId="630779F2" w14:textId="77777777" w:rsidR="007F0ECF" w:rsidRDefault="005B4DD9">
      <w:pPr>
        <w:adjustRightInd w:val="0"/>
        <w:spacing w:line="360" w:lineRule="auto"/>
        <w:ind w:firstLineChars="200" w:firstLine="480"/>
        <w:rPr>
          <w:color w:val="000000"/>
          <w:sz w:val="24"/>
          <w:szCs w:val="24"/>
        </w:rPr>
      </w:pPr>
      <w:r>
        <w:rPr>
          <w:color w:val="000000"/>
          <w:sz w:val="24"/>
          <w:szCs w:val="24"/>
        </w:rPr>
        <w:t>（</w:t>
      </w:r>
      <w:r>
        <w:rPr>
          <w:rFonts w:hint="eastAsia"/>
          <w:color w:val="000000"/>
          <w:sz w:val="24"/>
          <w:szCs w:val="24"/>
        </w:rPr>
        <w:t>五</w:t>
      </w:r>
      <w:r>
        <w:rPr>
          <w:color w:val="000000"/>
          <w:sz w:val="24"/>
          <w:szCs w:val="24"/>
        </w:rPr>
        <w:t>）不列入基金费用的项目</w:t>
      </w:r>
    </w:p>
    <w:p w14:paraId="126AEBB7" w14:textId="77777777" w:rsidR="007F0ECF" w:rsidRDefault="005B4DD9">
      <w:pPr>
        <w:spacing w:line="360" w:lineRule="auto"/>
        <w:ind w:firstLineChars="200" w:firstLine="480"/>
        <w:rPr>
          <w:color w:val="000000"/>
          <w:sz w:val="24"/>
          <w:szCs w:val="24"/>
        </w:rPr>
      </w:pPr>
      <w:r>
        <w:rPr>
          <w:rFonts w:hint="eastAsia"/>
          <w:color w:val="000000"/>
          <w:sz w:val="24"/>
          <w:szCs w:val="24"/>
        </w:rPr>
        <w:t>1</w:t>
      </w:r>
      <w:r>
        <w:rPr>
          <w:rFonts w:hint="eastAsia"/>
          <w:color w:val="000000"/>
          <w:sz w:val="24"/>
          <w:szCs w:val="24"/>
        </w:rPr>
        <w:t>、标的指数许可使用费。标的指数许可使用费由基金管理人承担，不得从基金财产中列支；</w:t>
      </w:r>
    </w:p>
    <w:p w14:paraId="30DE1A2C" w14:textId="77777777" w:rsidR="007F0ECF" w:rsidRDefault="005B4DD9">
      <w:pPr>
        <w:spacing w:line="360" w:lineRule="auto"/>
        <w:ind w:firstLineChars="200" w:firstLine="480"/>
        <w:rPr>
          <w:bCs/>
          <w:sz w:val="24"/>
          <w:szCs w:val="24"/>
        </w:rPr>
      </w:pPr>
      <w:r>
        <w:rPr>
          <w:color w:val="000000"/>
          <w:sz w:val="24"/>
          <w:szCs w:val="24"/>
        </w:rPr>
        <w:t>2</w:t>
      </w:r>
      <w:r>
        <w:rPr>
          <w:rFonts w:hint="eastAsia"/>
          <w:color w:val="000000"/>
          <w:sz w:val="24"/>
          <w:szCs w:val="24"/>
        </w:rPr>
        <w:t>、基金管理人和基金托管人因未履行或未完全履行义务导致的费用支出或</w:t>
      </w:r>
      <w:r>
        <w:rPr>
          <w:rFonts w:hint="eastAsia"/>
          <w:bCs/>
          <w:sz w:val="24"/>
          <w:szCs w:val="24"/>
        </w:rPr>
        <w:t>基金财产的损失；</w:t>
      </w:r>
    </w:p>
    <w:p w14:paraId="539EDAFB" w14:textId="77777777" w:rsidR="007F0ECF" w:rsidRDefault="005B4DD9">
      <w:pPr>
        <w:spacing w:line="360" w:lineRule="auto"/>
        <w:ind w:firstLineChars="200" w:firstLine="480"/>
        <w:rPr>
          <w:bCs/>
          <w:sz w:val="24"/>
          <w:szCs w:val="24"/>
        </w:rPr>
      </w:pPr>
      <w:r>
        <w:rPr>
          <w:bCs/>
          <w:sz w:val="24"/>
          <w:szCs w:val="24"/>
        </w:rPr>
        <w:lastRenderedPageBreak/>
        <w:t>3</w:t>
      </w:r>
      <w:r>
        <w:rPr>
          <w:rFonts w:hint="eastAsia"/>
          <w:bCs/>
          <w:sz w:val="24"/>
          <w:szCs w:val="24"/>
        </w:rPr>
        <w:t>、基金管理人和基金托管人处理与基金运作无关的事项发生的费用；</w:t>
      </w:r>
    </w:p>
    <w:p w14:paraId="1043B696" w14:textId="77777777" w:rsidR="007F0ECF" w:rsidRDefault="005B4DD9">
      <w:pPr>
        <w:spacing w:line="360" w:lineRule="auto"/>
        <w:ind w:firstLineChars="200" w:firstLine="480"/>
        <w:rPr>
          <w:bCs/>
          <w:sz w:val="24"/>
          <w:szCs w:val="24"/>
        </w:rPr>
      </w:pPr>
      <w:r>
        <w:rPr>
          <w:bCs/>
          <w:sz w:val="24"/>
          <w:szCs w:val="24"/>
        </w:rPr>
        <w:t>4</w:t>
      </w:r>
      <w:r>
        <w:rPr>
          <w:rFonts w:hint="eastAsia"/>
          <w:bCs/>
          <w:sz w:val="24"/>
          <w:szCs w:val="24"/>
        </w:rPr>
        <w:t>、基金合同生效前的相关费用；</w:t>
      </w:r>
    </w:p>
    <w:p w14:paraId="10C06572" w14:textId="77777777" w:rsidR="007F0ECF" w:rsidRDefault="005B4DD9">
      <w:pPr>
        <w:spacing w:line="360" w:lineRule="auto"/>
        <w:ind w:firstLineChars="200" w:firstLine="480"/>
        <w:rPr>
          <w:bCs/>
          <w:sz w:val="24"/>
          <w:szCs w:val="24"/>
        </w:rPr>
      </w:pPr>
      <w:r>
        <w:rPr>
          <w:bCs/>
          <w:sz w:val="24"/>
          <w:szCs w:val="24"/>
        </w:rPr>
        <w:t>5</w:t>
      </w:r>
      <w:r>
        <w:rPr>
          <w:rFonts w:hint="eastAsia"/>
          <w:bCs/>
          <w:sz w:val="24"/>
          <w:szCs w:val="24"/>
        </w:rPr>
        <w:t>、其他根据相关法律法规及中国证监会的有关规定不得列入基金费用的项目。</w:t>
      </w:r>
      <w:bookmarkStart w:id="107" w:name="_Hlt88827255"/>
      <w:bookmarkEnd w:id="107"/>
    </w:p>
    <w:p w14:paraId="40008ECC" w14:textId="77777777" w:rsidR="007F0ECF" w:rsidRDefault="005B4DD9">
      <w:pPr>
        <w:adjustRightInd w:val="0"/>
        <w:spacing w:line="360" w:lineRule="auto"/>
        <w:ind w:firstLineChars="200" w:firstLine="480"/>
        <w:rPr>
          <w:color w:val="000000"/>
          <w:sz w:val="24"/>
          <w:szCs w:val="24"/>
        </w:rPr>
      </w:pPr>
      <w:r>
        <w:rPr>
          <w:color w:val="000000"/>
          <w:sz w:val="24"/>
          <w:szCs w:val="24"/>
        </w:rPr>
        <w:t>（</w:t>
      </w:r>
      <w:r>
        <w:rPr>
          <w:rFonts w:hint="eastAsia"/>
          <w:color w:val="000000"/>
          <w:sz w:val="24"/>
          <w:szCs w:val="24"/>
        </w:rPr>
        <w:t>六</w:t>
      </w:r>
      <w:r>
        <w:rPr>
          <w:color w:val="000000"/>
          <w:sz w:val="24"/>
          <w:szCs w:val="24"/>
        </w:rPr>
        <w:t>）</w:t>
      </w:r>
      <w:r>
        <w:rPr>
          <w:rFonts w:hint="eastAsia"/>
          <w:color w:val="000000"/>
          <w:sz w:val="24"/>
          <w:szCs w:val="24"/>
        </w:rPr>
        <w:t>本基金运作前产生的相关费用由基金管理人垫付，运作后由</w:t>
      </w:r>
      <w:r>
        <w:rPr>
          <w:color w:val="000000"/>
          <w:sz w:val="24"/>
          <w:szCs w:val="24"/>
        </w:rPr>
        <w:t>基金管理人向基金托管人发送划付指令</w:t>
      </w:r>
      <w:r>
        <w:rPr>
          <w:rFonts w:hint="eastAsia"/>
          <w:color w:val="000000"/>
          <w:sz w:val="24"/>
          <w:szCs w:val="24"/>
        </w:rPr>
        <w:t>，</w:t>
      </w:r>
      <w:r>
        <w:rPr>
          <w:color w:val="000000"/>
          <w:sz w:val="24"/>
          <w:szCs w:val="24"/>
        </w:rPr>
        <w:t>经基金托管人复核后于</w:t>
      </w:r>
      <w:r>
        <w:rPr>
          <w:rFonts w:hint="eastAsia"/>
          <w:color w:val="000000"/>
          <w:sz w:val="24"/>
          <w:szCs w:val="24"/>
        </w:rPr>
        <w:t>指令标注的支付时间</w:t>
      </w:r>
      <w:r>
        <w:rPr>
          <w:color w:val="000000"/>
          <w:sz w:val="24"/>
          <w:szCs w:val="24"/>
        </w:rPr>
        <w:t>内从基金资产中一次性支付给基金管理人</w:t>
      </w:r>
      <w:r>
        <w:rPr>
          <w:rFonts w:hint="eastAsia"/>
          <w:color w:val="000000"/>
          <w:sz w:val="24"/>
          <w:szCs w:val="24"/>
        </w:rPr>
        <w:t>。</w:t>
      </w:r>
    </w:p>
    <w:p w14:paraId="7072ED6A" w14:textId="77777777" w:rsidR="007F0ECF" w:rsidRDefault="005B4DD9">
      <w:pPr>
        <w:adjustRightInd w:val="0"/>
        <w:spacing w:line="360" w:lineRule="auto"/>
        <w:ind w:firstLineChars="200" w:firstLine="480"/>
        <w:rPr>
          <w:color w:val="000000"/>
          <w:sz w:val="24"/>
          <w:szCs w:val="24"/>
        </w:rPr>
      </w:pPr>
      <w:r>
        <w:rPr>
          <w:color w:val="000000"/>
          <w:sz w:val="24"/>
          <w:szCs w:val="24"/>
        </w:rPr>
        <w:t>（</w:t>
      </w:r>
      <w:r>
        <w:rPr>
          <w:rFonts w:hint="eastAsia"/>
          <w:color w:val="000000"/>
          <w:sz w:val="24"/>
          <w:szCs w:val="24"/>
        </w:rPr>
        <w:t>七</w:t>
      </w:r>
      <w:r>
        <w:rPr>
          <w:color w:val="000000"/>
          <w:sz w:val="24"/>
          <w:szCs w:val="24"/>
        </w:rPr>
        <w:t>）基金管理费</w:t>
      </w:r>
      <w:r>
        <w:rPr>
          <w:rFonts w:hint="eastAsia"/>
          <w:color w:val="000000"/>
          <w:sz w:val="24"/>
          <w:szCs w:val="24"/>
        </w:rPr>
        <w:t>、</w:t>
      </w:r>
      <w:r>
        <w:rPr>
          <w:color w:val="000000"/>
          <w:sz w:val="24"/>
          <w:szCs w:val="24"/>
        </w:rPr>
        <w:t>基金托管费</w:t>
      </w:r>
      <w:r>
        <w:rPr>
          <w:rFonts w:hint="eastAsia"/>
          <w:color w:val="000000"/>
          <w:sz w:val="24"/>
          <w:szCs w:val="24"/>
        </w:rPr>
        <w:t>和</w:t>
      </w:r>
      <w:r>
        <w:rPr>
          <w:color w:val="000000"/>
          <w:sz w:val="24"/>
          <w:szCs w:val="24"/>
        </w:rPr>
        <w:t>销售服务费的复核程序、支付方式和时间</w:t>
      </w:r>
    </w:p>
    <w:p w14:paraId="040AFC63" w14:textId="77777777" w:rsidR="007F0ECF" w:rsidRDefault="005B4DD9">
      <w:pPr>
        <w:adjustRightInd w:val="0"/>
        <w:spacing w:line="360" w:lineRule="auto"/>
        <w:ind w:firstLineChars="200" w:firstLine="480"/>
        <w:rPr>
          <w:color w:val="000000"/>
          <w:sz w:val="24"/>
          <w:szCs w:val="24"/>
        </w:rPr>
      </w:pPr>
      <w:r>
        <w:rPr>
          <w:color w:val="000000"/>
          <w:sz w:val="24"/>
          <w:szCs w:val="24"/>
        </w:rPr>
        <w:t>1</w:t>
      </w:r>
      <w:r>
        <w:rPr>
          <w:rFonts w:hint="eastAsia"/>
          <w:color w:val="000000"/>
          <w:sz w:val="24"/>
          <w:szCs w:val="24"/>
        </w:rPr>
        <w:t>、</w:t>
      </w:r>
      <w:r>
        <w:rPr>
          <w:color w:val="000000"/>
          <w:sz w:val="24"/>
          <w:szCs w:val="24"/>
        </w:rPr>
        <w:t>复核程序</w:t>
      </w:r>
    </w:p>
    <w:p w14:paraId="348125A0" w14:textId="77777777" w:rsidR="007F0ECF" w:rsidRDefault="005B4DD9">
      <w:pPr>
        <w:adjustRightInd w:val="0"/>
        <w:spacing w:line="360" w:lineRule="auto"/>
        <w:ind w:firstLineChars="200" w:firstLine="480"/>
        <w:rPr>
          <w:color w:val="000000"/>
          <w:sz w:val="24"/>
          <w:szCs w:val="24"/>
        </w:rPr>
      </w:pPr>
      <w:r>
        <w:rPr>
          <w:color w:val="000000"/>
          <w:sz w:val="24"/>
          <w:szCs w:val="24"/>
        </w:rPr>
        <w:t>基金托管人对基金管理费</w:t>
      </w:r>
      <w:r>
        <w:rPr>
          <w:rFonts w:hint="eastAsia"/>
          <w:color w:val="000000"/>
          <w:sz w:val="24"/>
          <w:szCs w:val="24"/>
        </w:rPr>
        <w:t>、</w:t>
      </w:r>
      <w:r>
        <w:rPr>
          <w:color w:val="000000"/>
          <w:sz w:val="24"/>
          <w:szCs w:val="24"/>
        </w:rPr>
        <w:t>基金托管费</w:t>
      </w:r>
      <w:r>
        <w:rPr>
          <w:rFonts w:hint="eastAsia"/>
          <w:color w:val="000000"/>
          <w:sz w:val="24"/>
          <w:szCs w:val="24"/>
        </w:rPr>
        <w:t>和</w:t>
      </w:r>
      <w:r>
        <w:rPr>
          <w:color w:val="000000"/>
          <w:sz w:val="24"/>
          <w:szCs w:val="24"/>
        </w:rPr>
        <w:t>销售服务费等，根据本托管协议和基金合同的有关规定进行复核。</w:t>
      </w:r>
    </w:p>
    <w:p w14:paraId="598D45C9" w14:textId="77777777" w:rsidR="007F0ECF" w:rsidRDefault="005B4DD9">
      <w:pPr>
        <w:adjustRightInd w:val="0"/>
        <w:spacing w:line="360" w:lineRule="auto"/>
        <w:ind w:firstLineChars="200" w:firstLine="480"/>
        <w:rPr>
          <w:color w:val="000000"/>
          <w:sz w:val="24"/>
          <w:szCs w:val="24"/>
        </w:rPr>
      </w:pPr>
      <w:r>
        <w:rPr>
          <w:color w:val="000000"/>
          <w:sz w:val="24"/>
          <w:szCs w:val="24"/>
        </w:rPr>
        <w:t>2</w:t>
      </w:r>
      <w:r>
        <w:rPr>
          <w:rFonts w:hint="eastAsia"/>
          <w:color w:val="000000"/>
          <w:sz w:val="24"/>
          <w:szCs w:val="24"/>
        </w:rPr>
        <w:t>、</w:t>
      </w:r>
      <w:r>
        <w:rPr>
          <w:color w:val="000000"/>
          <w:sz w:val="24"/>
          <w:szCs w:val="24"/>
        </w:rPr>
        <w:t>支付方式和时间</w:t>
      </w:r>
    </w:p>
    <w:p w14:paraId="1BBB27FB" w14:textId="77777777" w:rsidR="007F0ECF" w:rsidRDefault="005B4DD9">
      <w:pPr>
        <w:adjustRightInd w:val="0"/>
        <w:spacing w:line="360" w:lineRule="auto"/>
        <w:ind w:firstLineChars="200" w:firstLine="480"/>
        <w:rPr>
          <w:color w:val="000000"/>
          <w:sz w:val="24"/>
          <w:szCs w:val="24"/>
        </w:rPr>
      </w:pPr>
      <w:bookmarkStart w:id="108" w:name="_Hlk140503778"/>
      <w:r>
        <w:rPr>
          <w:color w:val="000000"/>
          <w:sz w:val="24"/>
          <w:szCs w:val="24"/>
        </w:rPr>
        <w:t>基金管理费、基金托管费</w:t>
      </w:r>
      <w:bookmarkStart w:id="109" w:name="_Hlk104887799"/>
      <w:r>
        <w:rPr>
          <w:color w:val="000000"/>
          <w:sz w:val="24"/>
          <w:szCs w:val="24"/>
        </w:rPr>
        <w:t>每日计提，</w:t>
      </w:r>
      <w:r>
        <w:rPr>
          <w:rFonts w:hint="eastAsia"/>
          <w:bCs/>
          <w:sz w:val="24"/>
        </w:rPr>
        <w:t>逐日累计至每个月月末，按月支付。由基金托管人根据与基金管理人核对一致的财务数据，在次月初五</w:t>
      </w:r>
      <w:proofErr w:type="gramStart"/>
      <w:r>
        <w:rPr>
          <w:rFonts w:hint="eastAsia"/>
          <w:bCs/>
          <w:sz w:val="24"/>
        </w:rPr>
        <w:t>个</w:t>
      </w:r>
      <w:proofErr w:type="gramEnd"/>
      <w:r>
        <w:rPr>
          <w:rFonts w:hint="eastAsia"/>
          <w:bCs/>
          <w:sz w:val="24"/>
        </w:rPr>
        <w:t>工作日内按照与基金管理人协商一致的方式进行资金支付</w:t>
      </w:r>
      <w:r>
        <w:rPr>
          <w:rFonts w:hint="eastAsia"/>
          <w:bCs/>
          <w:sz w:val="24"/>
        </w:rPr>
        <w:t>/</w:t>
      </w:r>
      <w:r>
        <w:rPr>
          <w:rFonts w:hint="eastAsia"/>
          <w:bCs/>
          <w:sz w:val="24"/>
        </w:rPr>
        <w:t>支取。若遇法定节假日、公休日或不可抗力等，支付日期顺延</w:t>
      </w:r>
      <w:r>
        <w:rPr>
          <w:sz w:val="24"/>
        </w:rPr>
        <w:t>。</w:t>
      </w:r>
      <w:bookmarkEnd w:id="108"/>
      <w:bookmarkEnd w:id="109"/>
    </w:p>
    <w:p w14:paraId="03ACFEA9" w14:textId="77777777" w:rsidR="007F0ECF" w:rsidRDefault="005B4DD9">
      <w:pPr>
        <w:adjustRightInd w:val="0"/>
        <w:spacing w:line="360" w:lineRule="auto"/>
        <w:ind w:firstLineChars="200" w:firstLine="480"/>
        <w:rPr>
          <w:color w:val="000000"/>
          <w:sz w:val="24"/>
          <w:szCs w:val="24"/>
        </w:rPr>
      </w:pPr>
      <w:bookmarkStart w:id="110" w:name="_Hlk140503801"/>
      <w:r>
        <w:rPr>
          <w:rFonts w:hint="eastAsia"/>
          <w:color w:val="000000"/>
          <w:sz w:val="24"/>
          <w:szCs w:val="24"/>
        </w:rPr>
        <w:t>销售服务费</w:t>
      </w:r>
      <w:bookmarkStart w:id="111" w:name="_Hlk104887821"/>
      <w:r>
        <w:rPr>
          <w:rFonts w:hint="eastAsia"/>
          <w:color w:val="000000"/>
          <w:sz w:val="24"/>
          <w:szCs w:val="24"/>
        </w:rPr>
        <w:t>每日计提，</w:t>
      </w:r>
      <w:r>
        <w:rPr>
          <w:rFonts w:hint="eastAsia"/>
          <w:bCs/>
          <w:sz w:val="24"/>
        </w:rPr>
        <w:t>逐日累计至每个月月末，按月支付</w:t>
      </w:r>
      <w:r>
        <w:rPr>
          <w:rFonts w:hint="eastAsia"/>
          <w:color w:val="000000"/>
          <w:sz w:val="24"/>
          <w:szCs w:val="24"/>
        </w:rPr>
        <w:t>。</w:t>
      </w:r>
      <w:r>
        <w:rPr>
          <w:rFonts w:hint="eastAsia"/>
          <w:bCs/>
          <w:sz w:val="24"/>
        </w:rPr>
        <w:t>由基金托管人根据与基金管理人核对一致的财务数据，在次月初五</w:t>
      </w:r>
      <w:proofErr w:type="gramStart"/>
      <w:r>
        <w:rPr>
          <w:rFonts w:hint="eastAsia"/>
          <w:bCs/>
          <w:sz w:val="24"/>
        </w:rPr>
        <w:t>个</w:t>
      </w:r>
      <w:proofErr w:type="gramEnd"/>
      <w:r>
        <w:rPr>
          <w:rFonts w:hint="eastAsia"/>
          <w:bCs/>
          <w:sz w:val="24"/>
        </w:rPr>
        <w:t>工作日内按照与基金管理人协商一致的方式进行资金支付，再由基金管理人代付给销售机构。若遇法定节假日、公休日或不可抗力等，支付日期顺延。</w:t>
      </w:r>
      <w:bookmarkEnd w:id="110"/>
      <w:bookmarkEnd w:id="111"/>
    </w:p>
    <w:p w14:paraId="1EB23E7D"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（八）</w:t>
      </w:r>
      <w:r>
        <w:rPr>
          <w:color w:val="000000"/>
          <w:sz w:val="24"/>
          <w:szCs w:val="24"/>
        </w:rPr>
        <w:t>违规处理方式</w:t>
      </w:r>
    </w:p>
    <w:p w14:paraId="3713F184" w14:textId="77777777" w:rsidR="007F0ECF" w:rsidRDefault="005B4DD9">
      <w:pPr>
        <w:adjustRightInd w:val="0"/>
        <w:spacing w:line="360" w:lineRule="auto"/>
        <w:ind w:firstLineChars="200" w:firstLine="480"/>
        <w:rPr>
          <w:color w:val="000000"/>
          <w:sz w:val="24"/>
          <w:szCs w:val="24"/>
        </w:rPr>
      </w:pPr>
      <w:r>
        <w:rPr>
          <w:color w:val="000000"/>
          <w:sz w:val="24"/>
          <w:szCs w:val="24"/>
        </w:rPr>
        <w:t>基金托管人发现基金管理人违反《基金法》、</w:t>
      </w:r>
      <w:r>
        <w:rPr>
          <w:rFonts w:hint="eastAsia"/>
          <w:color w:val="000000"/>
          <w:sz w:val="24"/>
          <w:szCs w:val="24"/>
        </w:rPr>
        <w:t>《</w:t>
      </w:r>
      <w:r>
        <w:rPr>
          <w:color w:val="000000"/>
          <w:sz w:val="24"/>
          <w:szCs w:val="24"/>
        </w:rPr>
        <w:t>基金合同</w:t>
      </w:r>
      <w:r>
        <w:rPr>
          <w:rFonts w:hint="eastAsia"/>
          <w:color w:val="000000"/>
          <w:sz w:val="24"/>
          <w:szCs w:val="24"/>
        </w:rPr>
        <w:t>》</w:t>
      </w:r>
      <w:r>
        <w:rPr>
          <w:color w:val="000000"/>
          <w:sz w:val="24"/>
          <w:szCs w:val="24"/>
        </w:rPr>
        <w:t>、《运作办法》及其他有关规定从基金财产中列支费用时，基金托管人可要求基金管理人予以说明解释，如基金管理人无正当理由，基金托管人可拒绝支付。</w:t>
      </w:r>
    </w:p>
    <w:p w14:paraId="13251FF6"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（九）实施</w:t>
      </w:r>
      <w:proofErr w:type="gramStart"/>
      <w:r>
        <w:rPr>
          <w:rFonts w:hint="eastAsia"/>
          <w:color w:val="000000"/>
          <w:sz w:val="24"/>
          <w:szCs w:val="24"/>
        </w:rPr>
        <w:t>侧袋机制</w:t>
      </w:r>
      <w:proofErr w:type="gramEnd"/>
      <w:r>
        <w:rPr>
          <w:rFonts w:hint="eastAsia"/>
          <w:color w:val="000000"/>
          <w:sz w:val="24"/>
          <w:szCs w:val="24"/>
        </w:rPr>
        <w:t>期间的基金费用</w:t>
      </w:r>
    </w:p>
    <w:p w14:paraId="1247CD07" w14:textId="77777777" w:rsidR="007F0ECF" w:rsidRDefault="005B4DD9">
      <w:pPr>
        <w:adjustRightInd w:val="0"/>
        <w:spacing w:line="360" w:lineRule="auto"/>
        <w:ind w:firstLineChars="200" w:firstLine="480"/>
        <w:rPr>
          <w:color w:val="000000"/>
          <w:sz w:val="24"/>
          <w:szCs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w:t>
      </w:r>
      <w:proofErr w:type="gramStart"/>
      <w:r>
        <w:rPr>
          <w:rFonts w:hint="eastAsia"/>
          <w:bCs/>
          <w:sz w:val="24"/>
        </w:rPr>
        <w:t>侧袋账户</w:t>
      </w:r>
      <w:proofErr w:type="gramEnd"/>
      <w:r>
        <w:rPr>
          <w:rFonts w:hint="eastAsia"/>
          <w:bCs/>
          <w:sz w:val="24"/>
        </w:rPr>
        <w:t>资产不收取管理费，其他费用详见招募说明书的规定</w:t>
      </w:r>
      <w:r>
        <w:rPr>
          <w:rFonts w:hint="eastAsia"/>
          <w:color w:val="000000"/>
          <w:sz w:val="24"/>
          <w:szCs w:val="24"/>
        </w:rPr>
        <w:t>。</w:t>
      </w:r>
    </w:p>
    <w:p w14:paraId="679142E8" w14:textId="77777777" w:rsidR="007F0ECF" w:rsidRDefault="005B4DD9">
      <w:pPr>
        <w:pStyle w:val="2"/>
        <w:spacing w:line="360" w:lineRule="auto"/>
        <w:jc w:val="center"/>
        <w:rPr>
          <w:rFonts w:ascii="Times New Roman" w:eastAsia="宋体" w:hAnsi="Times New Roman"/>
          <w:color w:val="000000"/>
          <w:sz w:val="30"/>
          <w:szCs w:val="30"/>
        </w:rPr>
      </w:pPr>
      <w:r>
        <w:rPr>
          <w:rFonts w:ascii="Times New Roman" w:eastAsia="宋体" w:hAnsi="Times New Roman"/>
          <w:b w:val="0"/>
          <w:color w:val="000000"/>
          <w:sz w:val="24"/>
          <w:szCs w:val="24"/>
        </w:rPr>
        <w:br w:type="page"/>
      </w:r>
      <w:bookmarkStart w:id="112" w:name="_Toc497759447"/>
      <w:r>
        <w:rPr>
          <w:rFonts w:ascii="Times New Roman" w:eastAsia="宋体" w:hAnsi="Times New Roman"/>
          <w:color w:val="000000"/>
          <w:sz w:val="30"/>
          <w:szCs w:val="30"/>
        </w:rPr>
        <w:lastRenderedPageBreak/>
        <w:t>十二、基金份额持有人名册的</w:t>
      </w:r>
      <w:r>
        <w:rPr>
          <w:rFonts w:ascii="Times New Roman" w:eastAsia="宋体" w:hAnsi="Times New Roman" w:hint="eastAsia"/>
          <w:color w:val="000000"/>
          <w:sz w:val="30"/>
          <w:szCs w:val="30"/>
        </w:rPr>
        <w:t>登记与</w:t>
      </w:r>
      <w:r>
        <w:rPr>
          <w:rFonts w:ascii="Times New Roman" w:eastAsia="宋体" w:hAnsi="Times New Roman"/>
          <w:color w:val="000000"/>
          <w:sz w:val="30"/>
          <w:szCs w:val="30"/>
        </w:rPr>
        <w:t>保管</w:t>
      </w:r>
      <w:bookmarkEnd w:id="112"/>
    </w:p>
    <w:p w14:paraId="4AC0B56B"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本基金的基金管理人和基金托管人须分别妥善保管的基金份额持有人名册，包括基金合同生效日、基金合同终止日、基金份额持有人大会权益登记日、每年</w:t>
      </w:r>
      <w:r>
        <w:rPr>
          <w:color w:val="000000"/>
          <w:sz w:val="24"/>
          <w:szCs w:val="24"/>
        </w:rPr>
        <w:t>6</w:t>
      </w:r>
      <w:r>
        <w:rPr>
          <w:rFonts w:hint="eastAsia"/>
          <w:color w:val="000000"/>
          <w:sz w:val="24"/>
          <w:szCs w:val="24"/>
        </w:rPr>
        <w:t>月</w:t>
      </w:r>
      <w:r>
        <w:rPr>
          <w:color w:val="000000"/>
          <w:sz w:val="24"/>
          <w:szCs w:val="24"/>
        </w:rPr>
        <w:t>30</w:t>
      </w:r>
      <w:r>
        <w:rPr>
          <w:rFonts w:hint="eastAsia"/>
          <w:color w:val="000000"/>
          <w:sz w:val="24"/>
          <w:szCs w:val="24"/>
        </w:rPr>
        <w:t>日、</w:t>
      </w:r>
      <w:r>
        <w:rPr>
          <w:color w:val="000000"/>
          <w:sz w:val="24"/>
          <w:szCs w:val="24"/>
        </w:rPr>
        <w:t>12</w:t>
      </w:r>
      <w:r>
        <w:rPr>
          <w:rFonts w:hint="eastAsia"/>
          <w:color w:val="000000"/>
          <w:sz w:val="24"/>
          <w:szCs w:val="24"/>
        </w:rPr>
        <w:t>月</w:t>
      </w:r>
      <w:r>
        <w:rPr>
          <w:color w:val="000000"/>
          <w:sz w:val="24"/>
          <w:szCs w:val="24"/>
        </w:rPr>
        <w:t>31</w:t>
      </w:r>
      <w:r>
        <w:rPr>
          <w:rFonts w:hint="eastAsia"/>
          <w:color w:val="000000"/>
          <w:sz w:val="24"/>
          <w:szCs w:val="24"/>
        </w:rPr>
        <w:t>日的基金份额持有人名册。基金份额持有人名册的内容至少应包括持有人的名称和持有的基金份额。</w:t>
      </w:r>
    </w:p>
    <w:p w14:paraId="5DFC9C5E"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基金份额持有人名册由登记机构编制，由基金管理人审核并提交基金托管人保管。基金托管人有权要求基金管理人提供任意一个交易日或全部交易日的基金份额持有人名册，基金管理人应及时提供，不得拖延或拒绝提供。</w:t>
      </w:r>
    </w:p>
    <w:p w14:paraId="3F079B77"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基金管理人应及时向基金托管人提交基金份额持有人名册。每年</w:t>
      </w:r>
      <w:r>
        <w:rPr>
          <w:color w:val="000000"/>
          <w:sz w:val="24"/>
          <w:szCs w:val="24"/>
        </w:rPr>
        <w:t>6</w:t>
      </w:r>
      <w:r>
        <w:rPr>
          <w:rFonts w:hint="eastAsia"/>
          <w:color w:val="000000"/>
          <w:sz w:val="24"/>
          <w:szCs w:val="24"/>
        </w:rPr>
        <w:t>月</w:t>
      </w:r>
      <w:r>
        <w:rPr>
          <w:color w:val="000000"/>
          <w:sz w:val="24"/>
          <w:szCs w:val="24"/>
        </w:rPr>
        <w:t>30</w:t>
      </w:r>
      <w:r>
        <w:rPr>
          <w:rFonts w:hint="eastAsia"/>
          <w:color w:val="000000"/>
          <w:sz w:val="24"/>
          <w:szCs w:val="24"/>
        </w:rPr>
        <w:t>日和</w:t>
      </w:r>
      <w:r>
        <w:rPr>
          <w:color w:val="000000"/>
          <w:sz w:val="24"/>
          <w:szCs w:val="24"/>
        </w:rPr>
        <w:t>12</w:t>
      </w:r>
      <w:r>
        <w:rPr>
          <w:rFonts w:hint="eastAsia"/>
          <w:color w:val="000000"/>
          <w:sz w:val="24"/>
          <w:szCs w:val="24"/>
        </w:rPr>
        <w:t>月</w:t>
      </w:r>
      <w:r>
        <w:rPr>
          <w:color w:val="000000"/>
          <w:sz w:val="24"/>
          <w:szCs w:val="24"/>
        </w:rPr>
        <w:t>31</w:t>
      </w:r>
      <w:r>
        <w:rPr>
          <w:rFonts w:hint="eastAsia"/>
          <w:color w:val="000000"/>
          <w:sz w:val="24"/>
          <w:szCs w:val="24"/>
        </w:rPr>
        <w:t>日的基金份额持有人名册应于下月前十个工作日内提交；基金合同生效日、基金合同终止日、基金份额持有人大会权益登记日等涉及到基金重要事项日期的基金份额持有人名册应于发生日后十个工作日内提交。</w:t>
      </w:r>
    </w:p>
    <w:p w14:paraId="21E3EB7D"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基金管理人和基金托管人应妥善保管基金份额持有人名册，保存期限不低于法律法规规定的最低期限</w:t>
      </w:r>
      <w:r>
        <w:rPr>
          <w:color w:val="000000"/>
          <w:sz w:val="24"/>
          <w:szCs w:val="24"/>
        </w:rPr>
        <w:t>。基金托管人不得将所保管的基金份额持有人名册用于基金托管业务以外的其他用途，并应遵守保密义务。</w:t>
      </w:r>
      <w:proofErr w:type="gramStart"/>
      <w:r>
        <w:rPr>
          <w:color w:val="000000"/>
          <w:sz w:val="24"/>
          <w:szCs w:val="24"/>
        </w:rPr>
        <w:t>若基金</w:t>
      </w:r>
      <w:proofErr w:type="gramEnd"/>
      <w:r>
        <w:rPr>
          <w:color w:val="000000"/>
          <w:sz w:val="24"/>
          <w:szCs w:val="24"/>
        </w:rPr>
        <w:t>管理人或基金托管人由于自身原因无法妥善保管基金份额持有人名册，应按有关法规规定各自承担相应的责任。</w:t>
      </w:r>
    </w:p>
    <w:p w14:paraId="3FCDEA49" w14:textId="77777777" w:rsidR="007F0ECF" w:rsidRDefault="005B4DD9">
      <w:pPr>
        <w:pStyle w:val="2"/>
        <w:spacing w:line="360" w:lineRule="auto"/>
        <w:jc w:val="center"/>
        <w:rPr>
          <w:rFonts w:ascii="Times New Roman" w:eastAsia="宋体" w:hAnsi="Times New Roman"/>
          <w:color w:val="000000"/>
          <w:sz w:val="30"/>
          <w:szCs w:val="30"/>
        </w:rPr>
      </w:pPr>
      <w:r>
        <w:rPr>
          <w:rFonts w:ascii="Times New Roman" w:eastAsia="宋体" w:hAnsi="Times New Roman"/>
          <w:b w:val="0"/>
          <w:color w:val="000000"/>
          <w:sz w:val="24"/>
          <w:szCs w:val="24"/>
        </w:rPr>
        <w:br w:type="page"/>
      </w:r>
      <w:bookmarkStart w:id="113" w:name="_Toc497759448"/>
      <w:r>
        <w:rPr>
          <w:rFonts w:ascii="Times New Roman" w:eastAsia="宋体" w:hAnsi="Times New Roman"/>
          <w:color w:val="000000"/>
          <w:sz w:val="30"/>
          <w:szCs w:val="30"/>
        </w:rPr>
        <w:lastRenderedPageBreak/>
        <w:t>十三、基金有关文件档案的保存</w:t>
      </w:r>
      <w:bookmarkEnd w:id="113"/>
    </w:p>
    <w:p w14:paraId="59A1BE1F" w14:textId="77777777" w:rsidR="007F0ECF" w:rsidRDefault="005B4DD9">
      <w:pPr>
        <w:adjustRightInd w:val="0"/>
        <w:spacing w:line="360" w:lineRule="auto"/>
        <w:ind w:firstLineChars="200" w:firstLine="480"/>
        <w:rPr>
          <w:color w:val="000000"/>
          <w:sz w:val="24"/>
          <w:szCs w:val="24"/>
        </w:rPr>
      </w:pPr>
      <w:r>
        <w:rPr>
          <w:color w:val="000000"/>
          <w:sz w:val="24"/>
          <w:szCs w:val="24"/>
        </w:rPr>
        <w:t>（一）档案保存</w:t>
      </w:r>
    </w:p>
    <w:p w14:paraId="2D078FAB" w14:textId="77777777" w:rsidR="007F0ECF" w:rsidRDefault="005B4DD9">
      <w:pPr>
        <w:adjustRightInd w:val="0"/>
        <w:spacing w:line="360" w:lineRule="auto"/>
        <w:ind w:firstLineChars="200" w:firstLine="480"/>
        <w:rPr>
          <w:color w:val="000000"/>
          <w:sz w:val="24"/>
          <w:szCs w:val="24"/>
        </w:rPr>
      </w:pPr>
      <w:r>
        <w:rPr>
          <w:color w:val="000000"/>
          <w:sz w:val="24"/>
          <w:szCs w:val="24"/>
        </w:rPr>
        <w:t>基金管理人应保存基金财产管理业务活动的记录、账册、报表和其他相关资料。基金托管人应保存基金托管业务活动的记录、账册、报表和其他相关资料。基金管理人和基金托管人都应当按规定保管。保存期限</w:t>
      </w:r>
      <w:r>
        <w:rPr>
          <w:rFonts w:hint="eastAsia"/>
          <w:color w:val="000000"/>
          <w:sz w:val="24"/>
          <w:szCs w:val="24"/>
        </w:rPr>
        <w:t>不低于法律法规规定的最低期限</w:t>
      </w:r>
      <w:r>
        <w:rPr>
          <w:color w:val="000000"/>
          <w:sz w:val="24"/>
          <w:szCs w:val="24"/>
        </w:rPr>
        <w:t>。</w:t>
      </w:r>
    </w:p>
    <w:p w14:paraId="161F55E3" w14:textId="77777777" w:rsidR="007F0ECF" w:rsidRDefault="005B4DD9">
      <w:pPr>
        <w:adjustRightInd w:val="0"/>
        <w:spacing w:line="360" w:lineRule="auto"/>
        <w:ind w:firstLineChars="200" w:firstLine="480"/>
        <w:rPr>
          <w:color w:val="000000"/>
          <w:sz w:val="24"/>
          <w:szCs w:val="24"/>
        </w:rPr>
      </w:pPr>
      <w:r>
        <w:rPr>
          <w:color w:val="000000"/>
          <w:sz w:val="24"/>
          <w:szCs w:val="24"/>
        </w:rPr>
        <w:t>（二）合同档案的建立</w:t>
      </w:r>
    </w:p>
    <w:p w14:paraId="4B2E92DF" w14:textId="77777777" w:rsidR="007F0ECF" w:rsidRDefault="005B4DD9">
      <w:pPr>
        <w:adjustRightInd w:val="0"/>
        <w:spacing w:line="360" w:lineRule="auto"/>
        <w:ind w:firstLineChars="200" w:firstLine="480"/>
        <w:rPr>
          <w:color w:val="000000"/>
          <w:sz w:val="24"/>
          <w:szCs w:val="24"/>
        </w:rPr>
      </w:pPr>
      <w:r>
        <w:rPr>
          <w:color w:val="000000"/>
          <w:sz w:val="24"/>
          <w:szCs w:val="24"/>
        </w:rPr>
        <w:t>基金管理人</w:t>
      </w:r>
      <w:r>
        <w:rPr>
          <w:rFonts w:hint="eastAsia"/>
          <w:color w:val="000000"/>
          <w:sz w:val="24"/>
          <w:szCs w:val="24"/>
        </w:rPr>
        <w:t>代表基金</w:t>
      </w:r>
      <w:r>
        <w:rPr>
          <w:color w:val="000000"/>
          <w:sz w:val="24"/>
          <w:szCs w:val="24"/>
        </w:rPr>
        <w:t>签署</w:t>
      </w:r>
      <w:r>
        <w:rPr>
          <w:rFonts w:hint="eastAsia"/>
          <w:color w:val="000000"/>
          <w:sz w:val="24"/>
          <w:szCs w:val="24"/>
        </w:rPr>
        <w:t>与基金相关的</w:t>
      </w:r>
      <w:r>
        <w:rPr>
          <w:color w:val="000000"/>
          <w:sz w:val="24"/>
          <w:szCs w:val="24"/>
        </w:rPr>
        <w:t>重大合同文本后，应</w:t>
      </w:r>
      <w:r>
        <w:rPr>
          <w:rFonts w:hint="eastAsia"/>
          <w:color w:val="000000"/>
          <w:sz w:val="24"/>
          <w:szCs w:val="24"/>
        </w:rPr>
        <w:t>及时以加密方式将重大合同传真给基金托管人，并在十个工作日内</w:t>
      </w:r>
      <w:r>
        <w:rPr>
          <w:color w:val="000000"/>
          <w:sz w:val="24"/>
          <w:szCs w:val="24"/>
        </w:rPr>
        <w:t>将合同文本正本送达基金托管人处。</w:t>
      </w:r>
    </w:p>
    <w:p w14:paraId="54C551B2" w14:textId="77777777" w:rsidR="007F0ECF" w:rsidRDefault="005B4DD9">
      <w:pPr>
        <w:adjustRightInd w:val="0"/>
        <w:spacing w:line="360" w:lineRule="auto"/>
        <w:ind w:firstLineChars="200" w:firstLine="480"/>
        <w:rPr>
          <w:color w:val="000000"/>
          <w:sz w:val="24"/>
          <w:szCs w:val="24"/>
        </w:rPr>
      </w:pPr>
      <w:r>
        <w:rPr>
          <w:color w:val="000000"/>
          <w:sz w:val="24"/>
          <w:szCs w:val="24"/>
        </w:rPr>
        <w:t>（三）变更与协助</w:t>
      </w:r>
    </w:p>
    <w:p w14:paraId="30DC0DF4" w14:textId="77777777" w:rsidR="007F0ECF" w:rsidRDefault="005B4DD9">
      <w:pPr>
        <w:adjustRightInd w:val="0"/>
        <w:spacing w:line="360" w:lineRule="auto"/>
        <w:ind w:firstLineChars="200" w:firstLine="480"/>
        <w:rPr>
          <w:b/>
          <w:color w:val="000000"/>
          <w:sz w:val="24"/>
          <w:szCs w:val="24"/>
        </w:rPr>
      </w:pPr>
      <w:proofErr w:type="gramStart"/>
      <w:r>
        <w:rPr>
          <w:color w:val="000000"/>
          <w:sz w:val="24"/>
          <w:szCs w:val="24"/>
        </w:rPr>
        <w:t>若基金</w:t>
      </w:r>
      <w:proofErr w:type="gramEnd"/>
      <w:r>
        <w:rPr>
          <w:color w:val="000000"/>
          <w:sz w:val="24"/>
          <w:szCs w:val="24"/>
        </w:rPr>
        <w:t>管理人</w:t>
      </w:r>
      <w:r>
        <w:rPr>
          <w:color w:val="000000"/>
          <w:sz w:val="24"/>
          <w:szCs w:val="24"/>
        </w:rPr>
        <w:t>/</w:t>
      </w:r>
      <w:r>
        <w:rPr>
          <w:color w:val="000000"/>
          <w:sz w:val="24"/>
          <w:szCs w:val="24"/>
        </w:rPr>
        <w:t>基金托管人发生变更，未变更的一方有义务协助变更后的接任人接收相应文件。</w:t>
      </w:r>
    </w:p>
    <w:p w14:paraId="05101FE3" w14:textId="77777777" w:rsidR="007F0ECF" w:rsidRDefault="005B4DD9">
      <w:pPr>
        <w:adjustRightInd w:val="0"/>
        <w:spacing w:line="360" w:lineRule="auto"/>
        <w:ind w:firstLineChars="200" w:firstLine="480"/>
        <w:rPr>
          <w:color w:val="000000"/>
          <w:sz w:val="24"/>
          <w:szCs w:val="24"/>
        </w:rPr>
      </w:pPr>
      <w:r>
        <w:rPr>
          <w:color w:val="000000"/>
          <w:sz w:val="24"/>
          <w:szCs w:val="24"/>
        </w:rPr>
        <w:t>（四）基金管理人和基金托管人应按各自职责完整保存原始凭证、记账凭证、基金账册、交易记录和重要合同等，承担保密义务并保存</w:t>
      </w:r>
      <w:r>
        <w:rPr>
          <w:rFonts w:hint="eastAsia"/>
          <w:color w:val="000000"/>
          <w:sz w:val="24"/>
          <w:szCs w:val="24"/>
        </w:rPr>
        <w:t>，保存期限不低于法律法规规定的最低期限</w:t>
      </w:r>
      <w:r>
        <w:rPr>
          <w:color w:val="000000"/>
          <w:sz w:val="24"/>
          <w:szCs w:val="24"/>
        </w:rPr>
        <w:t>。</w:t>
      </w:r>
    </w:p>
    <w:p w14:paraId="56A3FD90" w14:textId="77777777" w:rsidR="007F0ECF" w:rsidRDefault="005B4DD9">
      <w:pPr>
        <w:pStyle w:val="2"/>
        <w:spacing w:line="360" w:lineRule="auto"/>
        <w:jc w:val="center"/>
        <w:rPr>
          <w:rFonts w:ascii="Times New Roman" w:eastAsia="宋体" w:hAnsi="Times New Roman"/>
          <w:color w:val="000000"/>
          <w:sz w:val="30"/>
          <w:szCs w:val="30"/>
        </w:rPr>
      </w:pPr>
      <w:r>
        <w:rPr>
          <w:rFonts w:ascii="Times New Roman" w:eastAsia="宋体" w:hAnsi="Times New Roman"/>
          <w:b w:val="0"/>
          <w:color w:val="000000"/>
          <w:sz w:val="24"/>
          <w:szCs w:val="24"/>
        </w:rPr>
        <w:br w:type="page"/>
      </w:r>
      <w:bookmarkStart w:id="114" w:name="_Toc497759449"/>
      <w:r>
        <w:rPr>
          <w:rFonts w:ascii="Times New Roman" w:eastAsia="宋体" w:hAnsi="Times New Roman"/>
          <w:color w:val="000000"/>
          <w:sz w:val="30"/>
          <w:szCs w:val="30"/>
        </w:rPr>
        <w:lastRenderedPageBreak/>
        <w:t>十四、基金管理人和基金托管人的更换</w:t>
      </w:r>
      <w:bookmarkEnd w:id="114"/>
    </w:p>
    <w:p w14:paraId="6C435CB2"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（一）基金管理人的更换</w:t>
      </w:r>
    </w:p>
    <w:p w14:paraId="6F47FB44" w14:textId="77777777" w:rsidR="007F0ECF" w:rsidRDefault="005B4DD9">
      <w:pPr>
        <w:adjustRightInd w:val="0"/>
        <w:spacing w:line="360" w:lineRule="auto"/>
        <w:ind w:firstLineChars="200" w:firstLine="480"/>
        <w:rPr>
          <w:color w:val="000000"/>
          <w:sz w:val="24"/>
          <w:szCs w:val="24"/>
        </w:rPr>
      </w:pPr>
      <w:r>
        <w:rPr>
          <w:color w:val="000000"/>
          <w:sz w:val="24"/>
          <w:szCs w:val="24"/>
        </w:rPr>
        <w:t>1</w:t>
      </w:r>
      <w:r>
        <w:rPr>
          <w:rFonts w:hint="eastAsia"/>
          <w:color w:val="000000"/>
          <w:sz w:val="24"/>
          <w:szCs w:val="24"/>
        </w:rPr>
        <w:t>、</w:t>
      </w:r>
      <w:r>
        <w:rPr>
          <w:color w:val="000000"/>
          <w:sz w:val="24"/>
          <w:szCs w:val="24"/>
        </w:rPr>
        <w:t>基金管理人的更换条件</w:t>
      </w:r>
    </w:p>
    <w:p w14:paraId="377F6168"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有下列情形之一的，基金管理人职责终止：</w:t>
      </w:r>
    </w:p>
    <w:p w14:paraId="2CC89671"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w:t>
      </w:r>
      <w:r>
        <w:rPr>
          <w:color w:val="000000"/>
          <w:sz w:val="24"/>
          <w:szCs w:val="24"/>
        </w:rPr>
        <w:t>1</w:t>
      </w:r>
      <w:r>
        <w:rPr>
          <w:color w:val="000000"/>
          <w:sz w:val="24"/>
          <w:szCs w:val="24"/>
        </w:rPr>
        <w:t>）被依法取消基金管理资格；</w:t>
      </w:r>
    </w:p>
    <w:p w14:paraId="264047B7"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w:t>
      </w:r>
      <w:r>
        <w:rPr>
          <w:color w:val="000000"/>
          <w:sz w:val="24"/>
          <w:szCs w:val="24"/>
        </w:rPr>
        <w:t>2</w:t>
      </w:r>
      <w:r>
        <w:rPr>
          <w:color w:val="000000"/>
          <w:sz w:val="24"/>
          <w:szCs w:val="24"/>
        </w:rPr>
        <w:t>）</w:t>
      </w:r>
      <w:r>
        <w:rPr>
          <w:rFonts w:hint="eastAsia"/>
          <w:bCs/>
          <w:sz w:val="24"/>
        </w:rPr>
        <w:t>被基金份额持有人大会解任；</w:t>
      </w:r>
    </w:p>
    <w:p w14:paraId="0B0C0915"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w:t>
      </w:r>
      <w:r>
        <w:rPr>
          <w:color w:val="000000"/>
          <w:sz w:val="24"/>
          <w:szCs w:val="24"/>
        </w:rPr>
        <w:t>3</w:t>
      </w:r>
      <w:r>
        <w:rPr>
          <w:color w:val="000000"/>
          <w:sz w:val="24"/>
          <w:szCs w:val="24"/>
        </w:rPr>
        <w:t>）</w:t>
      </w:r>
      <w:r>
        <w:rPr>
          <w:rFonts w:hint="eastAsia"/>
          <w:bCs/>
          <w:sz w:val="24"/>
        </w:rPr>
        <w:t>依法解散、被依法撤销或被依法宣告破产；</w:t>
      </w:r>
    </w:p>
    <w:p w14:paraId="67C516AF"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w:t>
      </w:r>
      <w:r>
        <w:rPr>
          <w:color w:val="000000"/>
          <w:sz w:val="24"/>
          <w:szCs w:val="24"/>
        </w:rPr>
        <w:t>4</w:t>
      </w:r>
      <w:r>
        <w:rPr>
          <w:rFonts w:hint="eastAsia"/>
          <w:color w:val="000000"/>
          <w:sz w:val="24"/>
          <w:szCs w:val="24"/>
        </w:rPr>
        <w:t>）法律法规及中国证监会规定的和《基金合同》约定的其他情形。</w:t>
      </w:r>
    </w:p>
    <w:p w14:paraId="0F043049" w14:textId="77777777" w:rsidR="007F0ECF" w:rsidRDefault="005B4DD9">
      <w:pPr>
        <w:adjustRightInd w:val="0"/>
        <w:spacing w:line="360" w:lineRule="auto"/>
        <w:ind w:firstLineChars="200" w:firstLine="480"/>
        <w:rPr>
          <w:color w:val="000000"/>
          <w:sz w:val="24"/>
          <w:szCs w:val="24"/>
        </w:rPr>
      </w:pPr>
      <w:r>
        <w:rPr>
          <w:color w:val="000000"/>
          <w:sz w:val="24"/>
          <w:szCs w:val="24"/>
        </w:rPr>
        <w:t>2</w:t>
      </w:r>
      <w:r>
        <w:rPr>
          <w:rFonts w:hint="eastAsia"/>
          <w:color w:val="000000"/>
          <w:sz w:val="24"/>
          <w:szCs w:val="24"/>
        </w:rPr>
        <w:t>、</w:t>
      </w:r>
      <w:r>
        <w:rPr>
          <w:color w:val="000000"/>
          <w:sz w:val="24"/>
          <w:szCs w:val="24"/>
        </w:rPr>
        <w:t>基金管理人的更换程序</w:t>
      </w:r>
    </w:p>
    <w:p w14:paraId="2A49E60E"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w:t>
      </w:r>
      <w:r>
        <w:rPr>
          <w:color w:val="000000"/>
          <w:sz w:val="24"/>
          <w:szCs w:val="24"/>
        </w:rPr>
        <w:t>1</w:t>
      </w:r>
      <w:r>
        <w:rPr>
          <w:rFonts w:hint="eastAsia"/>
          <w:color w:val="000000"/>
          <w:sz w:val="24"/>
          <w:szCs w:val="24"/>
        </w:rPr>
        <w:t>）提名：</w:t>
      </w:r>
      <w:proofErr w:type="gramStart"/>
      <w:r>
        <w:rPr>
          <w:rFonts w:hint="eastAsia"/>
          <w:color w:val="000000"/>
          <w:sz w:val="24"/>
          <w:szCs w:val="24"/>
        </w:rPr>
        <w:t>新任基金</w:t>
      </w:r>
      <w:proofErr w:type="gramEnd"/>
      <w:r>
        <w:rPr>
          <w:rFonts w:hint="eastAsia"/>
          <w:color w:val="000000"/>
          <w:sz w:val="24"/>
          <w:szCs w:val="24"/>
        </w:rPr>
        <w:t>管理人由基金托管人或由单独或合计持有</w:t>
      </w:r>
      <w:r>
        <w:rPr>
          <w:color w:val="000000"/>
          <w:sz w:val="24"/>
          <w:szCs w:val="24"/>
        </w:rPr>
        <w:t>10%</w:t>
      </w:r>
      <w:r>
        <w:rPr>
          <w:rFonts w:hint="eastAsia"/>
          <w:color w:val="000000"/>
          <w:sz w:val="24"/>
          <w:szCs w:val="24"/>
        </w:rPr>
        <w:t>以上（含</w:t>
      </w:r>
      <w:r>
        <w:rPr>
          <w:color w:val="000000"/>
          <w:sz w:val="24"/>
          <w:szCs w:val="24"/>
        </w:rPr>
        <w:t>10%</w:t>
      </w:r>
      <w:r>
        <w:rPr>
          <w:rFonts w:hint="eastAsia"/>
          <w:color w:val="000000"/>
          <w:sz w:val="24"/>
          <w:szCs w:val="24"/>
        </w:rPr>
        <w:t>）基金份额的基金份额持有人提名；</w:t>
      </w:r>
    </w:p>
    <w:p w14:paraId="700B7635"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w:t>
      </w:r>
      <w:r>
        <w:rPr>
          <w:color w:val="000000"/>
          <w:sz w:val="24"/>
          <w:szCs w:val="24"/>
        </w:rPr>
        <w:t>2</w:t>
      </w:r>
      <w:r>
        <w:rPr>
          <w:color w:val="000000"/>
          <w:sz w:val="24"/>
          <w:szCs w:val="24"/>
        </w:rPr>
        <w:t>）决议：基金份额持有人大会在基金管理人职责终止后</w:t>
      </w:r>
      <w:r>
        <w:rPr>
          <w:color w:val="000000"/>
          <w:sz w:val="24"/>
          <w:szCs w:val="24"/>
        </w:rPr>
        <w:t>6</w:t>
      </w:r>
      <w:r>
        <w:rPr>
          <w:color w:val="000000"/>
          <w:sz w:val="24"/>
          <w:szCs w:val="24"/>
        </w:rPr>
        <w:t>个月内对被提名的基金管理人形成决议，该决议需经参加大会的基金份额持有人所持表决权的</w:t>
      </w:r>
      <w:r>
        <w:rPr>
          <w:rFonts w:hint="eastAsia"/>
          <w:color w:val="000000"/>
          <w:sz w:val="24"/>
          <w:szCs w:val="24"/>
        </w:rPr>
        <w:t>三分之二以上（含三分之二）表决通过</w:t>
      </w:r>
      <w:r>
        <w:rPr>
          <w:rFonts w:hint="eastAsia"/>
          <w:bCs/>
          <w:sz w:val="24"/>
        </w:rPr>
        <w:t>，决议自表决通过之日起生效</w:t>
      </w:r>
      <w:r>
        <w:rPr>
          <w:rFonts w:hint="eastAsia"/>
          <w:color w:val="000000"/>
          <w:sz w:val="24"/>
          <w:szCs w:val="24"/>
        </w:rPr>
        <w:t>；</w:t>
      </w:r>
    </w:p>
    <w:p w14:paraId="02C2C844"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w:t>
      </w:r>
      <w:r>
        <w:rPr>
          <w:color w:val="000000"/>
          <w:sz w:val="24"/>
          <w:szCs w:val="24"/>
        </w:rPr>
        <w:t>3</w:t>
      </w:r>
      <w:r>
        <w:rPr>
          <w:color w:val="000000"/>
          <w:sz w:val="24"/>
          <w:szCs w:val="24"/>
        </w:rPr>
        <w:t>）临时基金管理人：</w:t>
      </w:r>
      <w:proofErr w:type="gramStart"/>
      <w:r>
        <w:rPr>
          <w:color w:val="000000"/>
          <w:sz w:val="24"/>
          <w:szCs w:val="24"/>
        </w:rPr>
        <w:t>新任基金</w:t>
      </w:r>
      <w:proofErr w:type="gramEnd"/>
      <w:r>
        <w:rPr>
          <w:color w:val="000000"/>
          <w:sz w:val="24"/>
          <w:szCs w:val="24"/>
        </w:rPr>
        <w:t>管理人产生之前，由中国证监会指定临时基金管理人；</w:t>
      </w:r>
    </w:p>
    <w:p w14:paraId="058999AB"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w:t>
      </w:r>
      <w:r>
        <w:rPr>
          <w:color w:val="000000"/>
          <w:sz w:val="24"/>
          <w:szCs w:val="24"/>
        </w:rPr>
        <w:t>4</w:t>
      </w:r>
      <w:r>
        <w:rPr>
          <w:rFonts w:hint="eastAsia"/>
          <w:color w:val="000000"/>
          <w:sz w:val="24"/>
          <w:szCs w:val="24"/>
        </w:rPr>
        <w:t>）备案：</w:t>
      </w:r>
      <w:r>
        <w:rPr>
          <w:bCs/>
          <w:sz w:val="24"/>
        </w:rPr>
        <w:t>基金份额持有人大会</w:t>
      </w:r>
      <w:r>
        <w:rPr>
          <w:rFonts w:hint="eastAsia"/>
          <w:bCs/>
          <w:sz w:val="24"/>
        </w:rPr>
        <w:t>更换</w:t>
      </w:r>
      <w:r>
        <w:rPr>
          <w:bCs/>
          <w:sz w:val="24"/>
        </w:rPr>
        <w:t>基金管理人的决议</w:t>
      </w:r>
      <w:r>
        <w:rPr>
          <w:rFonts w:hint="eastAsia"/>
          <w:bCs/>
          <w:sz w:val="24"/>
        </w:rPr>
        <w:t>须报</w:t>
      </w:r>
      <w:r>
        <w:rPr>
          <w:bCs/>
          <w:sz w:val="24"/>
        </w:rPr>
        <w:t>中国证监会</w:t>
      </w:r>
      <w:r>
        <w:rPr>
          <w:rFonts w:hint="eastAsia"/>
          <w:bCs/>
          <w:sz w:val="24"/>
        </w:rPr>
        <w:t>备案</w:t>
      </w:r>
      <w:r>
        <w:rPr>
          <w:rFonts w:hint="eastAsia"/>
          <w:color w:val="000000"/>
          <w:sz w:val="24"/>
          <w:szCs w:val="24"/>
        </w:rPr>
        <w:t>；</w:t>
      </w:r>
    </w:p>
    <w:p w14:paraId="0AD8FB1C"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w:t>
      </w:r>
      <w:r>
        <w:rPr>
          <w:color w:val="000000"/>
          <w:sz w:val="24"/>
          <w:szCs w:val="24"/>
        </w:rPr>
        <w:t>5</w:t>
      </w:r>
      <w:r>
        <w:rPr>
          <w:color w:val="000000"/>
          <w:sz w:val="24"/>
          <w:szCs w:val="24"/>
        </w:rPr>
        <w:t>）</w:t>
      </w:r>
      <w:r>
        <w:rPr>
          <w:rFonts w:hint="eastAsia"/>
          <w:bCs/>
          <w:sz w:val="24"/>
        </w:rPr>
        <w:t>公告：</w:t>
      </w:r>
      <w:r>
        <w:rPr>
          <w:bCs/>
          <w:sz w:val="24"/>
        </w:rPr>
        <w:t>基金管理人更换后，由基金托管人在</w:t>
      </w:r>
      <w:r>
        <w:rPr>
          <w:rFonts w:hint="eastAsia"/>
          <w:bCs/>
          <w:sz w:val="24"/>
        </w:rPr>
        <w:t>更换基金管理人的基金份额持有人大会决议生效</w:t>
      </w:r>
      <w:r>
        <w:rPr>
          <w:bCs/>
          <w:sz w:val="24"/>
        </w:rPr>
        <w:t>后</w:t>
      </w:r>
      <w:r>
        <w:rPr>
          <w:rFonts w:hint="eastAsia"/>
          <w:bCs/>
          <w:sz w:val="24"/>
        </w:rPr>
        <w:t>依照《信息披露办法》的有关规定</w:t>
      </w:r>
      <w:r>
        <w:rPr>
          <w:bCs/>
          <w:sz w:val="24"/>
        </w:rPr>
        <w:t>在</w:t>
      </w:r>
      <w:r>
        <w:rPr>
          <w:rFonts w:hint="eastAsia"/>
          <w:bCs/>
          <w:sz w:val="24"/>
        </w:rPr>
        <w:t>规定媒介</w:t>
      </w:r>
      <w:r>
        <w:rPr>
          <w:bCs/>
          <w:sz w:val="24"/>
        </w:rPr>
        <w:t>公告</w:t>
      </w:r>
      <w:r>
        <w:rPr>
          <w:rFonts w:hint="eastAsia"/>
          <w:color w:val="000000"/>
          <w:sz w:val="24"/>
          <w:szCs w:val="24"/>
        </w:rPr>
        <w:t>；</w:t>
      </w:r>
    </w:p>
    <w:p w14:paraId="41261E4E" w14:textId="77777777" w:rsidR="007F0ECF" w:rsidRDefault="005B4DD9">
      <w:pPr>
        <w:adjustRightInd w:val="0"/>
        <w:spacing w:line="360" w:lineRule="auto"/>
        <w:ind w:firstLineChars="200" w:firstLine="480"/>
        <w:rPr>
          <w:b/>
          <w:bCs/>
          <w:color w:val="000000"/>
          <w:sz w:val="24"/>
          <w:szCs w:val="24"/>
        </w:rPr>
      </w:pPr>
      <w:r>
        <w:rPr>
          <w:rFonts w:hint="eastAsia"/>
          <w:color w:val="000000"/>
          <w:sz w:val="24"/>
          <w:szCs w:val="24"/>
        </w:rPr>
        <w:t>（</w:t>
      </w:r>
      <w:r>
        <w:rPr>
          <w:color w:val="000000"/>
          <w:sz w:val="24"/>
          <w:szCs w:val="24"/>
        </w:rPr>
        <w:t>6</w:t>
      </w:r>
      <w:r>
        <w:rPr>
          <w:rFonts w:hint="eastAsia"/>
          <w:color w:val="000000"/>
          <w:sz w:val="24"/>
          <w:szCs w:val="24"/>
        </w:rPr>
        <w:t>）交接：</w:t>
      </w:r>
      <w:r>
        <w:rPr>
          <w:bCs/>
          <w:sz w:val="24"/>
        </w:rPr>
        <w:t>基金管理人职责终止的，基金管理人应妥善保管基金管理业务资料，及时向临时基金管理人或</w:t>
      </w:r>
      <w:proofErr w:type="gramStart"/>
      <w:r>
        <w:rPr>
          <w:bCs/>
          <w:sz w:val="24"/>
        </w:rPr>
        <w:t>新任基金</w:t>
      </w:r>
      <w:proofErr w:type="gramEnd"/>
      <w:r>
        <w:rPr>
          <w:bCs/>
          <w:sz w:val="24"/>
        </w:rPr>
        <w:t>管理人办理基金管理业务的移交手续，临时基金管理人或</w:t>
      </w:r>
      <w:proofErr w:type="gramStart"/>
      <w:r>
        <w:rPr>
          <w:bCs/>
          <w:sz w:val="24"/>
        </w:rPr>
        <w:t>新任基金</w:t>
      </w:r>
      <w:proofErr w:type="gramEnd"/>
      <w:r>
        <w:rPr>
          <w:bCs/>
          <w:sz w:val="24"/>
        </w:rPr>
        <w:t>管理人应及时接收。</w:t>
      </w:r>
      <w:proofErr w:type="gramStart"/>
      <w:r>
        <w:rPr>
          <w:bCs/>
          <w:sz w:val="24"/>
        </w:rPr>
        <w:t>新任基金</w:t>
      </w:r>
      <w:proofErr w:type="gramEnd"/>
      <w:r>
        <w:rPr>
          <w:bCs/>
          <w:sz w:val="24"/>
        </w:rPr>
        <w:t>管理人</w:t>
      </w:r>
      <w:r>
        <w:rPr>
          <w:rFonts w:hint="eastAsia"/>
          <w:bCs/>
          <w:sz w:val="24"/>
        </w:rPr>
        <w:t>或临时基金管理人</w:t>
      </w:r>
      <w:r>
        <w:rPr>
          <w:bCs/>
          <w:sz w:val="24"/>
        </w:rPr>
        <w:t>应与基金托管人核对基金资产总值</w:t>
      </w:r>
      <w:r>
        <w:rPr>
          <w:rFonts w:hint="eastAsia"/>
          <w:bCs/>
          <w:sz w:val="24"/>
        </w:rPr>
        <w:t>和净值</w:t>
      </w:r>
      <w:r>
        <w:rPr>
          <w:rFonts w:hint="eastAsia"/>
          <w:bCs/>
          <w:color w:val="000000"/>
          <w:sz w:val="24"/>
          <w:szCs w:val="24"/>
        </w:rPr>
        <w:t>；</w:t>
      </w:r>
    </w:p>
    <w:p w14:paraId="6E65694F"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w:t>
      </w:r>
      <w:r>
        <w:rPr>
          <w:color w:val="000000"/>
          <w:sz w:val="24"/>
          <w:szCs w:val="24"/>
        </w:rPr>
        <w:t>7</w:t>
      </w:r>
      <w:r>
        <w:rPr>
          <w:rFonts w:hint="eastAsia"/>
          <w:color w:val="000000"/>
          <w:sz w:val="24"/>
          <w:szCs w:val="24"/>
        </w:rPr>
        <w:t>）审计：</w:t>
      </w:r>
      <w:r>
        <w:rPr>
          <w:bCs/>
          <w:sz w:val="24"/>
        </w:rPr>
        <w:t>基金管理人职责终止的，应当按照法律法规规定聘请</w:t>
      </w:r>
      <w:bookmarkStart w:id="115" w:name="_Hlk104891736"/>
      <w:r>
        <w:rPr>
          <w:rFonts w:hint="eastAsia"/>
          <w:sz w:val="24"/>
          <w:szCs w:val="24"/>
        </w:rPr>
        <w:t>符合《中华人民共和国证券法》规定</w:t>
      </w:r>
      <w:r>
        <w:rPr>
          <w:sz w:val="24"/>
          <w:szCs w:val="24"/>
        </w:rPr>
        <w:t>的</w:t>
      </w:r>
      <w:bookmarkEnd w:id="115"/>
      <w:r>
        <w:rPr>
          <w:bCs/>
          <w:sz w:val="24"/>
        </w:rPr>
        <w:t>会计师事务所对基金财产进行审计，并将审计结果予以公告，同时报中国证监会备案</w:t>
      </w:r>
      <w:r>
        <w:rPr>
          <w:rFonts w:hint="eastAsia"/>
          <w:bCs/>
          <w:sz w:val="24"/>
        </w:rPr>
        <w:t>，审计费用从基金财产中列支</w:t>
      </w:r>
      <w:r>
        <w:rPr>
          <w:rFonts w:hint="eastAsia"/>
          <w:color w:val="000000"/>
          <w:sz w:val="24"/>
          <w:szCs w:val="24"/>
        </w:rPr>
        <w:t>；</w:t>
      </w:r>
    </w:p>
    <w:p w14:paraId="4385DFE1" w14:textId="77777777" w:rsidR="007F0ECF" w:rsidRDefault="005B4DD9">
      <w:pPr>
        <w:spacing w:line="360" w:lineRule="auto"/>
        <w:ind w:firstLineChars="200" w:firstLine="480"/>
        <w:rPr>
          <w:color w:val="000000"/>
          <w:sz w:val="24"/>
          <w:szCs w:val="24"/>
        </w:rPr>
      </w:pPr>
      <w:r>
        <w:rPr>
          <w:rFonts w:hint="eastAsia"/>
          <w:color w:val="000000"/>
          <w:sz w:val="24"/>
          <w:szCs w:val="24"/>
        </w:rPr>
        <w:t>（</w:t>
      </w:r>
      <w:r>
        <w:rPr>
          <w:color w:val="000000"/>
          <w:sz w:val="24"/>
          <w:szCs w:val="24"/>
        </w:rPr>
        <w:t>8</w:t>
      </w:r>
      <w:r>
        <w:rPr>
          <w:rFonts w:hint="eastAsia"/>
          <w:color w:val="000000"/>
          <w:sz w:val="24"/>
          <w:szCs w:val="24"/>
        </w:rPr>
        <w:t>）基金名称变更：</w:t>
      </w:r>
      <w:r>
        <w:rPr>
          <w:bCs/>
          <w:sz w:val="24"/>
        </w:rPr>
        <w:t>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r>
        <w:rPr>
          <w:rFonts w:hint="eastAsia"/>
          <w:color w:val="000000"/>
          <w:sz w:val="24"/>
          <w:szCs w:val="24"/>
        </w:rPr>
        <w:t>。</w:t>
      </w:r>
    </w:p>
    <w:p w14:paraId="01EA8F09"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lastRenderedPageBreak/>
        <w:t>（二）基金托管人的更换</w:t>
      </w:r>
    </w:p>
    <w:p w14:paraId="1E7E0D03" w14:textId="77777777" w:rsidR="007F0ECF" w:rsidRDefault="005B4DD9">
      <w:pPr>
        <w:adjustRightInd w:val="0"/>
        <w:spacing w:line="360" w:lineRule="auto"/>
        <w:ind w:firstLineChars="200" w:firstLine="480"/>
        <w:rPr>
          <w:color w:val="000000"/>
          <w:sz w:val="24"/>
          <w:szCs w:val="24"/>
        </w:rPr>
      </w:pPr>
      <w:r>
        <w:rPr>
          <w:color w:val="000000"/>
          <w:sz w:val="24"/>
          <w:szCs w:val="24"/>
        </w:rPr>
        <w:t>1</w:t>
      </w:r>
      <w:r>
        <w:rPr>
          <w:color w:val="000000"/>
          <w:sz w:val="24"/>
          <w:szCs w:val="24"/>
        </w:rPr>
        <w:t>、基金托管人的更换条件</w:t>
      </w:r>
    </w:p>
    <w:p w14:paraId="64C5DD2B"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有下列情形之一的，基金托管人职责终止：</w:t>
      </w:r>
    </w:p>
    <w:p w14:paraId="15C2AA7E"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w:t>
      </w:r>
      <w:r>
        <w:rPr>
          <w:color w:val="000000"/>
          <w:sz w:val="24"/>
          <w:szCs w:val="24"/>
        </w:rPr>
        <w:t>1</w:t>
      </w:r>
      <w:r>
        <w:rPr>
          <w:rFonts w:hint="eastAsia"/>
          <w:color w:val="000000"/>
          <w:sz w:val="24"/>
          <w:szCs w:val="24"/>
        </w:rPr>
        <w:t>）被依法取消基金托管资格；</w:t>
      </w:r>
    </w:p>
    <w:p w14:paraId="68135E84"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w:t>
      </w:r>
      <w:r>
        <w:rPr>
          <w:color w:val="000000"/>
          <w:sz w:val="24"/>
          <w:szCs w:val="24"/>
        </w:rPr>
        <w:t>2</w:t>
      </w:r>
      <w:r>
        <w:rPr>
          <w:rFonts w:hint="eastAsia"/>
          <w:color w:val="000000"/>
          <w:sz w:val="24"/>
          <w:szCs w:val="24"/>
        </w:rPr>
        <w:t>）</w:t>
      </w:r>
      <w:r>
        <w:rPr>
          <w:color w:val="000000"/>
          <w:sz w:val="24"/>
          <w:szCs w:val="24"/>
        </w:rPr>
        <w:t>被基金份额持有人大会解任</w:t>
      </w:r>
      <w:r>
        <w:rPr>
          <w:rFonts w:hint="eastAsia"/>
          <w:color w:val="000000"/>
          <w:sz w:val="24"/>
          <w:szCs w:val="24"/>
        </w:rPr>
        <w:t>；</w:t>
      </w:r>
    </w:p>
    <w:p w14:paraId="4A1DD760"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w:t>
      </w:r>
      <w:r>
        <w:rPr>
          <w:color w:val="000000"/>
          <w:sz w:val="24"/>
          <w:szCs w:val="24"/>
        </w:rPr>
        <w:t>3</w:t>
      </w:r>
      <w:r>
        <w:rPr>
          <w:color w:val="000000"/>
          <w:sz w:val="24"/>
          <w:szCs w:val="24"/>
        </w:rPr>
        <w:t>）</w:t>
      </w:r>
      <w:r>
        <w:rPr>
          <w:rFonts w:hint="eastAsia"/>
          <w:color w:val="000000"/>
          <w:sz w:val="24"/>
          <w:szCs w:val="24"/>
        </w:rPr>
        <w:t>依法解散、被依法撤销或被依法宣告破产</w:t>
      </w:r>
      <w:r>
        <w:rPr>
          <w:color w:val="000000"/>
          <w:sz w:val="24"/>
          <w:szCs w:val="24"/>
        </w:rPr>
        <w:t>；</w:t>
      </w:r>
    </w:p>
    <w:p w14:paraId="75DC6D84"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w:t>
      </w:r>
      <w:r>
        <w:rPr>
          <w:color w:val="000000"/>
          <w:sz w:val="24"/>
          <w:szCs w:val="24"/>
        </w:rPr>
        <w:t>4</w:t>
      </w:r>
      <w:r>
        <w:rPr>
          <w:color w:val="000000"/>
          <w:sz w:val="24"/>
          <w:szCs w:val="24"/>
        </w:rPr>
        <w:t>）法律法规及中国证监会规定的和</w:t>
      </w:r>
      <w:r>
        <w:rPr>
          <w:rFonts w:hint="eastAsia"/>
          <w:color w:val="000000"/>
          <w:sz w:val="24"/>
          <w:szCs w:val="24"/>
        </w:rPr>
        <w:t>《基金合同》约定的其他情形。</w:t>
      </w:r>
    </w:p>
    <w:p w14:paraId="24625385" w14:textId="77777777" w:rsidR="007F0ECF" w:rsidRDefault="005B4DD9">
      <w:pPr>
        <w:adjustRightInd w:val="0"/>
        <w:spacing w:line="360" w:lineRule="auto"/>
        <w:ind w:firstLineChars="200" w:firstLine="480"/>
        <w:rPr>
          <w:color w:val="000000"/>
          <w:sz w:val="24"/>
          <w:szCs w:val="24"/>
        </w:rPr>
      </w:pPr>
      <w:r>
        <w:rPr>
          <w:color w:val="000000"/>
          <w:sz w:val="24"/>
          <w:szCs w:val="24"/>
        </w:rPr>
        <w:t>2</w:t>
      </w:r>
      <w:r>
        <w:rPr>
          <w:color w:val="000000"/>
          <w:sz w:val="24"/>
          <w:szCs w:val="24"/>
        </w:rPr>
        <w:t>、基金托管人的更换程序</w:t>
      </w:r>
    </w:p>
    <w:p w14:paraId="6B2AE4D0"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w:t>
      </w:r>
      <w:r>
        <w:rPr>
          <w:color w:val="000000"/>
          <w:sz w:val="24"/>
          <w:szCs w:val="24"/>
        </w:rPr>
        <w:t>1</w:t>
      </w:r>
      <w:r>
        <w:rPr>
          <w:rFonts w:hint="eastAsia"/>
          <w:color w:val="000000"/>
          <w:sz w:val="24"/>
          <w:szCs w:val="24"/>
        </w:rPr>
        <w:t>）提名：</w:t>
      </w:r>
      <w:proofErr w:type="gramStart"/>
      <w:r>
        <w:rPr>
          <w:rFonts w:hint="eastAsia"/>
          <w:color w:val="000000"/>
          <w:sz w:val="24"/>
          <w:szCs w:val="24"/>
        </w:rPr>
        <w:t>新任基金</w:t>
      </w:r>
      <w:proofErr w:type="gramEnd"/>
      <w:r>
        <w:rPr>
          <w:rFonts w:hint="eastAsia"/>
          <w:color w:val="000000"/>
          <w:sz w:val="24"/>
          <w:szCs w:val="24"/>
        </w:rPr>
        <w:t>托管人由基金管理人或由单独或合计持有</w:t>
      </w:r>
      <w:r>
        <w:rPr>
          <w:color w:val="000000"/>
          <w:sz w:val="24"/>
          <w:szCs w:val="24"/>
        </w:rPr>
        <w:t>10%</w:t>
      </w:r>
      <w:r>
        <w:rPr>
          <w:rFonts w:hint="eastAsia"/>
          <w:color w:val="000000"/>
          <w:sz w:val="24"/>
          <w:szCs w:val="24"/>
        </w:rPr>
        <w:t>以上（含</w:t>
      </w:r>
      <w:r>
        <w:rPr>
          <w:color w:val="000000"/>
          <w:sz w:val="24"/>
          <w:szCs w:val="24"/>
        </w:rPr>
        <w:t>10%</w:t>
      </w:r>
      <w:r>
        <w:rPr>
          <w:rFonts w:hint="eastAsia"/>
          <w:color w:val="000000"/>
          <w:sz w:val="24"/>
          <w:szCs w:val="24"/>
        </w:rPr>
        <w:t>）基金份额的基金份额持有人提名；</w:t>
      </w:r>
    </w:p>
    <w:p w14:paraId="6798F50C"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w:t>
      </w:r>
      <w:r>
        <w:rPr>
          <w:color w:val="000000"/>
          <w:sz w:val="24"/>
          <w:szCs w:val="24"/>
        </w:rPr>
        <w:t>2</w:t>
      </w:r>
      <w:r>
        <w:rPr>
          <w:color w:val="000000"/>
          <w:sz w:val="24"/>
          <w:szCs w:val="24"/>
        </w:rPr>
        <w:t>）决议：基金份额持有人大会在基金托管人职责终止后</w:t>
      </w:r>
      <w:r>
        <w:rPr>
          <w:color w:val="000000"/>
          <w:sz w:val="24"/>
          <w:szCs w:val="24"/>
        </w:rPr>
        <w:t>6</w:t>
      </w:r>
      <w:r>
        <w:rPr>
          <w:color w:val="000000"/>
          <w:sz w:val="24"/>
          <w:szCs w:val="24"/>
        </w:rPr>
        <w:t>个月内对被提名的基金托管人形成决议，该决议需经参加大会的基金份额持有人所持表决权的</w:t>
      </w:r>
      <w:r>
        <w:rPr>
          <w:rFonts w:hint="eastAsia"/>
          <w:color w:val="000000"/>
          <w:sz w:val="24"/>
          <w:szCs w:val="24"/>
        </w:rPr>
        <w:t>三分之二以上（含三分之二）表决通过</w:t>
      </w:r>
      <w:r>
        <w:rPr>
          <w:rFonts w:hint="eastAsia"/>
          <w:bCs/>
          <w:sz w:val="24"/>
        </w:rPr>
        <w:t>，决议自表决通过之日起生效</w:t>
      </w:r>
      <w:r>
        <w:rPr>
          <w:rFonts w:hint="eastAsia"/>
          <w:color w:val="000000"/>
          <w:sz w:val="24"/>
          <w:szCs w:val="24"/>
        </w:rPr>
        <w:t>；</w:t>
      </w:r>
    </w:p>
    <w:p w14:paraId="71FDC65E"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w:t>
      </w:r>
      <w:r>
        <w:rPr>
          <w:color w:val="000000"/>
          <w:sz w:val="24"/>
          <w:szCs w:val="24"/>
        </w:rPr>
        <w:t>3</w:t>
      </w:r>
      <w:r>
        <w:rPr>
          <w:color w:val="000000"/>
          <w:sz w:val="24"/>
          <w:szCs w:val="24"/>
        </w:rPr>
        <w:t>）临时基金托管人：</w:t>
      </w:r>
      <w:proofErr w:type="gramStart"/>
      <w:r>
        <w:rPr>
          <w:color w:val="000000"/>
          <w:sz w:val="24"/>
          <w:szCs w:val="24"/>
        </w:rPr>
        <w:t>新任基金</w:t>
      </w:r>
      <w:proofErr w:type="gramEnd"/>
      <w:r>
        <w:rPr>
          <w:color w:val="000000"/>
          <w:sz w:val="24"/>
          <w:szCs w:val="24"/>
        </w:rPr>
        <w:t>托管人产生之前，由中国证监会指定临时基金托管人；</w:t>
      </w:r>
    </w:p>
    <w:p w14:paraId="2FAFEB67" w14:textId="77777777" w:rsidR="007F0ECF" w:rsidRDefault="005B4DD9">
      <w:pPr>
        <w:adjustRightInd w:val="0"/>
        <w:spacing w:line="360" w:lineRule="auto"/>
        <w:ind w:firstLineChars="200" w:firstLine="480"/>
        <w:rPr>
          <w:color w:val="000000"/>
          <w:sz w:val="24"/>
          <w:szCs w:val="24"/>
        </w:rPr>
      </w:pPr>
      <w:r>
        <w:rPr>
          <w:rFonts w:hint="eastAsia"/>
          <w:sz w:val="24"/>
          <w:szCs w:val="24"/>
        </w:rPr>
        <w:t>（</w:t>
      </w:r>
      <w:r>
        <w:rPr>
          <w:sz w:val="24"/>
          <w:szCs w:val="24"/>
        </w:rPr>
        <w:t>4</w:t>
      </w:r>
      <w:r>
        <w:rPr>
          <w:rFonts w:hint="eastAsia"/>
          <w:sz w:val="24"/>
          <w:szCs w:val="24"/>
        </w:rPr>
        <w:t>）备案：基金份额持有人大会</w:t>
      </w:r>
      <w:r>
        <w:rPr>
          <w:rFonts w:hint="eastAsia"/>
          <w:bCs/>
          <w:sz w:val="24"/>
        </w:rPr>
        <w:t>更换</w:t>
      </w:r>
      <w:r>
        <w:rPr>
          <w:rFonts w:hint="eastAsia"/>
          <w:sz w:val="24"/>
          <w:szCs w:val="24"/>
        </w:rPr>
        <w:t>基金托管人的决议</w:t>
      </w:r>
      <w:r>
        <w:rPr>
          <w:rFonts w:hint="eastAsia"/>
          <w:bCs/>
          <w:sz w:val="24"/>
        </w:rPr>
        <w:t>须</w:t>
      </w:r>
      <w:r>
        <w:rPr>
          <w:rFonts w:hint="eastAsia"/>
          <w:sz w:val="24"/>
          <w:szCs w:val="24"/>
        </w:rPr>
        <w:t>报中国证监会备案</w:t>
      </w:r>
      <w:r>
        <w:rPr>
          <w:rFonts w:hint="eastAsia"/>
          <w:color w:val="000000"/>
          <w:sz w:val="24"/>
          <w:szCs w:val="24"/>
        </w:rPr>
        <w:t>；</w:t>
      </w:r>
    </w:p>
    <w:p w14:paraId="0AE68D96"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w:t>
      </w:r>
      <w:r>
        <w:rPr>
          <w:color w:val="000000"/>
          <w:sz w:val="24"/>
          <w:szCs w:val="24"/>
        </w:rPr>
        <w:t>5</w:t>
      </w:r>
      <w:r>
        <w:rPr>
          <w:color w:val="000000"/>
          <w:sz w:val="24"/>
          <w:szCs w:val="24"/>
        </w:rPr>
        <w:t>）公告：</w:t>
      </w:r>
      <w:r>
        <w:rPr>
          <w:bCs/>
          <w:sz w:val="24"/>
        </w:rPr>
        <w:t>基金</w:t>
      </w:r>
      <w:r>
        <w:rPr>
          <w:rFonts w:hint="eastAsia"/>
          <w:bCs/>
          <w:sz w:val="24"/>
        </w:rPr>
        <w:t>托管</w:t>
      </w:r>
      <w:r>
        <w:rPr>
          <w:bCs/>
          <w:sz w:val="24"/>
        </w:rPr>
        <w:t>人更换后，由基金</w:t>
      </w:r>
      <w:r>
        <w:rPr>
          <w:rFonts w:hint="eastAsia"/>
          <w:bCs/>
          <w:sz w:val="24"/>
        </w:rPr>
        <w:t>管理</w:t>
      </w:r>
      <w:r>
        <w:rPr>
          <w:bCs/>
          <w:sz w:val="24"/>
        </w:rPr>
        <w:t>人在</w:t>
      </w:r>
      <w:r>
        <w:rPr>
          <w:rFonts w:hint="eastAsia"/>
          <w:bCs/>
          <w:sz w:val="24"/>
        </w:rPr>
        <w:t>更换基金托管人的基金份额持有人大会决议生效</w:t>
      </w:r>
      <w:r>
        <w:rPr>
          <w:bCs/>
          <w:sz w:val="24"/>
        </w:rPr>
        <w:t>后</w:t>
      </w:r>
      <w:r>
        <w:rPr>
          <w:rFonts w:hint="eastAsia"/>
          <w:bCs/>
          <w:sz w:val="24"/>
        </w:rPr>
        <w:t>依照《信息披露办法》的有关规定</w:t>
      </w:r>
      <w:r>
        <w:rPr>
          <w:bCs/>
          <w:sz w:val="24"/>
        </w:rPr>
        <w:t>在</w:t>
      </w:r>
      <w:r>
        <w:rPr>
          <w:rFonts w:hint="eastAsia"/>
          <w:bCs/>
          <w:sz w:val="24"/>
        </w:rPr>
        <w:t>规定媒介</w:t>
      </w:r>
      <w:r>
        <w:rPr>
          <w:bCs/>
          <w:sz w:val="24"/>
        </w:rPr>
        <w:t>公告</w:t>
      </w:r>
      <w:r>
        <w:rPr>
          <w:rFonts w:hint="eastAsia"/>
          <w:color w:val="000000"/>
          <w:sz w:val="24"/>
          <w:szCs w:val="24"/>
        </w:rPr>
        <w:t>；</w:t>
      </w:r>
    </w:p>
    <w:p w14:paraId="49D26BB0"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w:t>
      </w:r>
      <w:r>
        <w:rPr>
          <w:color w:val="000000"/>
          <w:sz w:val="24"/>
          <w:szCs w:val="24"/>
        </w:rPr>
        <w:t>6</w:t>
      </w:r>
      <w:r>
        <w:rPr>
          <w:rFonts w:hint="eastAsia"/>
          <w:color w:val="000000"/>
          <w:sz w:val="24"/>
          <w:szCs w:val="24"/>
        </w:rPr>
        <w:t>）交接：</w:t>
      </w:r>
      <w:r>
        <w:rPr>
          <w:rFonts w:hint="eastAsia"/>
          <w:bCs/>
          <w:sz w:val="24"/>
        </w:rPr>
        <w:t>基金托管人职责终止的，应当妥善保管基金财产和基金托管业务资料，及时办理基金财产和基金托管业务的移交手续，</w:t>
      </w:r>
      <w:proofErr w:type="gramStart"/>
      <w:r>
        <w:rPr>
          <w:rFonts w:hint="eastAsia"/>
          <w:bCs/>
          <w:sz w:val="24"/>
        </w:rPr>
        <w:t>新任基金</w:t>
      </w:r>
      <w:proofErr w:type="gramEnd"/>
      <w:r>
        <w:rPr>
          <w:rFonts w:hint="eastAsia"/>
          <w:bCs/>
          <w:sz w:val="24"/>
        </w:rPr>
        <w:t>托管人或者临时基金托管人应当及时接收。</w:t>
      </w:r>
      <w:proofErr w:type="gramStart"/>
      <w:r>
        <w:rPr>
          <w:rFonts w:hint="eastAsia"/>
          <w:bCs/>
          <w:sz w:val="24"/>
        </w:rPr>
        <w:t>新任基金</w:t>
      </w:r>
      <w:proofErr w:type="gramEnd"/>
      <w:r>
        <w:rPr>
          <w:rFonts w:hint="eastAsia"/>
          <w:bCs/>
          <w:sz w:val="24"/>
        </w:rPr>
        <w:t>托管人或临时基金托管人与基金管理人核对基金资产总值和净值</w:t>
      </w:r>
      <w:r>
        <w:rPr>
          <w:rFonts w:hint="eastAsia"/>
          <w:b/>
          <w:bCs/>
          <w:color w:val="000000"/>
          <w:sz w:val="24"/>
          <w:szCs w:val="24"/>
        </w:rPr>
        <w:t>；</w:t>
      </w:r>
    </w:p>
    <w:p w14:paraId="287A219F"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w:t>
      </w:r>
      <w:r>
        <w:rPr>
          <w:color w:val="000000"/>
          <w:sz w:val="24"/>
          <w:szCs w:val="24"/>
        </w:rPr>
        <w:t>7</w:t>
      </w:r>
      <w:r>
        <w:rPr>
          <w:rFonts w:hint="eastAsia"/>
          <w:color w:val="000000"/>
          <w:sz w:val="24"/>
          <w:szCs w:val="24"/>
        </w:rPr>
        <w:t>）审计：基金托管人职责终止的，应当按照法律法规规定聘请</w:t>
      </w:r>
      <w:r>
        <w:rPr>
          <w:rFonts w:hint="eastAsia"/>
          <w:sz w:val="24"/>
          <w:szCs w:val="24"/>
        </w:rPr>
        <w:t>符合《中华人民共和国证券法》规定</w:t>
      </w:r>
      <w:r>
        <w:rPr>
          <w:sz w:val="24"/>
          <w:szCs w:val="24"/>
        </w:rPr>
        <w:t>的</w:t>
      </w:r>
      <w:r>
        <w:rPr>
          <w:rFonts w:hint="eastAsia"/>
          <w:color w:val="000000"/>
          <w:sz w:val="24"/>
          <w:szCs w:val="24"/>
        </w:rPr>
        <w:t>会计师事务所对基金财产进行审计，并将审计结果予以公告，同时报中国证监会备案，审计费用</w:t>
      </w:r>
      <w:r>
        <w:rPr>
          <w:rFonts w:hint="eastAsia"/>
          <w:bCs/>
          <w:sz w:val="24"/>
        </w:rPr>
        <w:t>从</w:t>
      </w:r>
      <w:r>
        <w:rPr>
          <w:rFonts w:hint="eastAsia"/>
          <w:color w:val="000000"/>
          <w:sz w:val="24"/>
          <w:szCs w:val="24"/>
        </w:rPr>
        <w:t>基金财产中列支。</w:t>
      </w:r>
    </w:p>
    <w:p w14:paraId="70688CB4" w14:textId="77777777" w:rsidR="007F0ECF" w:rsidRDefault="005B4DD9">
      <w:pPr>
        <w:adjustRightInd w:val="0"/>
        <w:spacing w:line="360" w:lineRule="auto"/>
        <w:ind w:firstLineChars="200" w:firstLine="480"/>
        <w:rPr>
          <w:color w:val="000000"/>
          <w:sz w:val="24"/>
          <w:szCs w:val="24"/>
        </w:rPr>
      </w:pPr>
      <w:r>
        <w:rPr>
          <w:color w:val="000000"/>
          <w:sz w:val="24"/>
          <w:szCs w:val="24"/>
        </w:rPr>
        <w:t>（</w:t>
      </w:r>
      <w:r>
        <w:rPr>
          <w:rFonts w:hint="eastAsia"/>
          <w:color w:val="000000"/>
          <w:sz w:val="24"/>
          <w:szCs w:val="24"/>
        </w:rPr>
        <w:t>三</w:t>
      </w:r>
      <w:r>
        <w:rPr>
          <w:color w:val="000000"/>
          <w:sz w:val="24"/>
          <w:szCs w:val="24"/>
        </w:rPr>
        <w:t>）基金管理人与基金托管人同时更换</w:t>
      </w:r>
      <w:r>
        <w:rPr>
          <w:rFonts w:hint="eastAsia"/>
          <w:color w:val="000000"/>
          <w:sz w:val="24"/>
          <w:szCs w:val="24"/>
        </w:rPr>
        <w:t>的条件和程序</w:t>
      </w:r>
    </w:p>
    <w:p w14:paraId="75EABB37" w14:textId="77777777" w:rsidR="007F0ECF" w:rsidRDefault="005B4DD9">
      <w:pPr>
        <w:adjustRightInd w:val="0"/>
        <w:spacing w:line="360" w:lineRule="auto"/>
        <w:ind w:firstLineChars="200" w:firstLine="480"/>
        <w:rPr>
          <w:color w:val="000000"/>
          <w:sz w:val="24"/>
          <w:szCs w:val="24"/>
        </w:rPr>
      </w:pPr>
      <w:r>
        <w:rPr>
          <w:color w:val="000000"/>
          <w:sz w:val="24"/>
          <w:szCs w:val="24"/>
        </w:rPr>
        <w:t>1</w:t>
      </w:r>
      <w:r>
        <w:rPr>
          <w:color w:val="000000"/>
          <w:sz w:val="24"/>
          <w:szCs w:val="24"/>
        </w:rPr>
        <w:t>、提名：</w:t>
      </w:r>
      <w:r>
        <w:rPr>
          <w:bCs/>
          <w:sz w:val="24"/>
        </w:rPr>
        <w:t>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w:t>
      </w:r>
      <w:r>
        <w:rPr>
          <w:bCs/>
          <w:sz w:val="24"/>
        </w:rPr>
        <w:lastRenderedPageBreak/>
        <w:t>人</w:t>
      </w:r>
      <w:r>
        <w:rPr>
          <w:color w:val="000000"/>
          <w:sz w:val="24"/>
          <w:szCs w:val="24"/>
        </w:rPr>
        <w:t>；</w:t>
      </w:r>
    </w:p>
    <w:p w14:paraId="491D277D" w14:textId="77777777" w:rsidR="007F0ECF" w:rsidRDefault="005B4DD9">
      <w:pPr>
        <w:adjustRightInd w:val="0"/>
        <w:spacing w:line="360" w:lineRule="auto"/>
        <w:ind w:firstLineChars="200" w:firstLine="480"/>
        <w:rPr>
          <w:color w:val="000000"/>
          <w:sz w:val="24"/>
          <w:szCs w:val="24"/>
        </w:rPr>
      </w:pPr>
      <w:r>
        <w:rPr>
          <w:color w:val="000000"/>
          <w:sz w:val="24"/>
          <w:szCs w:val="24"/>
        </w:rPr>
        <w:t>2</w:t>
      </w:r>
      <w:r>
        <w:rPr>
          <w:color w:val="000000"/>
          <w:sz w:val="24"/>
          <w:szCs w:val="24"/>
        </w:rPr>
        <w:t>、基金管理人和基金托管人的更换分别按上述程序进行；</w:t>
      </w:r>
    </w:p>
    <w:p w14:paraId="7E80BFA5" w14:textId="77777777" w:rsidR="007F0ECF" w:rsidRDefault="005B4DD9">
      <w:pPr>
        <w:adjustRightInd w:val="0"/>
        <w:spacing w:line="360" w:lineRule="auto"/>
        <w:ind w:firstLineChars="200" w:firstLine="480"/>
        <w:rPr>
          <w:color w:val="000000"/>
          <w:sz w:val="24"/>
          <w:szCs w:val="24"/>
        </w:rPr>
      </w:pPr>
      <w:r>
        <w:rPr>
          <w:color w:val="000000"/>
          <w:sz w:val="24"/>
          <w:szCs w:val="24"/>
        </w:rPr>
        <w:t>3</w:t>
      </w:r>
      <w:r>
        <w:rPr>
          <w:color w:val="000000"/>
          <w:sz w:val="24"/>
          <w:szCs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Pr>
          <w:rFonts w:hint="eastAsia"/>
          <w:bCs/>
          <w:sz w:val="24"/>
        </w:rPr>
        <w:t>生效</w:t>
      </w:r>
      <w:r>
        <w:rPr>
          <w:bCs/>
          <w:sz w:val="24"/>
        </w:rPr>
        <w:t>后</w:t>
      </w:r>
      <w:r>
        <w:rPr>
          <w:rFonts w:hint="eastAsia"/>
          <w:bCs/>
          <w:sz w:val="24"/>
        </w:rPr>
        <w:t>依照《信息披露办法》的有关规定</w:t>
      </w:r>
      <w:r>
        <w:rPr>
          <w:bCs/>
          <w:sz w:val="24"/>
        </w:rPr>
        <w:t>在规定媒介上联合公告</w:t>
      </w:r>
      <w:r>
        <w:rPr>
          <w:rFonts w:hint="eastAsia"/>
          <w:color w:val="000000"/>
          <w:sz w:val="24"/>
          <w:szCs w:val="24"/>
        </w:rPr>
        <w:t>。</w:t>
      </w:r>
    </w:p>
    <w:p w14:paraId="2C4529F5"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（四）</w:t>
      </w:r>
      <w:proofErr w:type="gramStart"/>
      <w:r>
        <w:rPr>
          <w:rFonts w:hint="eastAsia"/>
          <w:bCs/>
          <w:sz w:val="24"/>
        </w:rPr>
        <w:t>新任基金</w:t>
      </w:r>
      <w:proofErr w:type="gramEnd"/>
      <w:r>
        <w:rPr>
          <w:rFonts w:hint="eastAsia"/>
          <w:bCs/>
          <w:sz w:val="24"/>
        </w:rPr>
        <w:t>管理人或临时基金管理人接收基金管理业务，或</w:t>
      </w:r>
      <w:proofErr w:type="gramStart"/>
      <w:r>
        <w:rPr>
          <w:rFonts w:hint="eastAsia"/>
          <w:bCs/>
          <w:sz w:val="24"/>
        </w:rPr>
        <w:t>新任基金</w:t>
      </w:r>
      <w:proofErr w:type="gramEnd"/>
      <w:r>
        <w:rPr>
          <w:rFonts w:hint="eastAsia"/>
          <w:bCs/>
          <w:sz w:val="24"/>
        </w:rPr>
        <w:t>托管人或临时基金托管人接收基金财产和基金托管业务前，原任基金管理人或原任基金托管人应继续履行相关职责，并保证不做出对基金份额持有人的利益造成损害的行为。原任基金管理人或原任基金托管人在继续履行相关职责期间，仍有权按照基金合同的规定收取基金管理费或基金托管费</w:t>
      </w:r>
      <w:r>
        <w:rPr>
          <w:rFonts w:hint="eastAsia"/>
          <w:color w:val="000000"/>
          <w:sz w:val="24"/>
          <w:szCs w:val="24"/>
        </w:rPr>
        <w:t>。</w:t>
      </w:r>
    </w:p>
    <w:p w14:paraId="74677025"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（五）</w:t>
      </w:r>
      <w:r>
        <w:rPr>
          <w:rFonts w:hint="eastAsia"/>
          <w:bCs/>
          <w:sz w:val="24"/>
        </w:rPr>
        <w:t>本部</w:t>
      </w:r>
      <w:proofErr w:type="gramStart"/>
      <w:r>
        <w:rPr>
          <w:rFonts w:hint="eastAsia"/>
          <w:bCs/>
          <w:sz w:val="24"/>
        </w:rPr>
        <w:t>分关于</w:t>
      </w:r>
      <w:proofErr w:type="gramEnd"/>
      <w:r>
        <w:rPr>
          <w:rFonts w:hint="eastAsia"/>
          <w:bCs/>
          <w:sz w:val="24"/>
        </w:rPr>
        <w:t>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r>
        <w:rPr>
          <w:rFonts w:hint="eastAsia"/>
          <w:color w:val="000000"/>
          <w:sz w:val="24"/>
          <w:szCs w:val="24"/>
        </w:rPr>
        <w:t>。</w:t>
      </w:r>
    </w:p>
    <w:p w14:paraId="3F463AF8" w14:textId="77777777" w:rsidR="007F0ECF" w:rsidRDefault="005B4DD9">
      <w:pPr>
        <w:pStyle w:val="2"/>
        <w:spacing w:line="360" w:lineRule="auto"/>
        <w:jc w:val="center"/>
        <w:rPr>
          <w:rFonts w:ascii="Times New Roman" w:eastAsia="宋体" w:hAnsi="Times New Roman"/>
          <w:color w:val="000000"/>
          <w:sz w:val="30"/>
          <w:szCs w:val="30"/>
        </w:rPr>
      </w:pPr>
      <w:r>
        <w:rPr>
          <w:rFonts w:ascii="Times New Roman" w:eastAsia="宋体" w:hAnsi="Times New Roman"/>
          <w:color w:val="000000"/>
          <w:sz w:val="24"/>
          <w:szCs w:val="24"/>
        </w:rPr>
        <w:br w:type="page"/>
      </w:r>
      <w:bookmarkStart w:id="116" w:name="_Toc497759450"/>
      <w:r>
        <w:rPr>
          <w:rFonts w:ascii="Times New Roman" w:eastAsia="宋体" w:hAnsi="Times New Roman"/>
          <w:color w:val="000000"/>
          <w:sz w:val="30"/>
          <w:szCs w:val="30"/>
        </w:rPr>
        <w:lastRenderedPageBreak/>
        <w:t>十五、禁止行为</w:t>
      </w:r>
      <w:bookmarkEnd w:id="116"/>
    </w:p>
    <w:p w14:paraId="04511BEE" w14:textId="77777777" w:rsidR="007F0ECF" w:rsidRDefault="005B4DD9">
      <w:pPr>
        <w:adjustRightInd w:val="0"/>
        <w:spacing w:line="360" w:lineRule="auto"/>
        <w:ind w:firstLineChars="200" w:firstLine="480"/>
        <w:rPr>
          <w:color w:val="000000"/>
          <w:sz w:val="24"/>
          <w:szCs w:val="24"/>
        </w:rPr>
      </w:pPr>
      <w:r>
        <w:rPr>
          <w:color w:val="000000"/>
          <w:sz w:val="24"/>
          <w:szCs w:val="24"/>
        </w:rPr>
        <w:t>托管协议当事人禁止从事的行为，包括但不限于：</w:t>
      </w:r>
    </w:p>
    <w:p w14:paraId="36A93927" w14:textId="77777777" w:rsidR="007F0ECF" w:rsidRDefault="005B4DD9">
      <w:pPr>
        <w:spacing w:line="360" w:lineRule="auto"/>
        <w:ind w:firstLineChars="200" w:firstLine="480"/>
        <w:rPr>
          <w:color w:val="000000"/>
          <w:sz w:val="24"/>
          <w:szCs w:val="24"/>
        </w:rPr>
      </w:pPr>
      <w:r>
        <w:rPr>
          <w:color w:val="000000"/>
          <w:sz w:val="24"/>
          <w:szCs w:val="24"/>
        </w:rPr>
        <w:t>（一）基金管理人、基金托管人将其固有财产或者他人财产混同于基金财产从事证券投资。</w:t>
      </w:r>
    </w:p>
    <w:p w14:paraId="15024FC8" w14:textId="77777777" w:rsidR="007F0ECF" w:rsidRDefault="005B4DD9">
      <w:pPr>
        <w:spacing w:line="360" w:lineRule="auto"/>
        <w:ind w:firstLineChars="200" w:firstLine="480"/>
        <w:rPr>
          <w:color w:val="000000"/>
          <w:sz w:val="24"/>
          <w:szCs w:val="24"/>
        </w:rPr>
      </w:pPr>
      <w:r>
        <w:rPr>
          <w:color w:val="000000"/>
          <w:sz w:val="24"/>
          <w:szCs w:val="24"/>
        </w:rPr>
        <w:t>（二）基金管理人不公平地对待其管理的不同基金财产</w:t>
      </w:r>
      <w:r>
        <w:rPr>
          <w:rFonts w:hint="eastAsia"/>
          <w:color w:val="000000"/>
          <w:sz w:val="24"/>
          <w:szCs w:val="24"/>
        </w:rPr>
        <w:t>。基金托管人不公平地对待其托管的不同基金财产。</w:t>
      </w:r>
    </w:p>
    <w:p w14:paraId="14BB717E" w14:textId="77777777" w:rsidR="007F0ECF" w:rsidRDefault="005B4DD9">
      <w:pPr>
        <w:spacing w:line="360" w:lineRule="auto"/>
        <w:ind w:firstLineChars="200" w:firstLine="480"/>
        <w:rPr>
          <w:color w:val="000000"/>
          <w:sz w:val="24"/>
          <w:szCs w:val="24"/>
        </w:rPr>
      </w:pPr>
      <w:r>
        <w:rPr>
          <w:color w:val="000000"/>
          <w:sz w:val="24"/>
          <w:szCs w:val="24"/>
        </w:rPr>
        <w:t>（三）基金管理人、基金托管人利用基金财产</w:t>
      </w:r>
      <w:r>
        <w:rPr>
          <w:rFonts w:hint="eastAsia"/>
          <w:color w:val="000000"/>
          <w:sz w:val="24"/>
          <w:szCs w:val="24"/>
        </w:rPr>
        <w:t>或职务之便</w:t>
      </w:r>
      <w:r>
        <w:rPr>
          <w:color w:val="000000"/>
          <w:sz w:val="24"/>
          <w:szCs w:val="24"/>
        </w:rPr>
        <w:t>为基金份额持有人以外的第三人牟取利益。</w:t>
      </w:r>
    </w:p>
    <w:p w14:paraId="75FDAD56" w14:textId="77777777" w:rsidR="007F0ECF" w:rsidRDefault="005B4DD9">
      <w:pPr>
        <w:spacing w:line="360" w:lineRule="auto"/>
        <w:ind w:firstLineChars="200" w:firstLine="480"/>
        <w:rPr>
          <w:color w:val="000000"/>
          <w:sz w:val="24"/>
          <w:szCs w:val="24"/>
        </w:rPr>
      </w:pPr>
      <w:r>
        <w:rPr>
          <w:color w:val="000000"/>
          <w:sz w:val="24"/>
          <w:szCs w:val="24"/>
        </w:rPr>
        <w:t>（四）基金管理人、基金托管人向基金份额持有人违规承诺收益或者承担损失。</w:t>
      </w:r>
    </w:p>
    <w:p w14:paraId="1FEFAFC9" w14:textId="77777777" w:rsidR="007F0ECF" w:rsidRDefault="005B4DD9">
      <w:pPr>
        <w:adjustRightInd w:val="0"/>
        <w:spacing w:line="360" w:lineRule="auto"/>
        <w:ind w:firstLineChars="200" w:firstLine="480"/>
        <w:rPr>
          <w:color w:val="000000"/>
          <w:sz w:val="24"/>
          <w:szCs w:val="24"/>
        </w:rPr>
      </w:pPr>
      <w:r>
        <w:rPr>
          <w:color w:val="000000"/>
          <w:sz w:val="24"/>
          <w:szCs w:val="24"/>
        </w:rPr>
        <w:t>（五）</w:t>
      </w:r>
      <w:r>
        <w:rPr>
          <w:rFonts w:hint="eastAsia"/>
          <w:color w:val="000000"/>
          <w:sz w:val="24"/>
          <w:szCs w:val="24"/>
        </w:rPr>
        <w:t>基金管理人、基金托管人侵占、挪用基金财产。</w:t>
      </w:r>
    </w:p>
    <w:p w14:paraId="49376917"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（六）</w:t>
      </w:r>
      <w:r>
        <w:rPr>
          <w:color w:val="000000"/>
          <w:sz w:val="24"/>
          <w:szCs w:val="24"/>
        </w:rPr>
        <w:t>基金管理人、基金托管人对泄漏</w:t>
      </w:r>
      <w:r>
        <w:rPr>
          <w:rFonts w:hint="eastAsia"/>
          <w:color w:val="000000"/>
          <w:sz w:val="24"/>
          <w:szCs w:val="24"/>
        </w:rPr>
        <w:t>因职务便利获取的未公开信息、利用该信息从事或者明示、暗示他人从事相关的交易活动。</w:t>
      </w:r>
    </w:p>
    <w:p w14:paraId="6DC78499" w14:textId="77777777" w:rsidR="007F0ECF" w:rsidRDefault="005B4DD9">
      <w:pPr>
        <w:adjustRightInd w:val="0"/>
        <w:spacing w:line="360" w:lineRule="auto"/>
        <w:ind w:firstLineChars="200" w:firstLine="480"/>
        <w:rPr>
          <w:color w:val="000000"/>
          <w:sz w:val="24"/>
          <w:szCs w:val="24"/>
        </w:rPr>
      </w:pPr>
      <w:r>
        <w:rPr>
          <w:color w:val="000000"/>
          <w:sz w:val="24"/>
          <w:szCs w:val="24"/>
        </w:rPr>
        <w:t>（七）</w:t>
      </w:r>
      <w:r>
        <w:rPr>
          <w:rFonts w:hint="eastAsia"/>
          <w:color w:val="000000"/>
          <w:sz w:val="24"/>
          <w:szCs w:val="24"/>
        </w:rPr>
        <w:t>基金管理人、基金托管人玩忽职守，不按照规定履行职责。</w:t>
      </w:r>
    </w:p>
    <w:p w14:paraId="1A36DB58" w14:textId="77777777" w:rsidR="007F0ECF" w:rsidRDefault="005B4DD9">
      <w:pPr>
        <w:adjustRightInd w:val="0"/>
        <w:spacing w:line="360" w:lineRule="auto"/>
        <w:ind w:firstLineChars="200" w:firstLine="480"/>
        <w:rPr>
          <w:color w:val="000000"/>
          <w:sz w:val="24"/>
          <w:szCs w:val="24"/>
        </w:rPr>
      </w:pPr>
      <w:r>
        <w:rPr>
          <w:color w:val="000000"/>
          <w:sz w:val="24"/>
          <w:szCs w:val="24"/>
        </w:rPr>
        <w:t>（八）基金管理人在没有充足资金的情况下向基金托管人发出投资指令和</w:t>
      </w:r>
      <w:r>
        <w:rPr>
          <w:rFonts w:hint="eastAsia"/>
          <w:color w:val="000000"/>
          <w:sz w:val="24"/>
          <w:szCs w:val="24"/>
        </w:rPr>
        <w:t>付款指令</w:t>
      </w:r>
      <w:r>
        <w:rPr>
          <w:color w:val="000000"/>
          <w:sz w:val="24"/>
          <w:szCs w:val="24"/>
        </w:rPr>
        <w:t>，或违规向基金托管人发出指令。</w:t>
      </w:r>
    </w:p>
    <w:p w14:paraId="458978E3" w14:textId="77777777" w:rsidR="007F0ECF" w:rsidRDefault="005B4DD9">
      <w:pPr>
        <w:adjustRightInd w:val="0"/>
        <w:spacing w:line="360" w:lineRule="auto"/>
        <w:ind w:firstLineChars="200" w:firstLine="480"/>
        <w:rPr>
          <w:color w:val="000000"/>
          <w:sz w:val="24"/>
          <w:szCs w:val="24"/>
        </w:rPr>
      </w:pPr>
      <w:r>
        <w:rPr>
          <w:color w:val="000000"/>
          <w:sz w:val="24"/>
          <w:szCs w:val="24"/>
        </w:rPr>
        <w:t>（九）基金管理人、基金托管人在行政上、财务上不独立</w:t>
      </w:r>
      <w:r>
        <w:rPr>
          <w:rFonts w:hint="eastAsia"/>
          <w:color w:val="000000"/>
          <w:sz w:val="24"/>
          <w:szCs w:val="24"/>
        </w:rPr>
        <w:t>，</w:t>
      </w:r>
      <w:r>
        <w:rPr>
          <w:color w:val="000000"/>
          <w:sz w:val="24"/>
          <w:szCs w:val="24"/>
        </w:rPr>
        <w:t>其高级管理人员和其他从业人员相互兼职。</w:t>
      </w:r>
    </w:p>
    <w:p w14:paraId="45EF85F7" w14:textId="77777777" w:rsidR="007F0ECF" w:rsidRDefault="005B4DD9">
      <w:pPr>
        <w:adjustRightInd w:val="0"/>
        <w:spacing w:line="360" w:lineRule="auto"/>
        <w:ind w:firstLineChars="200" w:firstLine="480"/>
        <w:rPr>
          <w:color w:val="000000"/>
          <w:sz w:val="24"/>
          <w:szCs w:val="24"/>
        </w:rPr>
      </w:pPr>
      <w:r>
        <w:rPr>
          <w:color w:val="000000"/>
          <w:sz w:val="24"/>
          <w:szCs w:val="24"/>
        </w:rPr>
        <w:t>（</w:t>
      </w:r>
      <w:r>
        <w:rPr>
          <w:rFonts w:hint="eastAsia"/>
          <w:color w:val="000000"/>
          <w:sz w:val="24"/>
          <w:szCs w:val="24"/>
        </w:rPr>
        <w:t>十</w:t>
      </w:r>
      <w:r>
        <w:rPr>
          <w:color w:val="000000"/>
          <w:sz w:val="24"/>
          <w:szCs w:val="24"/>
        </w:rPr>
        <w:t>）基金托管人私自动用或处分基金资产，根据基金管理人的合法指令、基金合同或托管协议的规定进行处分的除外。</w:t>
      </w:r>
    </w:p>
    <w:p w14:paraId="10F324FB" w14:textId="77777777" w:rsidR="007F0ECF" w:rsidRDefault="005B4DD9">
      <w:pPr>
        <w:adjustRightInd w:val="0"/>
        <w:spacing w:line="360" w:lineRule="auto"/>
        <w:ind w:firstLineChars="200" w:firstLine="480"/>
        <w:rPr>
          <w:color w:val="000000"/>
          <w:sz w:val="24"/>
          <w:szCs w:val="24"/>
        </w:rPr>
      </w:pPr>
      <w:r>
        <w:rPr>
          <w:color w:val="000000"/>
          <w:sz w:val="24"/>
          <w:szCs w:val="24"/>
        </w:rPr>
        <w:t>（</w:t>
      </w:r>
      <w:r>
        <w:rPr>
          <w:rFonts w:hint="eastAsia"/>
          <w:color w:val="000000"/>
          <w:sz w:val="24"/>
          <w:szCs w:val="24"/>
        </w:rPr>
        <w:t>十一</w:t>
      </w:r>
      <w:r>
        <w:rPr>
          <w:color w:val="000000"/>
          <w:sz w:val="24"/>
          <w:szCs w:val="24"/>
        </w:rPr>
        <w:t>）基金财产用于下列投资或者活动：</w:t>
      </w:r>
    </w:p>
    <w:p w14:paraId="5ADE7943" w14:textId="77777777" w:rsidR="007F0ECF" w:rsidRDefault="005B4DD9">
      <w:pPr>
        <w:adjustRightInd w:val="0"/>
        <w:spacing w:line="360" w:lineRule="auto"/>
        <w:ind w:firstLineChars="200" w:firstLine="480"/>
        <w:rPr>
          <w:sz w:val="24"/>
          <w:szCs w:val="24"/>
        </w:rPr>
      </w:pPr>
      <w:r>
        <w:rPr>
          <w:sz w:val="24"/>
          <w:szCs w:val="24"/>
        </w:rPr>
        <w:t>1</w:t>
      </w:r>
      <w:r>
        <w:rPr>
          <w:sz w:val="24"/>
          <w:szCs w:val="24"/>
        </w:rPr>
        <w:t>、承销证券；</w:t>
      </w:r>
    </w:p>
    <w:p w14:paraId="23DEF581" w14:textId="77777777" w:rsidR="007F0ECF" w:rsidRDefault="005B4DD9">
      <w:pPr>
        <w:spacing w:line="360" w:lineRule="auto"/>
        <w:ind w:firstLineChars="200" w:firstLine="480"/>
        <w:rPr>
          <w:sz w:val="24"/>
          <w:szCs w:val="24"/>
        </w:rPr>
      </w:pPr>
      <w:r>
        <w:rPr>
          <w:sz w:val="24"/>
          <w:szCs w:val="24"/>
        </w:rPr>
        <w:t>2</w:t>
      </w:r>
      <w:r>
        <w:rPr>
          <w:sz w:val="24"/>
          <w:szCs w:val="24"/>
        </w:rPr>
        <w:t>、违反规定向他人贷款或者提供担保；</w:t>
      </w:r>
    </w:p>
    <w:p w14:paraId="3B7D1A80" w14:textId="77777777" w:rsidR="007F0ECF" w:rsidRDefault="005B4DD9">
      <w:pPr>
        <w:spacing w:line="360" w:lineRule="auto"/>
        <w:ind w:firstLineChars="200" w:firstLine="480"/>
        <w:rPr>
          <w:sz w:val="24"/>
          <w:szCs w:val="24"/>
        </w:rPr>
      </w:pPr>
      <w:r>
        <w:rPr>
          <w:sz w:val="24"/>
          <w:szCs w:val="24"/>
        </w:rPr>
        <w:t>3</w:t>
      </w:r>
      <w:r>
        <w:rPr>
          <w:sz w:val="24"/>
          <w:szCs w:val="24"/>
        </w:rPr>
        <w:t>、从事承担无限责任的投资；</w:t>
      </w:r>
    </w:p>
    <w:p w14:paraId="3005CC00" w14:textId="77777777" w:rsidR="007F0ECF" w:rsidRDefault="005B4DD9">
      <w:pPr>
        <w:spacing w:line="360" w:lineRule="auto"/>
        <w:ind w:firstLineChars="200" w:firstLine="480"/>
        <w:rPr>
          <w:sz w:val="24"/>
          <w:szCs w:val="24"/>
        </w:rPr>
      </w:pPr>
      <w:r>
        <w:rPr>
          <w:rFonts w:hint="eastAsia"/>
          <w:sz w:val="24"/>
          <w:szCs w:val="24"/>
        </w:rPr>
        <w:t>4</w:t>
      </w:r>
      <w:r>
        <w:rPr>
          <w:rFonts w:hint="eastAsia"/>
          <w:sz w:val="24"/>
          <w:szCs w:val="24"/>
        </w:rPr>
        <w:t>、买卖其他基金份额，但是中国证监会另有规定的除外；</w:t>
      </w:r>
    </w:p>
    <w:p w14:paraId="2ACBD625" w14:textId="77777777" w:rsidR="007F0ECF" w:rsidRDefault="005B4DD9">
      <w:pPr>
        <w:spacing w:line="360" w:lineRule="auto"/>
        <w:ind w:firstLineChars="200" w:firstLine="480"/>
        <w:rPr>
          <w:sz w:val="24"/>
          <w:szCs w:val="24"/>
        </w:rPr>
      </w:pPr>
      <w:r>
        <w:rPr>
          <w:bCs/>
          <w:sz w:val="24"/>
        </w:rPr>
        <w:t>5</w:t>
      </w:r>
      <w:r>
        <w:rPr>
          <w:rFonts w:hint="eastAsia"/>
          <w:bCs/>
          <w:sz w:val="24"/>
        </w:rPr>
        <w:t>、</w:t>
      </w:r>
      <w:r>
        <w:rPr>
          <w:rFonts w:hint="eastAsia"/>
          <w:sz w:val="24"/>
          <w:szCs w:val="24"/>
        </w:rPr>
        <w:t>向其基金管理人、基金托管人出资；</w:t>
      </w:r>
    </w:p>
    <w:p w14:paraId="68E320BB" w14:textId="77777777" w:rsidR="007F0ECF" w:rsidRDefault="005B4DD9">
      <w:pPr>
        <w:spacing w:line="360" w:lineRule="auto"/>
        <w:ind w:firstLineChars="200" w:firstLine="480"/>
        <w:rPr>
          <w:sz w:val="24"/>
          <w:szCs w:val="24"/>
        </w:rPr>
      </w:pPr>
      <w:r>
        <w:rPr>
          <w:sz w:val="24"/>
          <w:szCs w:val="24"/>
        </w:rPr>
        <w:t>6</w:t>
      </w:r>
      <w:r>
        <w:rPr>
          <w:rFonts w:hint="eastAsia"/>
          <w:sz w:val="24"/>
          <w:szCs w:val="24"/>
        </w:rPr>
        <w:t>、从事内幕交易、操纵证券交易价格及其他不正当的证券交易活动；</w:t>
      </w:r>
    </w:p>
    <w:p w14:paraId="6C6B9739" w14:textId="77777777" w:rsidR="007F0ECF" w:rsidRDefault="005B4DD9">
      <w:pPr>
        <w:spacing w:line="360" w:lineRule="auto"/>
        <w:ind w:firstLineChars="200" w:firstLine="480"/>
        <w:rPr>
          <w:sz w:val="24"/>
          <w:szCs w:val="24"/>
        </w:rPr>
      </w:pPr>
      <w:r>
        <w:rPr>
          <w:bCs/>
          <w:sz w:val="24"/>
        </w:rPr>
        <w:t>7</w:t>
      </w:r>
      <w:r>
        <w:rPr>
          <w:rFonts w:hint="eastAsia"/>
          <w:bCs/>
          <w:sz w:val="24"/>
        </w:rPr>
        <w:t>、</w:t>
      </w:r>
      <w:r>
        <w:rPr>
          <w:rFonts w:hint="eastAsia"/>
          <w:sz w:val="24"/>
          <w:szCs w:val="24"/>
        </w:rPr>
        <w:t>法律、行政法规和中国证监会规定禁止的其他活动。</w:t>
      </w:r>
    </w:p>
    <w:p w14:paraId="7695581F" w14:textId="77777777" w:rsidR="007F0ECF" w:rsidRDefault="005B4DD9">
      <w:pPr>
        <w:spacing w:line="360" w:lineRule="auto"/>
        <w:ind w:firstLineChars="200" w:firstLine="480"/>
        <w:rPr>
          <w:sz w:val="24"/>
          <w:szCs w:val="24"/>
        </w:rPr>
      </w:pPr>
      <w:r>
        <w:rPr>
          <w:rFonts w:hint="eastAsia"/>
          <w:bCs/>
          <w:sz w:val="24"/>
        </w:rPr>
        <w:t>如法律法规或监管部门取消或变更上述限制，如适用于本基金，</w:t>
      </w:r>
      <w:r>
        <w:rPr>
          <w:bCs/>
          <w:sz w:val="24"/>
        </w:rPr>
        <w:t>基金管理人</w:t>
      </w:r>
      <w:r>
        <w:rPr>
          <w:rFonts w:hint="eastAsia"/>
          <w:bCs/>
          <w:sz w:val="24"/>
        </w:rPr>
        <w:lastRenderedPageBreak/>
        <w:t>在</w:t>
      </w:r>
      <w:r>
        <w:rPr>
          <w:bCs/>
          <w:sz w:val="24"/>
        </w:rPr>
        <w:t>履行适当程序后，则本基金投资不再受相关限制</w:t>
      </w:r>
      <w:r>
        <w:rPr>
          <w:rFonts w:hint="eastAsia"/>
          <w:bCs/>
          <w:sz w:val="24"/>
        </w:rPr>
        <w:t>或以变更后的规定为准。</w:t>
      </w:r>
    </w:p>
    <w:p w14:paraId="5A628530" w14:textId="77777777" w:rsidR="007F0ECF" w:rsidRDefault="005B4DD9">
      <w:pPr>
        <w:spacing w:line="360" w:lineRule="auto"/>
        <w:ind w:firstLineChars="200" w:firstLine="480"/>
        <w:rPr>
          <w:color w:val="000000"/>
          <w:sz w:val="24"/>
          <w:szCs w:val="24"/>
        </w:rPr>
      </w:pPr>
      <w:r>
        <w:rPr>
          <w:color w:val="000000"/>
          <w:sz w:val="24"/>
          <w:szCs w:val="24"/>
        </w:rPr>
        <w:t>（十</w:t>
      </w:r>
      <w:r>
        <w:rPr>
          <w:rFonts w:hint="eastAsia"/>
          <w:color w:val="000000"/>
          <w:sz w:val="24"/>
          <w:szCs w:val="24"/>
        </w:rPr>
        <w:t>二</w:t>
      </w:r>
      <w:r>
        <w:rPr>
          <w:color w:val="000000"/>
          <w:sz w:val="24"/>
          <w:szCs w:val="24"/>
        </w:rPr>
        <w:t>）法律法规和基金合同禁止的其他行为，以及依照法律、行政法规有关规定，由中国证监会规定禁止基金管理人、基金托管人从事的其他行为。</w:t>
      </w:r>
    </w:p>
    <w:p w14:paraId="109C59E2" w14:textId="77777777" w:rsidR="007F0ECF" w:rsidRDefault="005B4DD9">
      <w:pPr>
        <w:pStyle w:val="2"/>
        <w:spacing w:line="360" w:lineRule="auto"/>
        <w:jc w:val="center"/>
        <w:rPr>
          <w:rFonts w:ascii="Times New Roman" w:eastAsia="宋体" w:hAnsi="Times New Roman"/>
          <w:color w:val="000000"/>
          <w:sz w:val="30"/>
          <w:szCs w:val="30"/>
        </w:rPr>
      </w:pPr>
      <w:r>
        <w:rPr>
          <w:rFonts w:ascii="Times New Roman" w:eastAsia="宋体" w:hAnsi="Times New Roman"/>
          <w:b w:val="0"/>
          <w:sz w:val="24"/>
          <w:szCs w:val="24"/>
        </w:rPr>
        <w:br w:type="page"/>
      </w:r>
      <w:bookmarkStart w:id="117" w:name="_Toc497759451"/>
      <w:r>
        <w:rPr>
          <w:rFonts w:ascii="Times New Roman" w:eastAsia="宋体" w:hAnsi="Times New Roman"/>
          <w:color w:val="000000"/>
          <w:sz w:val="30"/>
          <w:szCs w:val="30"/>
        </w:rPr>
        <w:lastRenderedPageBreak/>
        <w:t>十六、托管协议的变更、终止与基金财产的清算</w:t>
      </w:r>
      <w:bookmarkEnd w:id="117"/>
    </w:p>
    <w:p w14:paraId="5930E59A" w14:textId="77777777" w:rsidR="007F0ECF" w:rsidRDefault="005B4DD9">
      <w:pPr>
        <w:adjustRightInd w:val="0"/>
        <w:spacing w:line="360" w:lineRule="auto"/>
        <w:ind w:firstLineChars="200" w:firstLine="480"/>
        <w:rPr>
          <w:color w:val="000000"/>
          <w:sz w:val="24"/>
          <w:szCs w:val="24"/>
        </w:rPr>
      </w:pPr>
      <w:r>
        <w:rPr>
          <w:color w:val="000000"/>
          <w:sz w:val="24"/>
          <w:szCs w:val="24"/>
        </w:rPr>
        <w:t>（一）托管协议的变更程序</w:t>
      </w:r>
    </w:p>
    <w:p w14:paraId="43E52F1E" w14:textId="77777777" w:rsidR="007F0ECF" w:rsidRDefault="005B4DD9">
      <w:pPr>
        <w:adjustRightInd w:val="0"/>
        <w:spacing w:line="360" w:lineRule="auto"/>
        <w:ind w:firstLineChars="200" w:firstLine="480"/>
        <w:rPr>
          <w:color w:val="000000"/>
          <w:sz w:val="24"/>
          <w:szCs w:val="24"/>
        </w:rPr>
      </w:pPr>
      <w:r>
        <w:rPr>
          <w:color w:val="000000"/>
          <w:sz w:val="24"/>
          <w:szCs w:val="24"/>
        </w:rPr>
        <w:t>本托管协议双方当事人经协商一致，可以对协议进行修改。修改后的新协议，其内容不得与基金合同的规定有任何冲突。基金托管协议的变更</w:t>
      </w:r>
      <w:bookmarkStart w:id="118" w:name="_Hlk145082016"/>
      <w:r>
        <w:rPr>
          <w:rFonts w:hint="eastAsia"/>
          <w:color w:val="000000"/>
          <w:sz w:val="24"/>
          <w:szCs w:val="24"/>
        </w:rPr>
        <w:t>需履行适当程序</w:t>
      </w:r>
      <w:bookmarkEnd w:id="118"/>
      <w:r>
        <w:rPr>
          <w:color w:val="000000"/>
          <w:sz w:val="24"/>
          <w:szCs w:val="24"/>
        </w:rPr>
        <w:t>。</w:t>
      </w:r>
    </w:p>
    <w:p w14:paraId="4A4D7A7F" w14:textId="77777777" w:rsidR="007F0ECF" w:rsidRDefault="005B4DD9">
      <w:pPr>
        <w:adjustRightInd w:val="0"/>
        <w:spacing w:line="360" w:lineRule="auto"/>
        <w:ind w:firstLineChars="200" w:firstLine="480"/>
        <w:rPr>
          <w:color w:val="000000"/>
          <w:sz w:val="24"/>
          <w:szCs w:val="24"/>
        </w:rPr>
      </w:pPr>
      <w:r>
        <w:rPr>
          <w:color w:val="000000"/>
          <w:sz w:val="24"/>
          <w:szCs w:val="24"/>
        </w:rPr>
        <w:t>（二）基金托管协议终止的情形</w:t>
      </w:r>
    </w:p>
    <w:p w14:paraId="196149DC" w14:textId="77777777" w:rsidR="007F0ECF" w:rsidRDefault="005B4DD9">
      <w:pPr>
        <w:adjustRightInd w:val="0"/>
        <w:spacing w:line="360" w:lineRule="auto"/>
        <w:ind w:firstLineChars="200" w:firstLine="480"/>
        <w:rPr>
          <w:color w:val="000000"/>
          <w:sz w:val="24"/>
          <w:szCs w:val="24"/>
        </w:rPr>
      </w:pPr>
      <w:r>
        <w:rPr>
          <w:color w:val="000000"/>
          <w:sz w:val="24"/>
          <w:szCs w:val="24"/>
        </w:rPr>
        <w:t>1</w:t>
      </w:r>
      <w:r>
        <w:rPr>
          <w:rFonts w:hint="eastAsia"/>
          <w:color w:val="000000"/>
          <w:sz w:val="24"/>
          <w:szCs w:val="24"/>
        </w:rPr>
        <w:t>、</w:t>
      </w:r>
      <w:r>
        <w:rPr>
          <w:color w:val="000000"/>
          <w:sz w:val="24"/>
          <w:szCs w:val="24"/>
        </w:rPr>
        <w:t>基金合同终止；</w:t>
      </w:r>
    </w:p>
    <w:p w14:paraId="445B29BB" w14:textId="77777777" w:rsidR="007F0ECF" w:rsidRDefault="005B4DD9">
      <w:pPr>
        <w:adjustRightInd w:val="0"/>
        <w:spacing w:line="360" w:lineRule="auto"/>
        <w:ind w:firstLineChars="200" w:firstLine="480"/>
        <w:rPr>
          <w:color w:val="000000"/>
          <w:sz w:val="24"/>
          <w:szCs w:val="24"/>
        </w:rPr>
      </w:pPr>
      <w:r>
        <w:rPr>
          <w:color w:val="000000"/>
          <w:sz w:val="24"/>
          <w:szCs w:val="24"/>
        </w:rPr>
        <w:t>2</w:t>
      </w:r>
      <w:r>
        <w:rPr>
          <w:rFonts w:hint="eastAsia"/>
          <w:color w:val="000000"/>
          <w:sz w:val="24"/>
          <w:szCs w:val="24"/>
        </w:rPr>
        <w:t>、</w:t>
      </w:r>
      <w:r>
        <w:rPr>
          <w:color w:val="000000"/>
          <w:sz w:val="24"/>
          <w:szCs w:val="24"/>
        </w:rPr>
        <w:t>基金托管人解散、依法被撤销、破产或由其他基金托管人接管基金资产；</w:t>
      </w:r>
    </w:p>
    <w:p w14:paraId="785CB63C" w14:textId="77777777" w:rsidR="007F0ECF" w:rsidRDefault="005B4DD9">
      <w:pPr>
        <w:adjustRightInd w:val="0"/>
        <w:spacing w:line="360" w:lineRule="auto"/>
        <w:ind w:firstLineChars="200" w:firstLine="480"/>
        <w:rPr>
          <w:color w:val="000000"/>
          <w:sz w:val="24"/>
          <w:szCs w:val="24"/>
        </w:rPr>
      </w:pPr>
      <w:r>
        <w:rPr>
          <w:color w:val="000000"/>
          <w:sz w:val="24"/>
          <w:szCs w:val="24"/>
        </w:rPr>
        <w:t>3</w:t>
      </w:r>
      <w:r>
        <w:rPr>
          <w:rFonts w:hint="eastAsia"/>
          <w:color w:val="000000"/>
          <w:sz w:val="24"/>
          <w:szCs w:val="24"/>
        </w:rPr>
        <w:t>、</w:t>
      </w:r>
      <w:r>
        <w:rPr>
          <w:color w:val="000000"/>
          <w:sz w:val="24"/>
          <w:szCs w:val="24"/>
        </w:rPr>
        <w:t>基金管理人解散、依法被撤销、破产或由其他基金管理人接管基金管理权；</w:t>
      </w:r>
    </w:p>
    <w:p w14:paraId="17C80AB2" w14:textId="77777777" w:rsidR="007F0ECF" w:rsidRDefault="005B4DD9">
      <w:pPr>
        <w:adjustRightInd w:val="0"/>
        <w:spacing w:line="360" w:lineRule="auto"/>
        <w:ind w:firstLineChars="200" w:firstLine="480"/>
        <w:rPr>
          <w:color w:val="000000"/>
          <w:sz w:val="24"/>
          <w:szCs w:val="24"/>
        </w:rPr>
      </w:pPr>
      <w:r>
        <w:rPr>
          <w:color w:val="000000"/>
          <w:sz w:val="24"/>
          <w:szCs w:val="24"/>
        </w:rPr>
        <w:t>4</w:t>
      </w:r>
      <w:r>
        <w:rPr>
          <w:rFonts w:hint="eastAsia"/>
          <w:color w:val="000000"/>
          <w:sz w:val="24"/>
          <w:szCs w:val="24"/>
        </w:rPr>
        <w:t>、</w:t>
      </w:r>
      <w:r>
        <w:rPr>
          <w:color w:val="000000"/>
          <w:sz w:val="24"/>
          <w:szCs w:val="24"/>
        </w:rPr>
        <w:t>发生法律法规</w:t>
      </w:r>
      <w:r>
        <w:rPr>
          <w:rFonts w:hint="eastAsia"/>
          <w:color w:val="000000"/>
          <w:sz w:val="24"/>
          <w:szCs w:val="24"/>
        </w:rPr>
        <w:t>、中国证监会</w:t>
      </w:r>
      <w:r>
        <w:rPr>
          <w:color w:val="000000"/>
          <w:sz w:val="24"/>
          <w:szCs w:val="24"/>
        </w:rPr>
        <w:t>或基金合同规定的终止事项。</w:t>
      </w:r>
    </w:p>
    <w:p w14:paraId="704EFB8B" w14:textId="77777777" w:rsidR="007F0ECF" w:rsidRDefault="005B4DD9">
      <w:pPr>
        <w:adjustRightInd w:val="0"/>
        <w:spacing w:line="360" w:lineRule="auto"/>
        <w:ind w:firstLineChars="200" w:firstLine="480"/>
        <w:rPr>
          <w:color w:val="000000"/>
          <w:sz w:val="24"/>
          <w:szCs w:val="24"/>
        </w:rPr>
      </w:pPr>
      <w:r>
        <w:rPr>
          <w:color w:val="000000"/>
          <w:sz w:val="24"/>
          <w:szCs w:val="24"/>
        </w:rPr>
        <w:t>（三）基金财产的清算</w:t>
      </w:r>
    </w:p>
    <w:p w14:paraId="2114FC22" w14:textId="77777777" w:rsidR="007F0ECF" w:rsidRDefault="005B4DD9">
      <w:pPr>
        <w:adjustRightInd w:val="0"/>
        <w:spacing w:line="360" w:lineRule="auto"/>
        <w:ind w:firstLineChars="200" w:firstLine="480"/>
        <w:rPr>
          <w:color w:val="000000"/>
          <w:sz w:val="24"/>
          <w:szCs w:val="24"/>
        </w:rPr>
      </w:pPr>
      <w:r>
        <w:rPr>
          <w:color w:val="000000"/>
          <w:sz w:val="24"/>
          <w:szCs w:val="24"/>
        </w:rPr>
        <w:t>1</w:t>
      </w:r>
      <w:r>
        <w:rPr>
          <w:rFonts w:hint="eastAsia"/>
          <w:color w:val="000000"/>
          <w:sz w:val="24"/>
          <w:szCs w:val="24"/>
        </w:rPr>
        <w:t>、</w:t>
      </w:r>
      <w:r>
        <w:rPr>
          <w:color w:val="000000"/>
          <w:sz w:val="24"/>
          <w:szCs w:val="24"/>
        </w:rPr>
        <w:t>基金财产清算小组</w:t>
      </w:r>
    </w:p>
    <w:p w14:paraId="3D1968E9"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w:t>
      </w:r>
      <w:r>
        <w:rPr>
          <w:color w:val="000000"/>
          <w:sz w:val="24"/>
          <w:szCs w:val="24"/>
        </w:rPr>
        <w:t>1</w:t>
      </w:r>
      <w:r>
        <w:rPr>
          <w:rFonts w:hint="eastAsia"/>
          <w:color w:val="000000"/>
          <w:sz w:val="24"/>
          <w:szCs w:val="24"/>
        </w:rPr>
        <w:t>）自出现《基金合同》终止事由</w:t>
      </w:r>
      <w:r>
        <w:rPr>
          <w:bCs/>
          <w:sz w:val="24"/>
        </w:rPr>
        <w:t>之日起</w:t>
      </w:r>
      <w:r>
        <w:rPr>
          <w:bCs/>
          <w:sz w:val="24"/>
        </w:rPr>
        <w:t>30</w:t>
      </w:r>
      <w:r>
        <w:rPr>
          <w:bCs/>
          <w:sz w:val="24"/>
        </w:rPr>
        <w:t>个工作日内成立清算小组，基金管理人组织基金财产清算小组并在中国证监会的监督下进行基金清算</w:t>
      </w:r>
      <w:r>
        <w:rPr>
          <w:color w:val="000000"/>
          <w:sz w:val="24"/>
          <w:szCs w:val="24"/>
        </w:rPr>
        <w:t>。</w:t>
      </w:r>
    </w:p>
    <w:p w14:paraId="12DA9434"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w:t>
      </w:r>
      <w:r>
        <w:rPr>
          <w:color w:val="000000"/>
          <w:sz w:val="24"/>
          <w:szCs w:val="24"/>
        </w:rPr>
        <w:t>2</w:t>
      </w:r>
      <w:r>
        <w:rPr>
          <w:rFonts w:hint="eastAsia"/>
          <w:color w:val="000000"/>
          <w:sz w:val="24"/>
          <w:szCs w:val="24"/>
        </w:rPr>
        <w:t>）</w:t>
      </w:r>
      <w:r>
        <w:rPr>
          <w:bCs/>
          <w:sz w:val="24"/>
        </w:rPr>
        <w:t>基金财产清算小组成员由基金管理人、基金托管人、</w:t>
      </w:r>
      <w:r>
        <w:rPr>
          <w:rFonts w:hint="eastAsia"/>
          <w:bCs/>
          <w:sz w:val="24"/>
        </w:rPr>
        <w:t>符合《中华人民共和国证券法》规定</w:t>
      </w:r>
      <w:r>
        <w:rPr>
          <w:bCs/>
          <w:sz w:val="24"/>
        </w:rPr>
        <w:t>的注册会计师、律师以及中国证监会指定的人员组成。基金财产清算小组可以聘用必要的工作人员</w:t>
      </w:r>
      <w:r>
        <w:rPr>
          <w:color w:val="000000"/>
          <w:sz w:val="24"/>
          <w:szCs w:val="24"/>
        </w:rPr>
        <w:t>。</w:t>
      </w:r>
    </w:p>
    <w:p w14:paraId="66745565"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w:t>
      </w:r>
      <w:r>
        <w:rPr>
          <w:rFonts w:hint="eastAsia"/>
          <w:color w:val="000000"/>
          <w:sz w:val="24"/>
          <w:szCs w:val="24"/>
        </w:rPr>
        <w:t>3</w:t>
      </w:r>
      <w:r>
        <w:rPr>
          <w:rFonts w:hint="eastAsia"/>
          <w:color w:val="000000"/>
          <w:sz w:val="24"/>
          <w:szCs w:val="24"/>
        </w:rPr>
        <w:t>）</w:t>
      </w:r>
      <w:r>
        <w:rPr>
          <w:bCs/>
          <w:sz w:val="24"/>
        </w:rPr>
        <w:t>基金财产清算小组负责基金财产的保管、清理、估价、变现和分配。基金财产清算小组可以依法进行必要的民事活动</w:t>
      </w:r>
      <w:r>
        <w:rPr>
          <w:color w:val="000000"/>
          <w:sz w:val="24"/>
          <w:szCs w:val="24"/>
        </w:rPr>
        <w:t>。</w:t>
      </w:r>
    </w:p>
    <w:p w14:paraId="17FD00F9" w14:textId="77777777" w:rsidR="007F0ECF" w:rsidRDefault="005B4DD9">
      <w:pPr>
        <w:adjustRightInd w:val="0"/>
        <w:spacing w:line="360" w:lineRule="auto"/>
        <w:ind w:firstLineChars="200" w:firstLine="480"/>
        <w:rPr>
          <w:color w:val="000000"/>
          <w:sz w:val="24"/>
          <w:szCs w:val="24"/>
        </w:rPr>
      </w:pPr>
      <w:r>
        <w:rPr>
          <w:color w:val="000000"/>
          <w:sz w:val="24"/>
          <w:szCs w:val="24"/>
        </w:rPr>
        <w:t>2</w:t>
      </w:r>
      <w:r>
        <w:rPr>
          <w:rFonts w:hint="eastAsia"/>
          <w:color w:val="000000"/>
          <w:sz w:val="24"/>
          <w:szCs w:val="24"/>
        </w:rPr>
        <w:t>、</w:t>
      </w:r>
      <w:r>
        <w:rPr>
          <w:color w:val="000000"/>
          <w:sz w:val="24"/>
          <w:szCs w:val="24"/>
        </w:rPr>
        <w:t>基金财产清算程序</w:t>
      </w:r>
    </w:p>
    <w:p w14:paraId="601B1EE8"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w:t>
      </w:r>
      <w:r>
        <w:rPr>
          <w:color w:val="000000"/>
          <w:sz w:val="24"/>
          <w:szCs w:val="24"/>
        </w:rPr>
        <w:t>1</w:t>
      </w:r>
      <w:r>
        <w:rPr>
          <w:rFonts w:hint="eastAsia"/>
          <w:color w:val="000000"/>
          <w:sz w:val="24"/>
          <w:szCs w:val="24"/>
        </w:rPr>
        <w:t>）</w:t>
      </w:r>
      <w:r>
        <w:rPr>
          <w:color w:val="000000"/>
          <w:sz w:val="24"/>
          <w:szCs w:val="24"/>
        </w:rPr>
        <w:t>基金合同终止</w:t>
      </w:r>
      <w:r>
        <w:rPr>
          <w:rFonts w:hint="eastAsia"/>
          <w:color w:val="000000"/>
          <w:sz w:val="24"/>
          <w:szCs w:val="24"/>
        </w:rPr>
        <w:t>情形出现</w:t>
      </w:r>
      <w:r>
        <w:rPr>
          <w:color w:val="000000"/>
          <w:sz w:val="24"/>
          <w:szCs w:val="24"/>
        </w:rPr>
        <w:t>时，由基金财产清算小组统一接管基金；</w:t>
      </w:r>
    </w:p>
    <w:p w14:paraId="0B7D8AF1" w14:textId="77777777" w:rsidR="007F0ECF" w:rsidRDefault="005B4DD9">
      <w:pPr>
        <w:spacing w:line="360" w:lineRule="auto"/>
        <w:ind w:firstLineChars="200" w:firstLine="480"/>
        <w:rPr>
          <w:bCs/>
          <w:sz w:val="24"/>
        </w:rPr>
      </w:pPr>
      <w:r>
        <w:rPr>
          <w:rFonts w:hint="eastAsia"/>
          <w:color w:val="000000"/>
          <w:sz w:val="24"/>
          <w:szCs w:val="24"/>
        </w:rPr>
        <w:t>（</w:t>
      </w:r>
      <w:r>
        <w:rPr>
          <w:color w:val="000000"/>
          <w:sz w:val="24"/>
          <w:szCs w:val="24"/>
        </w:rPr>
        <w:t>2</w:t>
      </w:r>
      <w:r>
        <w:rPr>
          <w:rFonts w:hint="eastAsia"/>
          <w:color w:val="000000"/>
          <w:sz w:val="24"/>
          <w:szCs w:val="24"/>
        </w:rPr>
        <w:t>）</w:t>
      </w:r>
      <w:r>
        <w:rPr>
          <w:bCs/>
          <w:sz w:val="24"/>
        </w:rPr>
        <w:t>对基金财产和债权债务进行清理和确认；</w:t>
      </w:r>
    </w:p>
    <w:p w14:paraId="6A47FF2A" w14:textId="77777777" w:rsidR="007F0ECF" w:rsidRDefault="005B4DD9">
      <w:pPr>
        <w:spacing w:line="360" w:lineRule="auto"/>
        <w:ind w:firstLineChars="200" w:firstLine="480"/>
        <w:rPr>
          <w:bCs/>
          <w:sz w:val="24"/>
        </w:rPr>
      </w:pPr>
      <w:r>
        <w:rPr>
          <w:bCs/>
          <w:sz w:val="24"/>
        </w:rPr>
        <w:t>（</w:t>
      </w:r>
      <w:r>
        <w:rPr>
          <w:bCs/>
          <w:sz w:val="24"/>
        </w:rPr>
        <w:t>3</w:t>
      </w:r>
      <w:r>
        <w:rPr>
          <w:bCs/>
          <w:sz w:val="24"/>
        </w:rPr>
        <w:t>）对基金财产进行估值和变现；</w:t>
      </w:r>
    </w:p>
    <w:p w14:paraId="6714D043" w14:textId="77777777" w:rsidR="007F0ECF" w:rsidRDefault="005B4DD9">
      <w:pPr>
        <w:spacing w:line="360" w:lineRule="auto"/>
        <w:ind w:firstLineChars="200" w:firstLine="480"/>
        <w:rPr>
          <w:bCs/>
          <w:sz w:val="24"/>
        </w:rPr>
      </w:pPr>
      <w:r>
        <w:rPr>
          <w:bCs/>
          <w:sz w:val="24"/>
        </w:rPr>
        <w:t>（</w:t>
      </w:r>
      <w:r>
        <w:rPr>
          <w:bCs/>
          <w:sz w:val="24"/>
        </w:rPr>
        <w:t>4</w:t>
      </w:r>
      <w:r>
        <w:rPr>
          <w:bCs/>
          <w:sz w:val="24"/>
        </w:rPr>
        <w:t>）制作清算报告；</w:t>
      </w:r>
    </w:p>
    <w:p w14:paraId="24868AA9" w14:textId="77777777" w:rsidR="007F0ECF" w:rsidRDefault="005B4DD9">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58823395" w14:textId="77777777" w:rsidR="007F0ECF" w:rsidRDefault="005B4DD9">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1601D231" w14:textId="77777777" w:rsidR="007F0ECF" w:rsidRDefault="005B4DD9">
      <w:pPr>
        <w:adjustRightInd w:val="0"/>
        <w:spacing w:line="360" w:lineRule="auto"/>
        <w:ind w:firstLineChars="200" w:firstLine="480"/>
        <w:rPr>
          <w:color w:val="000000"/>
          <w:sz w:val="24"/>
          <w:szCs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color w:val="000000"/>
          <w:sz w:val="24"/>
          <w:szCs w:val="24"/>
        </w:rPr>
        <w:t>。</w:t>
      </w:r>
    </w:p>
    <w:p w14:paraId="5EE96D54" w14:textId="77777777" w:rsidR="007F0ECF" w:rsidRDefault="005B4DD9">
      <w:pPr>
        <w:spacing w:line="360" w:lineRule="auto"/>
        <w:ind w:firstLineChars="200" w:firstLine="480"/>
        <w:rPr>
          <w:color w:val="000000"/>
          <w:sz w:val="24"/>
          <w:szCs w:val="24"/>
        </w:rPr>
      </w:pPr>
      <w:r>
        <w:rPr>
          <w:rFonts w:hint="eastAsia"/>
          <w:color w:val="000000"/>
          <w:sz w:val="24"/>
          <w:szCs w:val="24"/>
        </w:rPr>
        <w:t>基金财产清算的期限为</w:t>
      </w:r>
      <w:r>
        <w:rPr>
          <w:color w:val="000000"/>
          <w:sz w:val="24"/>
          <w:szCs w:val="24"/>
        </w:rPr>
        <w:t>6</w:t>
      </w:r>
      <w:r>
        <w:rPr>
          <w:rFonts w:hint="eastAsia"/>
          <w:color w:val="000000"/>
          <w:sz w:val="24"/>
          <w:szCs w:val="24"/>
        </w:rPr>
        <w:t>个月，</w:t>
      </w:r>
      <w:r>
        <w:rPr>
          <w:rFonts w:hint="eastAsia"/>
          <w:bCs/>
          <w:sz w:val="24"/>
        </w:rPr>
        <w:t>但因本基金所持证券的流动性受到限制而不</w:t>
      </w:r>
      <w:r>
        <w:rPr>
          <w:rFonts w:hint="eastAsia"/>
          <w:bCs/>
          <w:sz w:val="24"/>
        </w:rPr>
        <w:lastRenderedPageBreak/>
        <w:t>能及时变现的，清算期限相应顺延。</w:t>
      </w:r>
    </w:p>
    <w:p w14:paraId="3C140CF4" w14:textId="77777777" w:rsidR="007F0ECF" w:rsidRDefault="005B4DD9">
      <w:pPr>
        <w:adjustRightInd w:val="0"/>
        <w:spacing w:line="360" w:lineRule="auto"/>
        <w:ind w:firstLineChars="200" w:firstLine="480"/>
        <w:rPr>
          <w:color w:val="000000"/>
          <w:sz w:val="24"/>
          <w:szCs w:val="24"/>
        </w:rPr>
      </w:pPr>
      <w:r>
        <w:rPr>
          <w:color w:val="000000"/>
          <w:sz w:val="24"/>
          <w:szCs w:val="24"/>
        </w:rPr>
        <w:t>3</w:t>
      </w:r>
      <w:r>
        <w:rPr>
          <w:rFonts w:hint="eastAsia"/>
          <w:color w:val="000000"/>
          <w:sz w:val="24"/>
          <w:szCs w:val="24"/>
        </w:rPr>
        <w:t>、</w:t>
      </w:r>
      <w:r>
        <w:rPr>
          <w:color w:val="000000"/>
          <w:sz w:val="24"/>
          <w:szCs w:val="24"/>
        </w:rPr>
        <w:t>清算费用</w:t>
      </w:r>
    </w:p>
    <w:p w14:paraId="6841B385" w14:textId="77777777" w:rsidR="007F0ECF" w:rsidRDefault="005B4DD9">
      <w:pPr>
        <w:adjustRightInd w:val="0"/>
        <w:spacing w:line="360" w:lineRule="auto"/>
        <w:ind w:firstLineChars="200" w:firstLine="480"/>
        <w:rPr>
          <w:color w:val="000000"/>
          <w:sz w:val="24"/>
          <w:szCs w:val="24"/>
        </w:rPr>
      </w:pPr>
      <w:r>
        <w:rPr>
          <w:bCs/>
          <w:sz w:val="24"/>
        </w:rPr>
        <w:t>清算费用是指基金财产清算小组在进行基金清算过程中发生的所有合理费用，清算费用由基金财产清算小组优先从基金</w:t>
      </w:r>
      <w:r>
        <w:rPr>
          <w:rFonts w:hint="eastAsia"/>
          <w:bCs/>
          <w:sz w:val="24"/>
        </w:rPr>
        <w:t>剩余</w:t>
      </w:r>
      <w:r>
        <w:rPr>
          <w:bCs/>
          <w:sz w:val="24"/>
        </w:rPr>
        <w:t>财产中支付</w:t>
      </w:r>
      <w:r>
        <w:rPr>
          <w:color w:val="000000"/>
          <w:sz w:val="24"/>
          <w:szCs w:val="24"/>
        </w:rPr>
        <w:t>。</w:t>
      </w:r>
    </w:p>
    <w:p w14:paraId="3B90EF13" w14:textId="77777777" w:rsidR="007F0ECF" w:rsidRDefault="005B4DD9">
      <w:pPr>
        <w:adjustRightInd w:val="0"/>
        <w:spacing w:line="360" w:lineRule="auto"/>
        <w:ind w:firstLineChars="200" w:firstLine="480"/>
        <w:rPr>
          <w:color w:val="000000"/>
          <w:sz w:val="24"/>
          <w:szCs w:val="24"/>
        </w:rPr>
      </w:pPr>
      <w:r>
        <w:rPr>
          <w:color w:val="000000"/>
          <w:sz w:val="24"/>
          <w:szCs w:val="24"/>
        </w:rPr>
        <w:t>4</w:t>
      </w:r>
      <w:r>
        <w:rPr>
          <w:rFonts w:hint="eastAsia"/>
          <w:color w:val="000000"/>
          <w:sz w:val="24"/>
          <w:szCs w:val="24"/>
        </w:rPr>
        <w:t>、基金财产清算剩余资产的分配</w:t>
      </w:r>
    </w:p>
    <w:p w14:paraId="42308C1C" w14:textId="77777777" w:rsidR="007F0ECF" w:rsidRDefault="005B4DD9">
      <w:pPr>
        <w:adjustRightInd w:val="0"/>
        <w:spacing w:line="360" w:lineRule="auto"/>
        <w:ind w:firstLineChars="200" w:firstLine="480"/>
        <w:rPr>
          <w:color w:val="000000"/>
          <w:sz w:val="24"/>
          <w:szCs w:val="24"/>
        </w:rPr>
      </w:pPr>
      <w:r>
        <w:rPr>
          <w:bCs/>
          <w:sz w:val="24"/>
        </w:rPr>
        <w:t>依据基金财产清算的分配方案，将基金财产清算后的全部剩余资产扣除基金财产清算费用、交纳所欠税款并清偿基金债务后，按基金份额持有人持有的各类基金份额比例进行分配</w:t>
      </w:r>
      <w:r>
        <w:rPr>
          <w:rFonts w:hint="eastAsia"/>
          <w:color w:val="000000"/>
          <w:sz w:val="24"/>
          <w:szCs w:val="24"/>
        </w:rPr>
        <w:t>。</w:t>
      </w:r>
    </w:p>
    <w:p w14:paraId="5B7BF0B4" w14:textId="77777777" w:rsidR="007F0ECF" w:rsidRDefault="005B4DD9">
      <w:pPr>
        <w:adjustRightInd w:val="0"/>
        <w:spacing w:line="360" w:lineRule="auto"/>
        <w:ind w:firstLineChars="200" w:firstLine="480"/>
        <w:rPr>
          <w:color w:val="000000"/>
          <w:sz w:val="24"/>
          <w:szCs w:val="24"/>
        </w:rPr>
      </w:pPr>
      <w:r>
        <w:rPr>
          <w:color w:val="000000"/>
          <w:sz w:val="24"/>
          <w:szCs w:val="24"/>
        </w:rPr>
        <w:t>5</w:t>
      </w:r>
      <w:r>
        <w:rPr>
          <w:rFonts w:hint="eastAsia"/>
          <w:color w:val="000000"/>
          <w:sz w:val="24"/>
          <w:szCs w:val="24"/>
        </w:rPr>
        <w:t>、</w:t>
      </w:r>
      <w:r>
        <w:rPr>
          <w:color w:val="000000"/>
          <w:sz w:val="24"/>
          <w:szCs w:val="24"/>
        </w:rPr>
        <w:t>基金财产清算的公告</w:t>
      </w:r>
    </w:p>
    <w:p w14:paraId="3CCDFDC3" w14:textId="77777777" w:rsidR="007F0ECF" w:rsidRDefault="005B4DD9">
      <w:pPr>
        <w:adjustRightInd w:val="0"/>
        <w:spacing w:line="360" w:lineRule="auto"/>
        <w:ind w:firstLineChars="200" w:firstLine="480"/>
        <w:rPr>
          <w:color w:val="000000"/>
          <w:sz w:val="24"/>
          <w:szCs w:val="24"/>
        </w:rPr>
      </w:pPr>
      <w:r>
        <w:rPr>
          <w:bCs/>
          <w:sz w:val="24"/>
        </w:rPr>
        <w:t>清算过程中的有关重大事项须及时公告；基金财产清算报告</w:t>
      </w:r>
      <w:proofErr w:type="gramStart"/>
      <w:r>
        <w:rPr>
          <w:bCs/>
          <w:sz w:val="24"/>
        </w:rPr>
        <w:t>经</w:t>
      </w:r>
      <w:r>
        <w:rPr>
          <w:rFonts w:hint="eastAsia"/>
          <w:bCs/>
          <w:sz w:val="24"/>
        </w:rPr>
        <w:t>符合</w:t>
      </w:r>
      <w:proofErr w:type="gramEnd"/>
      <w:r>
        <w:rPr>
          <w:rFonts w:hint="eastAsia"/>
          <w:bCs/>
          <w:sz w:val="24"/>
        </w:rPr>
        <w:t>《中华人民共和国证券法》规定的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个工作日内由基金财产清算小组进行公告。基金财产清算小组应当将清算报告登载在</w:t>
      </w:r>
      <w:r>
        <w:rPr>
          <w:rFonts w:hint="eastAsia"/>
          <w:bCs/>
          <w:sz w:val="24"/>
        </w:rPr>
        <w:t>规定</w:t>
      </w:r>
      <w:r>
        <w:rPr>
          <w:bCs/>
          <w:sz w:val="24"/>
        </w:rPr>
        <w:t>网站上</w:t>
      </w:r>
      <w:r>
        <w:rPr>
          <w:rFonts w:hint="eastAsia"/>
          <w:bCs/>
          <w:sz w:val="24"/>
        </w:rPr>
        <w:t>，并将清算报告提示性公告登载在规定报刊上</w:t>
      </w:r>
      <w:r>
        <w:rPr>
          <w:color w:val="000000"/>
          <w:sz w:val="24"/>
          <w:szCs w:val="24"/>
        </w:rPr>
        <w:t>。</w:t>
      </w:r>
    </w:p>
    <w:p w14:paraId="458CE98C" w14:textId="77777777" w:rsidR="007F0ECF" w:rsidRDefault="005B4DD9">
      <w:pPr>
        <w:adjustRightInd w:val="0"/>
        <w:spacing w:line="360" w:lineRule="auto"/>
        <w:ind w:firstLineChars="200" w:firstLine="480"/>
        <w:rPr>
          <w:color w:val="000000"/>
          <w:sz w:val="24"/>
          <w:szCs w:val="24"/>
        </w:rPr>
      </w:pPr>
      <w:r>
        <w:rPr>
          <w:color w:val="000000"/>
          <w:sz w:val="24"/>
          <w:szCs w:val="24"/>
        </w:rPr>
        <w:t>6</w:t>
      </w:r>
      <w:r>
        <w:rPr>
          <w:rFonts w:hint="eastAsia"/>
          <w:color w:val="000000"/>
          <w:sz w:val="24"/>
          <w:szCs w:val="24"/>
        </w:rPr>
        <w:t>、</w:t>
      </w:r>
      <w:r>
        <w:rPr>
          <w:color w:val="000000"/>
          <w:sz w:val="24"/>
          <w:szCs w:val="24"/>
        </w:rPr>
        <w:t>基金财产清算账册及文件的保存</w:t>
      </w:r>
    </w:p>
    <w:p w14:paraId="49E8732E" w14:textId="77777777" w:rsidR="007F0ECF" w:rsidRDefault="005B4DD9">
      <w:pPr>
        <w:adjustRightInd w:val="0"/>
        <w:spacing w:line="360" w:lineRule="auto"/>
        <w:ind w:firstLineChars="200" w:firstLine="480"/>
        <w:rPr>
          <w:color w:val="000000"/>
          <w:sz w:val="24"/>
          <w:szCs w:val="24"/>
        </w:rPr>
      </w:pPr>
      <w:r>
        <w:rPr>
          <w:bCs/>
          <w:sz w:val="24"/>
        </w:rPr>
        <w:t>基金财产清算账册及有关文件由基金托管人保存</w:t>
      </w:r>
      <w:r>
        <w:rPr>
          <w:rFonts w:hint="eastAsia"/>
          <w:bCs/>
          <w:sz w:val="24"/>
        </w:rPr>
        <w:t>，保存期限不低于法律法规规定的最低期限</w:t>
      </w:r>
      <w:r>
        <w:rPr>
          <w:rFonts w:hint="eastAsia"/>
          <w:color w:val="000000"/>
          <w:sz w:val="24"/>
          <w:szCs w:val="24"/>
        </w:rPr>
        <w:t>。</w:t>
      </w:r>
    </w:p>
    <w:p w14:paraId="759784F3" w14:textId="77777777" w:rsidR="007F0ECF" w:rsidRDefault="005B4DD9">
      <w:pPr>
        <w:pStyle w:val="2"/>
        <w:spacing w:line="360" w:lineRule="auto"/>
        <w:jc w:val="center"/>
        <w:rPr>
          <w:rFonts w:ascii="Times New Roman" w:eastAsia="宋体" w:hAnsi="Times New Roman"/>
          <w:color w:val="000000"/>
          <w:sz w:val="30"/>
          <w:szCs w:val="30"/>
        </w:rPr>
      </w:pPr>
      <w:r>
        <w:rPr>
          <w:rFonts w:ascii="Times New Roman" w:eastAsia="宋体" w:hAnsi="Times New Roman"/>
          <w:color w:val="000000"/>
          <w:sz w:val="24"/>
          <w:szCs w:val="24"/>
        </w:rPr>
        <w:br w:type="page"/>
      </w:r>
      <w:bookmarkStart w:id="119" w:name="_Toc497759452"/>
      <w:r>
        <w:rPr>
          <w:rFonts w:ascii="Times New Roman" w:eastAsia="宋体" w:hAnsi="Times New Roman"/>
          <w:color w:val="000000"/>
          <w:sz w:val="30"/>
          <w:szCs w:val="30"/>
        </w:rPr>
        <w:lastRenderedPageBreak/>
        <w:t>十七、违约责任</w:t>
      </w:r>
      <w:bookmarkEnd w:id="119"/>
    </w:p>
    <w:p w14:paraId="50D444EE" w14:textId="77777777" w:rsidR="007F0ECF" w:rsidRDefault="005B4DD9">
      <w:pPr>
        <w:adjustRightInd w:val="0"/>
        <w:spacing w:line="360" w:lineRule="auto"/>
        <w:ind w:firstLineChars="200" w:firstLine="480"/>
        <w:rPr>
          <w:color w:val="000000"/>
          <w:sz w:val="24"/>
          <w:szCs w:val="24"/>
        </w:rPr>
      </w:pPr>
      <w:r>
        <w:rPr>
          <w:color w:val="000000"/>
          <w:sz w:val="24"/>
          <w:szCs w:val="24"/>
        </w:rPr>
        <w:t>（一）基金管理人、基金托管人不履行本协议或履行本</w:t>
      </w:r>
      <w:r>
        <w:rPr>
          <w:rFonts w:hint="eastAsia"/>
          <w:color w:val="000000"/>
          <w:sz w:val="24"/>
          <w:szCs w:val="24"/>
        </w:rPr>
        <w:t>托管</w:t>
      </w:r>
      <w:r>
        <w:rPr>
          <w:color w:val="000000"/>
          <w:sz w:val="24"/>
          <w:szCs w:val="24"/>
        </w:rPr>
        <w:t>协议不符合约定的，应当承担违约责任。</w:t>
      </w:r>
    </w:p>
    <w:p w14:paraId="7A65329A" w14:textId="77777777" w:rsidR="007F0ECF" w:rsidRDefault="005B4DD9">
      <w:pPr>
        <w:adjustRightInd w:val="0"/>
        <w:spacing w:line="360" w:lineRule="auto"/>
        <w:ind w:firstLineChars="200" w:firstLine="480"/>
        <w:rPr>
          <w:color w:val="000000"/>
          <w:sz w:val="24"/>
          <w:szCs w:val="24"/>
        </w:rPr>
      </w:pPr>
      <w:r>
        <w:rPr>
          <w:color w:val="000000"/>
          <w:sz w:val="24"/>
          <w:szCs w:val="24"/>
        </w:rPr>
        <w:t>（二）</w:t>
      </w:r>
      <w:r>
        <w:rPr>
          <w:bCs/>
          <w:sz w:val="24"/>
        </w:rPr>
        <w:t>基金管理人、基金托管人在履行各自职责的过程中，违反《基金法》等法律法规的规定或者基金合同</w:t>
      </w:r>
      <w:r>
        <w:rPr>
          <w:rFonts w:hint="eastAsia"/>
          <w:bCs/>
          <w:sz w:val="24"/>
        </w:rPr>
        <w:t>和本协议的</w:t>
      </w:r>
      <w:r>
        <w:rPr>
          <w:bCs/>
          <w:sz w:val="24"/>
        </w:rPr>
        <w:t>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color w:val="000000"/>
          <w:sz w:val="24"/>
          <w:szCs w:val="24"/>
        </w:rPr>
        <w:t>。</w:t>
      </w:r>
    </w:p>
    <w:p w14:paraId="17533D7A" w14:textId="77777777" w:rsidR="007F0ECF" w:rsidRDefault="005B4DD9">
      <w:pPr>
        <w:spacing w:line="360" w:lineRule="auto"/>
        <w:ind w:firstLineChars="200" w:firstLine="480"/>
        <w:rPr>
          <w:bCs/>
          <w:sz w:val="24"/>
        </w:rPr>
      </w:pPr>
      <w:r>
        <w:rPr>
          <w:rFonts w:hint="eastAsia"/>
          <w:bCs/>
          <w:sz w:val="24"/>
        </w:rPr>
        <w:t>（三）当事人违约，给另一方当事人造成损失的，应就直接损失进行赔偿；给基金资产造成损失的，应就直接损失进行赔偿，另一方当事人有权利及义务代表基金向违约方追偿。但是如发生下列情况，当事人免责：</w:t>
      </w:r>
    </w:p>
    <w:p w14:paraId="6F6A2ACA" w14:textId="77777777" w:rsidR="007F0ECF" w:rsidRDefault="005B4DD9">
      <w:pPr>
        <w:spacing w:line="360" w:lineRule="auto"/>
        <w:ind w:firstLineChars="200" w:firstLine="480"/>
        <w:rPr>
          <w:bCs/>
          <w:sz w:val="24"/>
        </w:rPr>
      </w:pPr>
      <w:r>
        <w:rPr>
          <w:rFonts w:hint="eastAsia"/>
          <w:bCs/>
          <w:sz w:val="24"/>
        </w:rPr>
        <w:t>1</w:t>
      </w:r>
      <w:r>
        <w:rPr>
          <w:rFonts w:hint="eastAsia"/>
          <w:bCs/>
          <w:sz w:val="24"/>
        </w:rPr>
        <w:t>、不可抗力；</w:t>
      </w:r>
    </w:p>
    <w:p w14:paraId="56F86D6F" w14:textId="77777777" w:rsidR="007F0ECF" w:rsidRDefault="005B4DD9">
      <w:pPr>
        <w:spacing w:line="360" w:lineRule="auto"/>
        <w:ind w:firstLineChars="200" w:firstLine="480"/>
        <w:rPr>
          <w:bCs/>
          <w:sz w:val="24"/>
        </w:rPr>
      </w:pPr>
      <w:r>
        <w:rPr>
          <w:rFonts w:hint="eastAsia"/>
          <w:bCs/>
          <w:sz w:val="24"/>
        </w:rPr>
        <w:t>2</w:t>
      </w:r>
      <w:r>
        <w:rPr>
          <w:rFonts w:hint="eastAsia"/>
          <w:bCs/>
          <w:sz w:val="24"/>
        </w:rPr>
        <w:t>、基金管理人和</w:t>
      </w:r>
      <w:r>
        <w:rPr>
          <w:rFonts w:hint="eastAsia"/>
          <w:bCs/>
          <w:sz w:val="24"/>
        </w:rPr>
        <w:t>/</w:t>
      </w:r>
      <w:r>
        <w:rPr>
          <w:rFonts w:hint="eastAsia"/>
          <w:bCs/>
          <w:sz w:val="24"/>
        </w:rPr>
        <w:t>或基金托管人按照当时有效的法律法规或中国证监会的规定作为或不作为而造成的损失等；</w:t>
      </w:r>
    </w:p>
    <w:p w14:paraId="138B2474" w14:textId="77777777" w:rsidR="007F0ECF" w:rsidRDefault="005B4DD9">
      <w:pPr>
        <w:adjustRightInd w:val="0"/>
        <w:spacing w:line="360" w:lineRule="auto"/>
        <w:ind w:firstLineChars="200" w:firstLine="480"/>
        <w:rPr>
          <w:color w:val="000000"/>
          <w:sz w:val="24"/>
          <w:szCs w:val="24"/>
        </w:rPr>
      </w:pPr>
      <w:r>
        <w:rPr>
          <w:rFonts w:hint="eastAsia"/>
          <w:bCs/>
          <w:sz w:val="24"/>
        </w:rPr>
        <w:t>3</w:t>
      </w:r>
      <w:r>
        <w:rPr>
          <w:rFonts w:hint="eastAsia"/>
          <w:bCs/>
          <w:sz w:val="24"/>
        </w:rPr>
        <w:t>、基金管理人由于按照基金合同规定的</w:t>
      </w:r>
      <w:r>
        <w:rPr>
          <w:bCs/>
          <w:sz w:val="24"/>
        </w:rPr>
        <w:t>投资原则</w:t>
      </w:r>
      <w:r>
        <w:rPr>
          <w:rFonts w:hint="eastAsia"/>
          <w:bCs/>
          <w:sz w:val="24"/>
        </w:rPr>
        <w:t>行使或不行使其投资权造成的损失等。</w:t>
      </w:r>
    </w:p>
    <w:p w14:paraId="5C02238C" w14:textId="77777777" w:rsidR="007F0ECF" w:rsidRDefault="005B4DD9">
      <w:pPr>
        <w:adjustRightInd w:val="0"/>
        <w:spacing w:line="360" w:lineRule="auto"/>
        <w:ind w:firstLineChars="200" w:firstLine="480"/>
        <w:rPr>
          <w:color w:val="000000"/>
          <w:sz w:val="24"/>
          <w:szCs w:val="24"/>
        </w:rPr>
      </w:pPr>
      <w:r>
        <w:rPr>
          <w:color w:val="000000"/>
          <w:sz w:val="24"/>
          <w:szCs w:val="24"/>
        </w:rPr>
        <w:t>（</w:t>
      </w:r>
      <w:r>
        <w:rPr>
          <w:rFonts w:hint="eastAsia"/>
          <w:color w:val="000000"/>
          <w:sz w:val="24"/>
          <w:szCs w:val="24"/>
        </w:rPr>
        <w:t>四</w:t>
      </w:r>
      <w:r>
        <w:rPr>
          <w:color w:val="000000"/>
          <w:sz w:val="24"/>
          <w:szCs w:val="24"/>
        </w:rPr>
        <w:t>）</w:t>
      </w:r>
      <w:r>
        <w:rPr>
          <w:bCs/>
          <w:sz w:val="24"/>
        </w:rPr>
        <w:t>非违约方当事人在职责范围内有义务及时采取必要的措施，防止损失的扩大。没有采取适当措施致使损失进一步扩大的，不得就扩大的损失要求赔偿。非违约方因防止损失扩大而支出的合理费用由违约方承担</w:t>
      </w:r>
      <w:r>
        <w:rPr>
          <w:rFonts w:hint="eastAsia"/>
          <w:color w:val="000000"/>
          <w:sz w:val="24"/>
          <w:szCs w:val="24"/>
        </w:rPr>
        <w:t>。</w:t>
      </w:r>
    </w:p>
    <w:p w14:paraId="591A8E8B" w14:textId="77777777" w:rsidR="007F0ECF" w:rsidRDefault="005B4DD9">
      <w:pPr>
        <w:adjustRightInd w:val="0"/>
        <w:spacing w:line="360" w:lineRule="auto"/>
        <w:ind w:firstLineChars="200" w:firstLine="480"/>
        <w:rPr>
          <w:color w:val="000000"/>
          <w:sz w:val="24"/>
          <w:szCs w:val="24"/>
        </w:rPr>
      </w:pPr>
      <w:r>
        <w:rPr>
          <w:color w:val="000000"/>
          <w:sz w:val="24"/>
          <w:szCs w:val="24"/>
        </w:rPr>
        <w:t>（</w:t>
      </w:r>
      <w:r>
        <w:rPr>
          <w:rFonts w:hint="eastAsia"/>
          <w:color w:val="000000"/>
          <w:sz w:val="24"/>
          <w:szCs w:val="24"/>
        </w:rPr>
        <w:t>五</w:t>
      </w:r>
      <w:r>
        <w:rPr>
          <w:color w:val="000000"/>
          <w:sz w:val="24"/>
          <w:szCs w:val="24"/>
        </w:rPr>
        <w:t>）违约行为虽已发生，但本托管协议能够继续履行的，在最大限度地保护基金份额持有人利益的前提下，基金管理人和基金托管人应当继续履行本协议。</w:t>
      </w:r>
      <w:proofErr w:type="gramStart"/>
      <w:r>
        <w:rPr>
          <w:color w:val="000000"/>
          <w:sz w:val="24"/>
          <w:szCs w:val="24"/>
        </w:rPr>
        <w:t>若基金</w:t>
      </w:r>
      <w:proofErr w:type="gramEnd"/>
      <w:r>
        <w:rPr>
          <w:color w:val="000000"/>
          <w:sz w:val="24"/>
          <w:szCs w:val="24"/>
        </w:rPr>
        <w:t>管理人或基金托管人因履行本协议而被起诉，另一方应提供合理的必要支持。</w:t>
      </w:r>
    </w:p>
    <w:p w14:paraId="6ADB5EC8" w14:textId="77777777" w:rsidR="007F0ECF" w:rsidRDefault="005B4DD9">
      <w:pPr>
        <w:adjustRightInd w:val="0"/>
        <w:spacing w:line="360" w:lineRule="auto"/>
        <w:ind w:firstLineChars="200" w:firstLine="480"/>
        <w:rPr>
          <w:color w:val="000000"/>
          <w:sz w:val="24"/>
          <w:szCs w:val="24"/>
        </w:rPr>
      </w:pPr>
      <w:r>
        <w:rPr>
          <w:rFonts w:hint="eastAsia"/>
          <w:color w:val="000000"/>
          <w:sz w:val="24"/>
          <w:szCs w:val="24"/>
        </w:rPr>
        <w:t>（六）</w:t>
      </w:r>
      <w:r>
        <w:rPr>
          <w:bCs/>
          <w:sz w:val="24"/>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hint="eastAsia"/>
          <w:bCs/>
          <w:sz w:val="24"/>
        </w:rPr>
        <w:t>或减轻</w:t>
      </w:r>
      <w:r>
        <w:rPr>
          <w:bCs/>
          <w:sz w:val="24"/>
        </w:rPr>
        <w:t>由此造成的影响</w:t>
      </w:r>
      <w:r>
        <w:rPr>
          <w:rFonts w:hint="eastAsia"/>
          <w:color w:val="000000"/>
          <w:sz w:val="24"/>
          <w:szCs w:val="24"/>
        </w:rPr>
        <w:t>。</w:t>
      </w:r>
    </w:p>
    <w:p w14:paraId="7CD01B42" w14:textId="77777777" w:rsidR="007F0ECF" w:rsidRDefault="005B4DD9">
      <w:pPr>
        <w:pStyle w:val="2"/>
        <w:spacing w:line="360" w:lineRule="auto"/>
        <w:jc w:val="center"/>
        <w:rPr>
          <w:rFonts w:ascii="Times New Roman" w:eastAsia="宋体" w:hAnsi="Times New Roman"/>
          <w:color w:val="000000"/>
          <w:sz w:val="30"/>
          <w:szCs w:val="30"/>
        </w:rPr>
      </w:pPr>
      <w:bookmarkStart w:id="120" w:name="_Toc497759453"/>
      <w:r>
        <w:rPr>
          <w:rFonts w:ascii="Times New Roman" w:eastAsia="宋体" w:hAnsi="Times New Roman"/>
          <w:color w:val="000000"/>
          <w:sz w:val="30"/>
          <w:szCs w:val="30"/>
        </w:rPr>
        <w:lastRenderedPageBreak/>
        <w:t>十八、争议解决方式</w:t>
      </w:r>
      <w:bookmarkEnd w:id="120"/>
    </w:p>
    <w:p w14:paraId="56B2B5E0" w14:textId="77777777" w:rsidR="007F0ECF" w:rsidRDefault="005B4DD9">
      <w:pPr>
        <w:adjustRightInd w:val="0"/>
        <w:spacing w:line="360" w:lineRule="auto"/>
        <w:ind w:firstLineChars="200" w:firstLine="480"/>
        <w:rPr>
          <w:color w:val="000000"/>
          <w:sz w:val="24"/>
          <w:szCs w:val="24"/>
        </w:rPr>
      </w:pPr>
      <w:bookmarkStart w:id="121" w:name="_Hlk104887871"/>
      <w:r>
        <w:rPr>
          <w:color w:val="000000"/>
          <w:sz w:val="24"/>
          <w:szCs w:val="24"/>
        </w:rPr>
        <w:t>因本协议产生或与之相关的争议，双方当事人应通过协商解决，协商不能解决的，任何一方均</w:t>
      </w:r>
      <w:r>
        <w:rPr>
          <w:rFonts w:hint="eastAsia"/>
          <w:bCs/>
          <w:sz w:val="24"/>
        </w:rPr>
        <w:t>应</w:t>
      </w:r>
      <w:r>
        <w:rPr>
          <w:color w:val="000000"/>
          <w:sz w:val="24"/>
          <w:szCs w:val="24"/>
        </w:rPr>
        <w:t>将争议提交</w:t>
      </w:r>
      <w:bookmarkStart w:id="122" w:name="_Hlk145000788"/>
      <w:r>
        <w:rPr>
          <w:color w:val="000000"/>
          <w:sz w:val="24"/>
          <w:szCs w:val="24"/>
        </w:rPr>
        <w:t>中国国际经济贸易仲裁委员会</w:t>
      </w:r>
      <w:bookmarkEnd w:id="122"/>
      <w:r>
        <w:rPr>
          <w:color w:val="000000"/>
          <w:sz w:val="24"/>
          <w:szCs w:val="24"/>
        </w:rPr>
        <w:t>，按照中国国际经济贸易仲裁委员会届时有效的仲裁规则进行仲裁，仲裁地点为北京市。仲裁裁决是终局的，对</w:t>
      </w:r>
      <w:r>
        <w:rPr>
          <w:rFonts w:hint="eastAsia"/>
          <w:color w:val="000000"/>
          <w:sz w:val="24"/>
          <w:szCs w:val="24"/>
        </w:rPr>
        <w:t>双方</w:t>
      </w:r>
      <w:r>
        <w:rPr>
          <w:color w:val="000000"/>
          <w:sz w:val="24"/>
          <w:szCs w:val="24"/>
        </w:rPr>
        <w:t>当事人均有约束力。</w:t>
      </w:r>
      <w:r>
        <w:rPr>
          <w:rFonts w:hint="eastAsia"/>
          <w:color w:val="000000"/>
          <w:sz w:val="24"/>
          <w:szCs w:val="24"/>
        </w:rPr>
        <w:t>除非仲裁裁决另有规定，仲裁费由败诉方承担。</w:t>
      </w:r>
      <w:bookmarkEnd w:id="121"/>
    </w:p>
    <w:p w14:paraId="20F838CE" w14:textId="77777777" w:rsidR="007F0ECF" w:rsidRDefault="005B4DD9">
      <w:pPr>
        <w:adjustRightInd w:val="0"/>
        <w:spacing w:line="360" w:lineRule="auto"/>
        <w:ind w:firstLineChars="200" w:firstLine="480"/>
        <w:rPr>
          <w:color w:val="000000"/>
          <w:sz w:val="24"/>
          <w:szCs w:val="24"/>
        </w:rPr>
      </w:pPr>
      <w:r>
        <w:rPr>
          <w:color w:val="000000"/>
          <w:sz w:val="24"/>
          <w:szCs w:val="24"/>
        </w:rPr>
        <w:t>争议处理期间，双方当事人应恪守基金管理人和基金托管人职责，各自继续忠实、勤勉、尽责地履行基金合同和本托管协议规定的义务，维护基金份额持有人的合法权益。</w:t>
      </w:r>
    </w:p>
    <w:p w14:paraId="6DA7F5EC" w14:textId="77777777" w:rsidR="007F0ECF" w:rsidRDefault="005B4DD9">
      <w:pPr>
        <w:adjustRightInd w:val="0"/>
        <w:spacing w:line="360" w:lineRule="auto"/>
        <w:ind w:firstLineChars="200" w:firstLine="480"/>
        <w:rPr>
          <w:sz w:val="24"/>
          <w:szCs w:val="24"/>
        </w:rPr>
      </w:pPr>
      <w:bookmarkStart w:id="123" w:name="_Hlk104887909"/>
      <w:r>
        <w:rPr>
          <w:rFonts w:hint="eastAsia"/>
          <w:sz w:val="24"/>
          <w:szCs w:val="24"/>
        </w:rPr>
        <w:t>本协议适用中华人民共和国法律（为本托管协议之目的，在此不包括香港、澳门特别行政区和台湾地区法律）并从其解释。</w:t>
      </w:r>
      <w:bookmarkEnd w:id="123"/>
    </w:p>
    <w:p w14:paraId="5F925CB0" w14:textId="77777777" w:rsidR="007F0ECF" w:rsidRDefault="005B4DD9">
      <w:pPr>
        <w:pStyle w:val="2"/>
        <w:spacing w:line="360" w:lineRule="auto"/>
        <w:jc w:val="center"/>
        <w:rPr>
          <w:rFonts w:ascii="Times New Roman" w:eastAsia="宋体" w:hAnsi="Times New Roman"/>
          <w:color w:val="000000"/>
          <w:sz w:val="30"/>
          <w:szCs w:val="30"/>
        </w:rPr>
      </w:pPr>
      <w:r>
        <w:rPr>
          <w:rFonts w:ascii="Times New Roman" w:eastAsia="宋体" w:hAnsi="Times New Roman"/>
          <w:sz w:val="24"/>
          <w:szCs w:val="24"/>
        </w:rPr>
        <w:br w:type="page"/>
      </w:r>
      <w:bookmarkStart w:id="124" w:name="_Toc497759454"/>
      <w:r>
        <w:rPr>
          <w:rFonts w:ascii="Times New Roman" w:eastAsia="宋体" w:hAnsi="Times New Roman"/>
          <w:color w:val="000000"/>
          <w:sz w:val="30"/>
          <w:szCs w:val="30"/>
        </w:rPr>
        <w:lastRenderedPageBreak/>
        <w:t>十九、托管协议的效力</w:t>
      </w:r>
      <w:bookmarkEnd w:id="124"/>
    </w:p>
    <w:p w14:paraId="0CFAB2D1" w14:textId="77777777" w:rsidR="007F0ECF" w:rsidRDefault="005B4DD9">
      <w:pPr>
        <w:adjustRightInd w:val="0"/>
        <w:spacing w:line="360" w:lineRule="auto"/>
        <w:ind w:firstLineChars="200" w:firstLine="480"/>
        <w:rPr>
          <w:color w:val="000000"/>
          <w:sz w:val="24"/>
          <w:szCs w:val="24"/>
        </w:rPr>
      </w:pPr>
      <w:r>
        <w:rPr>
          <w:color w:val="000000"/>
          <w:sz w:val="24"/>
          <w:szCs w:val="24"/>
        </w:rPr>
        <w:t>双方对托管协议的效力约定如下：</w:t>
      </w:r>
    </w:p>
    <w:p w14:paraId="08AABE77" w14:textId="77777777" w:rsidR="007F0ECF" w:rsidRDefault="005B4DD9">
      <w:pPr>
        <w:adjustRightInd w:val="0"/>
        <w:spacing w:line="360" w:lineRule="auto"/>
        <w:ind w:firstLineChars="200" w:firstLine="480"/>
        <w:rPr>
          <w:color w:val="000000"/>
          <w:sz w:val="24"/>
          <w:szCs w:val="24"/>
        </w:rPr>
      </w:pPr>
      <w:r>
        <w:rPr>
          <w:color w:val="000000"/>
          <w:sz w:val="24"/>
          <w:szCs w:val="24"/>
        </w:rPr>
        <w:t>（一）基金管理人在向中国证监会申请发售基金份额时提交的托管协议草案，应经托管协议当事人双方盖章以及双方法定代表人或授权代表</w:t>
      </w:r>
      <w:r>
        <w:rPr>
          <w:rFonts w:hint="eastAsia"/>
          <w:color w:val="000000"/>
          <w:sz w:val="24"/>
          <w:szCs w:val="24"/>
        </w:rPr>
        <w:t>签字（或盖章）</w:t>
      </w:r>
      <w:r>
        <w:rPr>
          <w:color w:val="000000"/>
          <w:sz w:val="24"/>
          <w:szCs w:val="24"/>
        </w:rPr>
        <w:t>，协议当事人双方根据中国证监会的意见修改托管协议草案。托管协议以中国证监会</w:t>
      </w:r>
      <w:r>
        <w:rPr>
          <w:rFonts w:hint="eastAsia"/>
          <w:color w:val="000000"/>
          <w:sz w:val="24"/>
          <w:szCs w:val="24"/>
        </w:rPr>
        <w:t>注册</w:t>
      </w:r>
      <w:r>
        <w:rPr>
          <w:color w:val="000000"/>
          <w:sz w:val="24"/>
          <w:szCs w:val="24"/>
        </w:rPr>
        <w:t>的文本为正式文本。</w:t>
      </w:r>
    </w:p>
    <w:p w14:paraId="19599A19" w14:textId="77777777" w:rsidR="007F0ECF" w:rsidRDefault="005B4DD9">
      <w:pPr>
        <w:adjustRightInd w:val="0"/>
        <w:spacing w:line="360" w:lineRule="auto"/>
        <w:ind w:firstLineChars="200" w:firstLine="480"/>
        <w:rPr>
          <w:color w:val="000000"/>
          <w:sz w:val="24"/>
          <w:szCs w:val="24"/>
        </w:rPr>
      </w:pPr>
      <w:r>
        <w:rPr>
          <w:color w:val="000000"/>
          <w:sz w:val="24"/>
          <w:szCs w:val="24"/>
        </w:rPr>
        <w:t>（二）托管协议自基金合同成立之日起成立，自基金合同生效之日起生效。托管协议的有效期自其生效之日起至基金财产清算</w:t>
      </w:r>
      <w:r>
        <w:rPr>
          <w:rFonts w:hint="eastAsia"/>
          <w:color w:val="000000"/>
          <w:sz w:val="24"/>
          <w:szCs w:val="24"/>
        </w:rPr>
        <w:t>报告</w:t>
      </w:r>
      <w:r>
        <w:rPr>
          <w:color w:val="000000"/>
          <w:sz w:val="24"/>
          <w:szCs w:val="24"/>
        </w:rPr>
        <w:t>报中国证监会</w:t>
      </w:r>
      <w:r>
        <w:rPr>
          <w:rFonts w:hint="eastAsia"/>
          <w:color w:val="000000"/>
          <w:sz w:val="24"/>
          <w:szCs w:val="24"/>
        </w:rPr>
        <w:t>备案</w:t>
      </w:r>
      <w:r>
        <w:rPr>
          <w:color w:val="000000"/>
          <w:sz w:val="24"/>
          <w:szCs w:val="24"/>
        </w:rPr>
        <w:t>并公告之日止。</w:t>
      </w:r>
    </w:p>
    <w:p w14:paraId="1D7973C5" w14:textId="77777777" w:rsidR="007F0ECF" w:rsidRDefault="005B4DD9">
      <w:pPr>
        <w:adjustRightInd w:val="0"/>
        <w:spacing w:line="360" w:lineRule="auto"/>
        <w:ind w:firstLineChars="200" w:firstLine="480"/>
        <w:rPr>
          <w:color w:val="000000"/>
          <w:sz w:val="24"/>
          <w:szCs w:val="24"/>
        </w:rPr>
      </w:pPr>
      <w:r>
        <w:rPr>
          <w:color w:val="000000"/>
          <w:sz w:val="24"/>
          <w:szCs w:val="24"/>
        </w:rPr>
        <w:t>（三）托管协议自生效之日对托管协议当事人具有同等的法律约束力。</w:t>
      </w:r>
    </w:p>
    <w:p w14:paraId="575B195E" w14:textId="77777777" w:rsidR="007F0ECF" w:rsidRDefault="005B4DD9">
      <w:pPr>
        <w:adjustRightInd w:val="0"/>
        <w:spacing w:line="360" w:lineRule="auto"/>
        <w:ind w:firstLineChars="200" w:firstLine="480"/>
        <w:rPr>
          <w:color w:val="000000"/>
          <w:sz w:val="24"/>
          <w:szCs w:val="24"/>
        </w:rPr>
      </w:pPr>
      <w:r>
        <w:rPr>
          <w:color w:val="000000"/>
          <w:sz w:val="24"/>
          <w:szCs w:val="24"/>
        </w:rPr>
        <w:t>（四）本协议一式</w:t>
      </w:r>
      <w:r>
        <w:rPr>
          <w:rFonts w:hint="eastAsia"/>
          <w:color w:val="000000"/>
          <w:sz w:val="24"/>
          <w:szCs w:val="24"/>
        </w:rPr>
        <w:t>六</w:t>
      </w:r>
      <w:r>
        <w:rPr>
          <w:color w:val="000000"/>
          <w:sz w:val="24"/>
          <w:szCs w:val="24"/>
        </w:rPr>
        <w:t>份，协议双方各持</w:t>
      </w:r>
      <w:r>
        <w:rPr>
          <w:rFonts w:hint="eastAsia"/>
          <w:bCs/>
          <w:sz w:val="24"/>
        </w:rPr>
        <w:t>两</w:t>
      </w:r>
      <w:r>
        <w:rPr>
          <w:color w:val="000000"/>
          <w:sz w:val="24"/>
          <w:szCs w:val="24"/>
        </w:rPr>
        <w:t>份，上报</w:t>
      </w:r>
      <w:r>
        <w:rPr>
          <w:rFonts w:hint="eastAsia"/>
          <w:color w:val="000000"/>
          <w:sz w:val="24"/>
          <w:szCs w:val="24"/>
        </w:rPr>
        <w:t>有关监管部门两</w:t>
      </w:r>
      <w:r>
        <w:rPr>
          <w:color w:val="000000"/>
          <w:sz w:val="24"/>
          <w:szCs w:val="24"/>
        </w:rPr>
        <w:t>份，每份具有同等法律效力。</w:t>
      </w:r>
    </w:p>
    <w:p w14:paraId="5CE90BF4" w14:textId="77777777" w:rsidR="007F0ECF" w:rsidRDefault="005B4DD9">
      <w:pPr>
        <w:pStyle w:val="2"/>
        <w:spacing w:line="360" w:lineRule="auto"/>
        <w:jc w:val="center"/>
        <w:rPr>
          <w:rFonts w:ascii="Times New Roman" w:eastAsia="宋体" w:hAnsi="Times New Roman"/>
          <w:color w:val="000000"/>
          <w:sz w:val="30"/>
          <w:szCs w:val="30"/>
        </w:rPr>
      </w:pPr>
      <w:r>
        <w:rPr>
          <w:rFonts w:ascii="Times New Roman" w:eastAsia="宋体" w:hAnsi="Times New Roman"/>
          <w:b w:val="0"/>
          <w:color w:val="000000"/>
          <w:sz w:val="24"/>
          <w:szCs w:val="24"/>
        </w:rPr>
        <w:br w:type="page"/>
      </w:r>
      <w:bookmarkStart w:id="125" w:name="_Toc497759455"/>
      <w:r>
        <w:rPr>
          <w:rFonts w:ascii="Times New Roman" w:eastAsia="宋体" w:hAnsi="Times New Roman"/>
          <w:color w:val="000000"/>
          <w:sz w:val="30"/>
          <w:szCs w:val="30"/>
        </w:rPr>
        <w:lastRenderedPageBreak/>
        <w:t>二十、其他事项</w:t>
      </w:r>
      <w:bookmarkEnd w:id="125"/>
    </w:p>
    <w:p w14:paraId="737C838D" w14:textId="77777777" w:rsidR="007F0ECF" w:rsidRDefault="005B4DD9">
      <w:pPr>
        <w:adjustRightInd w:val="0"/>
        <w:spacing w:line="360" w:lineRule="auto"/>
        <w:ind w:firstLineChars="200" w:firstLine="480"/>
        <w:rPr>
          <w:color w:val="000000"/>
          <w:sz w:val="24"/>
          <w:szCs w:val="24"/>
        </w:rPr>
      </w:pPr>
      <w:r>
        <w:rPr>
          <w:color w:val="000000"/>
          <w:sz w:val="24"/>
          <w:szCs w:val="24"/>
        </w:rPr>
        <w:t>除本协议有明确定义外，本协议的用语定义适用基金合同的约定。本协议未尽事宜，当事人依据基金合同、有关法律法规等规定协商办理。</w:t>
      </w:r>
    </w:p>
    <w:p w14:paraId="0ACFB85B" w14:textId="77777777" w:rsidR="007F0ECF" w:rsidRDefault="005B4DD9">
      <w:pPr>
        <w:pStyle w:val="2"/>
        <w:spacing w:line="360" w:lineRule="auto"/>
        <w:jc w:val="center"/>
        <w:rPr>
          <w:rFonts w:ascii="Times New Roman" w:eastAsia="宋体" w:hAnsi="Times New Roman"/>
          <w:color w:val="000000"/>
          <w:sz w:val="30"/>
          <w:szCs w:val="30"/>
        </w:rPr>
      </w:pPr>
      <w:r>
        <w:rPr>
          <w:rFonts w:ascii="Times New Roman" w:eastAsia="宋体" w:hAnsi="Times New Roman"/>
          <w:b w:val="0"/>
          <w:color w:val="000000"/>
          <w:sz w:val="24"/>
          <w:szCs w:val="24"/>
        </w:rPr>
        <w:br w:type="page"/>
      </w:r>
      <w:bookmarkStart w:id="126" w:name="_Toc497759456"/>
      <w:r>
        <w:rPr>
          <w:rFonts w:ascii="Times New Roman" w:eastAsia="宋体" w:hAnsi="Times New Roman"/>
          <w:color w:val="000000"/>
          <w:sz w:val="30"/>
          <w:szCs w:val="30"/>
        </w:rPr>
        <w:lastRenderedPageBreak/>
        <w:t>二十一、托管协议的签订</w:t>
      </w:r>
      <w:bookmarkEnd w:id="126"/>
    </w:p>
    <w:p w14:paraId="792B8DE0" w14:textId="77777777" w:rsidR="007F0ECF" w:rsidRDefault="005B4DD9">
      <w:pPr>
        <w:adjustRightInd w:val="0"/>
        <w:spacing w:line="360" w:lineRule="auto"/>
        <w:ind w:firstLineChars="200" w:firstLine="480"/>
        <w:rPr>
          <w:color w:val="000000"/>
          <w:sz w:val="24"/>
          <w:szCs w:val="24"/>
        </w:rPr>
      </w:pPr>
      <w:r>
        <w:rPr>
          <w:color w:val="000000"/>
          <w:sz w:val="24"/>
          <w:szCs w:val="24"/>
        </w:rPr>
        <w:t>本协议双方法定代表人或授权代表</w:t>
      </w:r>
      <w:r>
        <w:rPr>
          <w:rFonts w:hint="eastAsia"/>
          <w:color w:val="000000"/>
          <w:sz w:val="24"/>
          <w:szCs w:val="24"/>
        </w:rPr>
        <w:t>签字或</w:t>
      </w:r>
      <w:r>
        <w:rPr>
          <w:color w:val="000000"/>
          <w:sz w:val="24"/>
          <w:szCs w:val="24"/>
        </w:rPr>
        <w:t>签章、签订地、签订日</w:t>
      </w:r>
      <w:bookmarkStart w:id="127" w:name="_Hlt89590562"/>
      <w:bookmarkEnd w:id="0"/>
      <w:bookmarkEnd w:id="127"/>
    </w:p>
    <w:p w14:paraId="5EC2A3FE" w14:textId="77777777" w:rsidR="007F0ECF" w:rsidRDefault="005B4DD9">
      <w:pPr>
        <w:widowControl/>
        <w:jc w:val="left"/>
        <w:rPr>
          <w:color w:val="000000"/>
          <w:sz w:val="24"/>
          <w:szCs w:val="24"/>
        </w:rPr>
      </w:pPr>
      <w:r>
        <w:rPr>
          <w:color w:val="000000"/>
          <w:sz w:val="24"/>
          <w:szCs w:val="24"/>
        </w:rPr>
        <w:br w:type="page"/>
      </w:r>
    </w:p>
    <w:p w14:paraId="0B800E98" w14:textId="7047AC39" w:rsidR="007F0ECF" w:rsidRDefault="005B4DD9">
      <w:pPr>
        <w:adjustRightInd w:val="0"/>
        <w:spacing w:line="360" w:lineRule="auto"/>
        <w:ind w:firstLine="420"/>
        <w:rPr>
          <w:szCs w:val="24"/>
        </w:rPr>
      </w:pPr>
      <w:r>
        <w:rPr>
          <w:rFonts w:hint="eastAsia"/>
          <w:szCs w:val="24"/>
        </w:rPr>
        <w:lastRenderedPageBreak/>
        <w:t>（本页无正文，为《华泰柏瑞上证科创板综合指数增强型证券投资基金托管协议》的签字页）</w:t>
      </w:r>
    </w:p>
    <w:p w14:paraId="4ABC9963" w14:textId="77777777" w:rsidR="007F0ECF" w:rsidRDefault="007F0ECF">
      <w:pPr>
        <w:adjustRightInd w:val="0"/>
        <w:spacing w:line="360" w:lineRule="auto"/>
        <w:ind w:firstLineChars="200" w:firstLine="420"/>
        <w:rPr>
          <w:szCs w:val="24"/>
        </w:rPr>
      </w:pPr>
    </w:p>
    <w:p w14:paraId="40553F56" w14:textId="77777777" w:rsidR="007F0ECF" w:rsidRDefault="007F0ECF">
      <w:pPr>
        <w:adjustRightInd w:val="0"/>
        <w:spacing w:line="360" w:lineRule="auto"/>
        <w:ind w:firstLineChars="200" w:firstLine="420"/>
        <w:rPr>
          <w:szCs w:val="24"/>
        </w:rPr>
      </w:pPr>
    </w:p>
    <w:p w14:paraId="216B8DF3" w14:textId="77777777" w:rsidR="007F0ECF" w:rsidRDefault="005B4DD9">
      <w:pPr>
        <w:adjustRightInd w:val="0"/>
        <w:spacing w:line="360" w:lineRule="auto"/>
        <w:ind w:firstLineChars="200" w:firstLine="420"/>
        <w:rPr>
          <w:szCs w:val="24"/>
        </w:rPr>
      </w:pPr>
      <w:r>
        <w:rPr>
          <w:rFonts w:hint="eastAsia"/>
          <w:szCs w:val="24"/>
        </w:rPr>
        <w:t>基金管理人：华泰柏瑞基金管理有限公司（公章或合同专用章）</w:t>
      </w:r>
    </w:p>
    <w:p w14:paraId="36317699" w14:textId="77777777" w:rsidR="007F0ECF" w:rsidRDefault="007F0ECF">
      <w:pPr>
        <w:adjustRightInd w:val="0"/>
        <w:spacing w:line="360" w:lineRule="auto"/>
        <w:ind w:firstLineChars="200" w:firstLine="420"/>
        <w:rPr>
          <w:szCs w:val="24"/>
        </w:rPr>
      </w:pPr>
    </w:p>
    <w:p w14:paraId="229FA4D3" w14:textId="77777777" w:rsidR="007F0ECF" w:rsidRDefault="007F0ECF">
      <w:pPr>
        <w:adjustRightInd w:val="0"/>
        <w:spacing w:line="360" w:lineRule="auto"/>
        <w:ind w:firstLineChars="200" w:firstLine="420"/>
        <w:rPr>
          <w:szCs w:val="24"/>
        </w:rPr>
      </w:pPr>
    </w:p>
    <w:p w14:paraId="6182F2F0" w14:textId="77777777" w:rsidR="007F0ECF" w:rsidRDefault="007F0ECF">
      <w:pPr>
        <w:adjustRightInd w:val="0"/>
        <w:spacing w:line="360" w:lineRule="auto"/>
        <w:ind w:firstLineChars="200" w:firstLine="420"/>
        <w:rPr>
          <w:szCs w:val="24"/>
        </w:rPr>
      </w:pPr>
    </w:p>
    <w:p w14:paraId="77AEDB8B" w14:textId="77777777" w:rsidR="007F0ECF" w:rsidRDefault="005B4DD9">
      <w:pPr>
        <w:adjustRightInd w:val="0"/>
        <w:spacing w:line="360" w:lineRule="auto"/>
        <w:ind w:firstLineChars="200" w:firstLine="420"/>
        <w:rPr>
          <w:szCs w:val="24"/>
        </w:rPr>
      </w:pPr>
      <w:r>
        <w:rPr>
          <w:rFonts w:hint="eastAsia"/>
          <w:szCs w:val="24"/>
        </w:rPr>
        <w:t>法定代表人</w:t>
      </w:r>
    </w:p>
    <w:p w14:paraId="0A295517" w14:textId="77777777" w:rsidR="007F0ECF" w:rsidRDefault="005B4DD9">
      <w:pPr>
        <w:adjustRightInd w:val="0"/>
        <w:spacing w:line="360" w:lineRule="auto"/>
        <w:ind w:firstLineChars="200" w:firstLine="420"/>
        <w:rPr>
          <w:szCs w:val="24"/>
        </w:rPr>
      </w:pPr>
      <w:r>
        <w:rPr>
          <w:rFonts w:hint="eastAsia"/>
          <w:szCs w:val="24"/>
        </w:rPr>
        <w:t>（或授权代理人）：</w:t>
      </w:r>
      <w:r>
        <w:rPr>
          <w:rFonts w:hint="eastAsia"/>
          <w:szCs w:val="24"/>
        </w:rPr>
        <w:t xml:space="preserve">           </w:t>
      </w:r>
    </w:p>
    <w:p w14:paraId="6EB214EA" w14:textId="77777777" w:rsidR="007F0ECF" w:rsidRDefault="007F0ECF">
      <w:pPr>
        <w:adjustRightInd w:val="0"/>
        <w:spacing w:line="360" w:lineRule="auto"/>
        <w:ind w:firstLineChars="200" w:firstLine="420"/>
        <w:rPr>
          <w:szCs w:val="24"/>
        </w:rPr>
      </w:pPr>
    </w:p>
    <w:p w14:paraId="40D952BD" w14:textId="77777777" w:rsidR="007F0ECF" w:rsidRDefault="007F0ECF">
      <w:pPr>
        <w:adjustRightInd w:val="0"/>
        <w:spacing w:line="360" w:lineRule="auto"/>
        <w:ind w:firstLineChars="200" w:firstLine="420"/>
        <w:rPr>
          <w:szCs w:val="24"/>
        </w:rPr>
      </w:pPr>
    </w:p>
    <w:p w14:paraId="6C47EEB4" w14:textId="77777777" w:rsidR="007F0ECF" w:rsidRDefault="007F0ECF">
      <w:pPr>
        <w:adjustRightInd w:val="0"/>
        <w:spacing w:line="360" w:lineRule="auto"/>
        <w:ind w:firstLineChars="200" w:firstLine="420"/>
        <w:rPr>
          <w:szCs w:val="24"/>
        </w:rPr>
      </w:pPr>
    </w:p>
    <w:p w14:paraId="1E9D6BA0" w14:textId="77777777" w:rsidR="007F0ECF" w:rsidRDefault="005B4DD9">
      <w:pPr>
        <w:adjustRightInd w:val="0"/>
        <w:spacing w:line="360" w:lineRule="auto"/>
        <w:ind w:firstLineChars="200" w:firstLine="420"/>
        <w:rPr>
          <w:szCs w:val="24"/>
        </w:rPr>
      </w:pPr>
      <w:r>
        <w:rPr>
          <w:rFonts w:hint="eastAsia"/>
          <w:szCs w:val="24"/>
        </w:rPr>
        <w:t>签署日期：</w:t>
      </w:r>
    </w:p>
    <w:p w14:paraId="183692E6" w14:textId="77777777" w:rsidR="007F0ECF" w:rsidRDefault="007F0ECF">
      <w:pPr>
        <w:adjustRightInd w:val="0"/>
        <w:spacing w:line="360" w:lineRule="auto"/>
        <w:ind w:firstLineChars="200" w:firstLine="420"/>
        <w:rPr>
          <w:szCs w:val="24"/>
        </w:rPr>
      </w:pPr>
    </w:p>
    <w:p w14:paraId="00AE36C2" w14:textId="77777777" w:rsidR="007F0ECF" w:rsidRDefault="007F0ECF">
      <w:pPr>
        <w:adjustRightInd w:val="0"/>
        <w:spacing w:line="360" w:lineRule="auto"/>
        <w:ind w:firstLineChars="200" w:firstLine="420"/>
        <w:rPr>
          <w:szCs w:val="24"/>
        </w:rPr>
      </w:pPr>
    </w:p>
    <w:p w14:paraId="3677629B" w14:textId="77777777" w:rsidR="007F0ECF" w:rsidRDefault="005B4DD9">
      <w:pPr>
        <w:adjustRightInd w:val="0"/>
        <w:spacing w:line="360" w:lineRule="auto"/>
        <w:ind w:firstLineChars="200" w:firstLine="420"/>
        <w:rPr>
          <w:szCs w:val="24"/>
        </w:rPr>
      </w:pPr>
      <w:r>
        <w:rPr>
          <w:rFonts w:hint="eastAsia"/>
          <w:szCs w:val="24"/>
        </w:rPr>
        <w:t>基金托管人：中信银行股份有限公司（公章或合同专用章）</w:t>
      </w:r>
    </w:p>
    <w:p w14:paraId="1D0E9BA5" w14:textId="77777777" w:rsidR="007F0ECF" w:rsidRDefault="007F0ECF">
      <w:pPr>
        <w:adjustRightInd w:val="0"/>
        <w:spacing w:line="360" w:lineRule="auto"/>
        <w:ind w:firstLineChars="200" w:firstLine="420"/>
        <w:rPr>
          <w:szCs w:val="24"/>
        </w:rPr>
      </w:pPr>
    </w:p>
    <w:p w14:paraId="5475C4E2" w14:textId="77777777" w:rsidR="007F0ECF" w:rsidRDefault="007F0ECF">
      <w:pPr>
        <w:adjustRightInd w:val="0"/>
        <w:spacing w:line="360" w:lineRule="auto"/>
        <w:ind w:firstLineChars="200" w:firstLine="420"/>
        <w:rPr>
          <w:szCs w:val="24"/>
        </w:rPr>
      </w:pPr>
    </w:p>
    <w:p w14:paraId="450EF7EE" w14:textId="77777777" w:rsidR="007F0ECF" w:rsidRDefault="007F0ECF">
      <w:pPr>
        <w:adjustRightInd w:val="0"/>
        <w:spacing w:line="360" w:lineRule="auto"/>
        <w:ind w:firstLineChars="200" w:firstLine="420"/>
        <w:rPr>
          <w:szCs w:val="24"/>
        </w:rPr>
      </w:pPr>
    </w:p>
    <w:p w14:paraId="6A4A3987" w14:textId="77777777" w:rsidR="007F0ECF" w:rsidRDefault="005B4DD9">
      <w:pPr>
        <w:adjustRightInd w:val="0"/>
        <w:spacing w:line="360" w:lineRule="auto"/>
        <w:ind w:firstLineChars="200" w:firstLine="420"/>
        <w:rPr>
          <w:szCs w:val="24"/>
        </w:rPr>
      </w:pPr>
      <w:r>
        <w:rPr>
          <w:rFonts w:hint="eastAsia"/>
          <w:szCs w:val="24"/>
        </w:rPr>
        <w:t>法定代表人</w:t>
      </w:r>
      <w:r>
        <w:rPr>
          <w:rFonts w:hint="eastAsia"/>
          <w:szCs w:val="24"/>
        </w:rPr>
        <w:t>/</w:t>
      </w:r>
      <w:r>
        <w:rPr>
          <w:rFonts w:hint="eastAsia"/>
          <w:szCs w:val="24"/>
        </w:rPr>
        <w:t>负责人</w:t>
      </w:r>
    </w:p>
    <w:p w14:paraId="3C8DE89A" w14:textId="77777777" w:rsidR="007F0ECF" w:rsidRDefault="005B4DD9">
      <w:pPr>
        <w:adjustRightInd w:val="0"/>
        <w:spacing w:line="360" w:lineRule="auto"/>
        <w:ind w:firstLineChars="200" w:firstLine="420"/>
        <w:rPr>
          <w:szCs w:val="24"/>
        </w:rPr>
      </w:pPr>
      <w:r>
        <w:rPr>
          <w:rFonts w:hint="eastAsia"/>
          <w:szCs w:val="24"/>
        </w:rPr>
        <w:t>（或授权代理人）：</w:t>
      </w:r>
      <w:r>
        <w:rPr>
          <w:rFonts w:hint="eastAsia"/>
          <w:szCs w:val="24"/>
        </w:rPr>
        <w:t xml:space="preserve">  </w:t>
      </w:r>
    </w:p>
    <w:p w14:paraId="2B213FC0" w14:textId="77777777" w:rsidR="007F0ECF" w:rsidRDefault="007F0ECF">
      <w:pPr>
        <w:adjustRightInd w:val="0"/>
        <w:spacing w:line="360" w:lineRule="auto"/>
        <w:ind w:firstLineChars="200" w:firstLine="420"/>
        <w:rPr>
          <w:szCs w:val="24"/>
        </w:rPr>
      </w:pPr>
    </w:p>
    <w:p w14:paraId="3597807E" w14:textId="77777777" w:rsidR="007F0ECF" w:rsidRDefault="007F0ECF">
      <w:pPr>
        <w:adjustRightInd w:val="0"/>
        <w:spacing w:line="360" w:lineRule="auto"/>
        <w:ind w:firstLineChars="200" w:firstLine="420"/>
        <w:rPr>
          <w:szCs w:val="24"/>
        </w:rPr>
      </w:pPr>
    </w:p>
    <w:p w14:paraId="10293027" w14:textId="77777777" w:rsidR="007F0ECF" w:rsidRDefault="005B4DD9">
      <w:pPr>
        <w:adjustRightInd w:val="0"/>
        <w:spacing w:line="360" w:lineRule="auto"/>
        <w:ind w:firstLineChars="200" w:firstLine="420"/>
        <w:rPr>
          <w:szCs w:val="24"/>
        </w:rPr>
      </w:pPr>
      <w:r>
        <w:rPr>
          <w:rFonts w:hint="eastAsia"/>
          <w:szCs w:val="24"/>
        </w:rPr>
        <w:t>签署日期：</w:t>
      </w:r>
    </w:p>
    <w:p w14:paraId="1728FB7F" w14:textId="77777777" w:rsidR="007F0ECF" w:rsidRDefault="005B4DD9">
      <w:pPr>
        <w:adjustRightInd w:val="0"/>
        <w:spacing w:line="360" w:lineRule="auto"/>
        <w:ind w:firstLineChars="200" w:firstLine="420"/>
        <w:rPr>
          <w:szCs w:val="24"/>
        </w:rPr>
      </w:pPr>
      <w:r>
        <w:rPr>
          <w:szCs w:val="24"/>
        </w:rPr>
        <w:t xml:space="preserve">           </w:t>
      </w:r>
    </w:p>
    <w:p w14:paraId="1A44FAE0" w14:textId="77777777" w:rsidR="007F0ECF" w:rsidRDefault="005B4DD9">
      <w:pPr>
        <w:adjustRightInd w:val="0"/>
        <w:spacing w:line="360" w:lineRule="auto"/>
        <w:ind w:firstLineChars="200" w:firstLine="420"/>
        <w:rPr>
          <w:szCs w:val="24"/>
        </w:rPr>
      </w:pPr>
      <w:r>
        <w:rPr>
          <w:rFonts w:hint="eastAsia"/>
          <w:szCs w:val="24"/>
        </w:rPr>
        <w:t>签订地：</w:t>
      </w:r>
      <w:r>
        <w:rPr>
          <w:rFonts w:hint="eastAsia"/>
          <w:szCs w:val="24"/>
        </w:rPr>
        <w:t xml:space="preserve"> </w:t>
      </w:r>
    </w:p>
    <w:p w14:paraId="63591EA4" w14:textId="77777777" w:rsidR="007F0ECF" w:rsidRDefault="007F0ECF">
      <w:pPr>
        <w:adjustRightInd w:val="0"/>
        <w:spacing w:line="360" w:lineRule="auto"/>
        <w:ind w:firstLineChars="200" w:firstLine="420"/>
        <w:rPr>
          <w:szCs w:val="24"/>
        </w:rPr>
      </w:pPr>
    </w:p>
    <w:p w14:paraId="6CF96D6A" w14:textId="77777777" w:rsidR="007F0ECF" w:rsidRDefault="005B4DD9">
      <w:pPr>
        <w:adjustRightInd w:val="0"/>
        <w:spacing w:line="360" w:lineRule="auto"/>
        <w:ind w:firstLineChars="200" w:firstLine="420"/>
        <w:rPr>
          <w:szCs w:val="24"/>
        </w:rPr>
      </w:pPr>
      <w:r>
        <w:rPr>
          <w:szCs w:val="24"/>
        </w:rPr>
        <w:t xml:space="preserve">  </w:t>
      </w:r>
    </w:p>
    <w:bookmarkEnd w:id="1"/>
    <w:p w14:paraId="57F19714" w14:textId="77777777" w:rsidR="007F0ECF" w:rsidRDefault="007F0ECF">
      <w:pPr>
        <w:adjustRightInd w:val="0"/>
        <w:spacing w:line="360" w:lineRule="auto"/>
        <w:ind w:firstLineChars="200" w:firstLine="420"/>
        <w:rPr>
          <w:szCs w:val="24"/>
        </w:rPr>
      </w:pPr>
    </w:p>
    <w:sectPr w:rsidR="007F0ECF">
      <w:headerReference w:type="default" r:id="rId6"/>
      <w:headerReference w:type="first" r:id="rId7"/>
      <w:pgSz w:w="11906" w:h="16838"/>
      <w:pgMar w:top="1440" w:right="1797" w:bottom="1440" w:left="1797" w:header="851" w:footer="992" w:gutter="0"/>
      <w:pgNumType w:start="2"/>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4C88B" w14:textId="77777777" w:rsidR="0080346F" w:rsidRDefault="0080346F">
      <w:r>
        <w:separator/>
      </w:r>
    </w:p>
  </w:endnote>
  <w:endnote w:type="continuationSeparator" w:id="0">
    <w:p w14:paraId="7D542BFC" w14:textId="77777777" w:rsidR="0080346F" w:rsidRDefault="00803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2D06A" w14:textId="77777777" w:rsidR="0080346F" w:rsidRDefault="0080346F">
      <w:r>
        <w:separator/>
      </w:r>
    </w:p>
  </w:footnote>
  <w:footnote w:type="continuationSeparator" w:id="0">
    <w:p w14:paraId="07DFD270" w14:textId="77777777" w:rsidR="0080346F" w:rsidRDefault="00803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F574" w14:textId="77777777" w:rsidR="0089465A" w:rsidRDefault="0089465A">
    <w:pPr>
      <w:pStyle w:val="ad"/>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53AF" w14:textId="77777777" w:rsidR="0089465A" w:rsidRDefault="0089465A">
    <w:pPr>
      <w:pStyle w:val="ad"/>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4B"/>
    <w:rsid w:val="00004182"/>
    <w:rsid w:val="00004A66"/>
    <w:rsid w:val="00011A29"/>
    <w:rsid w:val="000143D1"/>
    <w:rsid w:val="000227F2"/>
    <w:rsid w:val="0002365C"/>
    <w:rsid w:val="00023ACA"/>
    <w:rsid w:val="00026E92"/>
    <w:rsid w:val="0004051C"/>
    <w:rsid w:val="000458B2"/>
    <w:rsid w:val="00045B2D"/>
    <w:rsid w:val="000545BB"/>
    <w:rsid w:val="00057C3B"/>
    <w:rsid w:val="0006302B"/>
    <w:rsid w:val="00063A9B"/>
    <w:rsid w:val="00065EE3"/>
    <w:rsid w:val="00066732"/>
    <w:rsid w:val="00085EE0"/>
    <w:rsid w:val="00095590"/>
    <w:rsid w:val="00096EDA"/>
    <w:rsid w:val="00097459"/>
    <w:rsid w:val="000977BF"/>
    <w:rsid w:val="000A1471"/>
    <w:rsid w:val="000A3D62"/>
    <w:rsid w:val="000A3FAD"/>
    <w:rsid w:val="000A57FF"/>
    <w:rsid w:val="000A6F20"/>
    <w:rsid w:val="000B3B27"/>
    <w:rsid w:val="000B7BDF"/>
    <w:rsid w:val="000C0363"/>
    <w:rsid w:val="000C0A74"/>
    <w:rsid w:val="000C209E"/>
    <w:rsid w:val="000C4DBD"/>
    <w:rsid w:val="000C4FEB"/>
    <w:rsid w:val="000C7404"/>
    <w:rsid w:val="000D5127"/>
    <w:rsid w:val="000E335E"/>
    <w:rsid w:val="000E5075"/>
    <w:rsid w:val="000F01A6"/>
    <w:rsid w:val="000F1906"/>
    <w:rsid w:val="000F24BA"/>
    <w:rsid w:val="000F4314"/>
    <w:rsid w:val="000F5332"/>
    <w:rsid w:val="000F6488"/>
    <w:rsid w:val="000F68DC"/>
    <w:rsid w:val="000F7965"/>
    <w:rsid w:val="00110712"/>
    <w:rsid w:val="00111324"/>
    <w:rsid w:val="0011415B"/>
    <w:rsid w:val="00114179"/>
    <w:rsid w:val="00121318"/>
    <w:rsid w:val="00125EBE"/>
    <w:rsid w:val="001269B9"/>
    <w:rsid w:val="00131913"/>
    <w:rsid w:val="00132765"/>
    <w:rsid w:val="001332C8"/>
    <w:rsid w:val="00134347"/>
    <w:rsid w:val="00140C80"/>
    <w:rsid w:val="00144F32"/>
    <w:rsid w:val="00154514"/>
    <w:rsid w:val="0015625E"/>
    <w:rsid w:val="0016132A"/>
    <w:rsid w:val="0016139D"/>
    <w:rsid w:val="00161947"/>
    <w:rsid w:val="00172A27"/>
    <w:rsid w:val="00176DED"/>
    <w:rsid w:val="00177637"/>
    <w:rsid w:val="00182105"/>
    <w:rsid w:val="00191B9A"/>
    <w:rsid w:val="00192835"/>
    <w:rsid w:val="001A2808"/>
    <w:rsid w:val="001A3294"/>
    <w:rsid w:val="001A4813"/>
    <w:rsid w:val="001A6D16"/>
    <w:rsid w:val="001B1496"/>
    <w:rsid w:val="001B4CE5"/>
    <w:rsid w:val="001B75BE"/>
    <w:rsid w:val="001B7BD5"/>
    <w:rsid w:val="001C349D"/>
    <w:rsid w:val="001C4600"/>
    <w:rsid w:val="001C7193"/>
    <w:rsid w:val="001C7E29"/>
    <w:rsid w:val="001D4EB3"/>
    <w:rsid w:val="001D612A"/>
    <w:rsid w:val="001E491B"/>
    <w:rsid w:val="001E5144"/>
    <w:rsid w:val="001E5267"/>
    <w:rsid w:val="001E5F59"/>
    <w:rsid w:val="001F0051"/>
    <w:rsid w:val="001F1339"/>
    <w:rsid w:val="001F4697"/>
    <w:rsid w:val="001F4AA7"/>
    <w:rsid w:val="001F5226"/>
    <w:rsid w:val="001F5BBD"/>
    <w:rsid w:val="002005F7"/>
    <w:rsid w:val="00206FCC"/>
    <w:rsid w:val="0021455D"/>
    <w:rsid w:val="00215195"/>
    <w:rsid w:val="00216D03"/>
    <w:rsid w:val="00217BA9"/>
    <w:rsid w:val="002216E8"/>
    <w:rsid w:val="002522B2"/>
    <w:rsid w:val="00257453"/>
    <w:rsid w:val="00263FFF"/>
    <w:rsid w:val="002641C4"/>
    <w:rsid w:val="002653C2"/>
    <w:rsid w:val="002728A5"/>
    <w:rsid w:val="00273158"/>
    <w:rsid w:val="00273E61"/>
    <w:rsid w:val="0028070E"/>
    <w:rsid w:val="0028078F"/>
    <w:rsid w:val="002851FA"/>
    <w:rsid w:val="00294266"/>
    <w:rsid w:val="0029606A"/>
    <w:rsid w:val="002960C7"/>
    <w:rsid w:val="002A187E"/>
    <w:rsid w:val="002A1A97"/>
    <w:rsid w:val="002A35D3"/>
    <w:rsid w:val="002A75B5"/>
    <w:rsid w:val="002B7609"/>
    <w:rsid w:val="002C0C3E"/>
    <w:rsid w:val="002D37D2"/>
    <w:rsid w:val="002E5306"/>
    <w:rsid w:val="002E6A26"/>
    <w:rsid w:val="002F2882"/>
    <w:rsid w:val="002F5A42"/>
    <w:rsid w:val="00303E21"/>
    <w:rsid w:val="00304FFE"/>
    <w:rsid w:val="00306D3C"/>
    <w:rsid w:val="0031533C"/>
    <w:rsid w:val="00320A5C"/>
    <w:rsid w:val="00325506"/>
    <w:rsid w:val="0033005F"/>
    <w:rsid w:val="003321C1"/>
    <w:rsid w:val="00334BF6"/>
    <w:rsid w:val="003356B4"/>
    <w:rsid w:val="003364EF"/>
    <w:rsid w:val="00336B2F"/>
    <w:rsid w:val="00336C51"/>
    <w:rsid w:val="00340216"/>
    <w:rsid w:val="00340DC7"/>
    <w:rsid w:val="00342543"/>
    <w:rsid w:val="003428E8"/>
    <w:rsid w:val="00343D7A"/>
    <w:rsid w:val="0034480F"/>
    <w:rsid w:val="00346E31"/>
    <w:rsid w:val="00350578"/>
    <w:rsid w:val="00350768"/>
    <w:rsid w:val="003515FB"/>
    <w:rsid w:val="00352318"/>
    <w:rsid w:val="003605CE"/>
    <w:rsid w:val="003635F8"/>
    <w:rsid w:val="003662C0"/>
    <w:rsid w:val="00366409"/>
    <w:rsid w:val="00366669"/>
    <w:rsid w:val="0037016B"/>
    <w:rsid w:val="0037414B"/>
    <w:rsid w:val="0037643A"/>
    <w:rsid w:val="00380EFC"/>
    <w:rsid w:val="00386D75"/>
    <w:rsid w:val="003870CD"/>
    <w:rsid w:val="00387286"/>
    <w:rsid w:val="003969F3"/>
    <w:rsid w:val="003A2B5F"/>
    <w:rsid w:val="003A4332"/>
    <w:rsid w:val="003A5566"/>
    <w:rsid w:val="003A5CCC"/>
    <w:rsid w:val="003B21EA"/>
    <w:rsid w:val="003B47D1"/>
    <w:rsid w:val="003B68B9"/>
    <w:rsid w:val="003B713B"/>
    <w:rsid w:val="003B7446"/>
    <w:rsid w:val="003C7615"/>
    <w:rsid w:val="003C7C2E"/>
    <w:rsid w:val="003D297A"/>
    <w:rsid w:val="003D2C9A"/>
    <w:rsid w:val="003D5DA3"/>
    <w:rsid w:val="003D6067"/>
    <w:rsid w:val="003E22BA"/>
    <w:rsid w:val="003E4E91"/>
    <w:rsid w:val="003F105F"/>
    <w:rsid w:val="003F1336"/>
    <w:rsid w:val="003F47A7"/>
    <w:rsid w:val="003F6BFD"/>
    <w:rsid w:val="004026EF"/>
    <w:rsid w:val="004122A6"/>
    <w:rsid w:val="00414113"/>
    <w:rsid w:val="004256A0"/>
    <w:rsid w:val="00426E45"/>
    <w:rsid w:val="00433507"/>
    <w:rsid w:val="004340A9"/>
    <w:rsid w:val="00434D17"/>
    <w:rsid w:val="00440B0B"/>
    <w:rsid w:val="00441184"/>
    <w:rsid w:val="0044245A"/>
    <w:rsid w:val="00443841"/>
    <w:rsid w:val="00444108"/>
    <w:rsid w:val="0044584D"/>
    <w:rsid w:val="00446987"/>
    <w:rsid w:val="004527CC"/>
    <w:rsid w:val="00453F2B"/>
    <w:rsid w:val="0045491D"/>
    <w:rsid w:val="0046082F"/>
    <w:rsid w:val="00470186"/>
    <w:rsid w:val="00475080"/>
    <w:rsid w:val="00476D15"/>
    <w:rsid w:val="004844E7"/>
    <w:rsid w:val="0048519D"/>
    <w:rsid w:val="00485959"/>
    <w:rsid w:val="00485D09"/>
    <w:rsid w:val="00490F44"/>
    <w:rsid w:val="004927EF"/>
    <w:rsid w:val="004A05CF"/>
    <w:rsid w:val="004A7871"/>
    <w:rsid w:val="004B0D5B"/>
    <w:rsid w:val="004B23FC"/>
    <w:rsid w:val="004B49E5"/>
    <w:rsid w:val="004C4E26"/>
    <w:rsid w:val="004C727C"/>
    <w:rsid w:val="004C7307"/>
    <w:rsid w:val="004D0AC3"/>
    <w:rsid w:val="004D1780"/>
    <w:rsid w:val="004D244A"/>
    <w:rsid w:val="004E2F4D"/>
    <w:rsid w:val="004E3E07"/>
    <w:rsid w:val="004E66E2"/>
    <w:rsid w:val="004F150B"/>
    <w:rsid w:val="00502BE7"/>
    <w:rsid w:val="00502CD2"/>
    <w:rsid w:val="00504926"/>
    <w:rsid w:val="00505FEE"/>
    <w:rsid w:val="005113E5"/>
    <w:rsid w:val="0053103B"/>
    <w:rsid w:val="005346D9"/>
    <w:rsid w:val="005475FA"/>
    <w:rsid w:val="00550B7F"/>
    <w:rsid w:val="00551EED"/>
    <w:rsid w:val="005526E5"/>
    <w:rsid w:val="0055543C"/>
    <w:rsid w:val="005630AE"/>
    <w:rsid w:val="005676FE"/>
    <w:rsid w:val="00575251"/>
    <w:rsid w:val="00581850"/>
    <w:rsid w:val="00583C14"/>
    <w:rsid w:val="005852D5"/>
    <w:rsid w:val="005855F7"/>
    <w:rsid w:val="005926B9"/>
    <w:rsid w:val="00593CB7"/>
    <w:rsid w:val="005A2F5F"/>
    <w:rsid w:val="005A397D"/>
    <w:rsid w:val="005A4CC8"/>
    <w:rsid w:val="005B27BA"/>
    <w:rsid w:val="005B2C12"/>
    <w:rsid w:val="005B4DD9"/>
    <w:rsid w:val="005B687C"/>
    <w:rsid w:val="005C068C"/>
    <w:rsid w:val="005D1273"/>
    <w:rsid w:val="005D2656"/>
    <w:rsid w:val="005D3D34"/>
    <w:rsid w:val="005D5BE2"/>
    <w:rsid w:val="005E36CB"/>
    <w:rsid w:val="005E57E1"/>
    <w:rsid w:val="005E7C8B"/>
    <w:rsid w:val="005F1275"/>
    <w:rsid w:val="005F1421"/>
    <w:rsid w:val="005F34CC"/>
    <w:rsid w:val="005F3F0A"/>
    <w:rsid w:val="005F40D0"/>
    <w:rsid w:val="005F485A"/>
    <w:rsid w:val="005F590F"/>
    <w:rsid w:val="00602F2E"/>
    <w:rsid w:val="00605E79"/>
    <w:rsid w:val="006079A8"/>
    <w:rsid w:val="00610237"/>
    <w:rsid w:val="00614188"/>
    <w:rsid w:val="00622CB0"/>
    <w:rsid w:val="00623E8A"/>
    <w:rsid w:val="00631C0E"/>
    <w:rsid w:val="006350F9"/>
    <w:rsid w:val="006351D6"/>
    <w:rsid w:val="00635C8D"/>
    <w:rsid w:val="00636BB1"/>
    <w:rsid w:val="00640DA4"/>
    <w:rsid w:val="006422D0"/>
    <w:rsid w:val="0064607C"/>
    <w:rsid w:val="00646451"/>
    <w:rsid w:val="006473A4"/>
    <w:rsid w:val="00647F9B"/>
    <w:rsid w:val="00653AA4"/>
    <w:rsid w:val="00655579"/>
    <w:rsid w:val="006555C1"/>
    <w:rsid w:val="006710DF"/>
    <w:rsid w:val="00672F63"/>
    <w:rsid w:val="0067686B"/>
    <w:rsid w:val="006771FC"/>
    <w:rsid w:val="006924E2"/>
    <w:rsid w:val="00694943"/>
    <w:rsid w:val="00697FBA"/>
    <w:rsid w:val="006B0B5F"/>
    <w:rsid w:val="006B746F"/>
    <w:rsid w:val="006C3200"/>
    <w:rsid w:val="006C369D"/>
    <w:rsid w:val="006C3735"/>
    <w:rsid w:val="006C5DFE"/>
    <w:rsid w:val="006C6EAD"/>
    <w:rsid w:val="006C713B"/>
    <w:rsid w:val="006C7E6B"/>
    <w:rsid w:val="006D1962"/>
    <w:rsid w:val="006D2845"/>
    <w:rsid w:val="006D2BAA"/>
    <w:rsid w:val="006D5589"/>
    <w:rsid w:val="006E691C"/>
    <w:rsid w:val="006F171E"/>
    <w:rsid w:val="006F2BF4"/>
    <w:rsid w:val="006F785E"/>
    <w:rsid w:val="006F79F1"/>
    <w:rsid w:val="0070000A"/>
    <w:rsid w:val="0070006B"/>
    <w:rsid w:val="00701F0C"/>
    <w:rsid w:val="00704387"/>
    <w:rsid w:val="00711D76"/>
    <w:rsid w:val="00716208"/>
    <w:rsid w:val="00720125"/>
    <w:rsid w:val="00721B80"/>
    <w:rsid w:val="00730CA5"/>
    <w:rsid w:val="00741732"/>
    <w:rsid w:val="00743EA3"/>
    <w:rsid w:val="0075119B"/>
    <w:rsid w:val="0076023D"/>
    <w:rsid w:val="007660D2"/>
    <w:rsid w:val="00766E1D"/>
    <w:rsid w:val="0076741E"/>
    <w:rsid w:val="007753D2"/>
    <w:rsid w:val="00777633"/>
    <w:rsid w:val="00777B8C"/>
    <w:rsid w:val="0078100E"/>
    <w:rsid w:val="0078207F"/>
    <w:rsid w:val="0078753D"/>
    <w:rsid w:val="0078767E"/>
    <w:rsid w:val="00791F73"/>
    <w:rsid w:val="00793722"/>
    <w:rsid w:val="00797AC9"/>
    <w:rsid w:val="007A13BD"/>
    <w:rsid w:val="007A22F4"/>
    <w:rsid w:val="007A3B69"/>
    <w:rsid w:val="007B0005"/>
    <w:rsid w:val="007B35F2"/>
    <w:rsid w:val="007C4A70"/>
    <w:rsid w:val="007C5538"/>
    <w:rsid w:val="007D102D"/>
    <w:rsid w:val="007D1CC1"/>
    <w:rsid w:val="007D39D2"/>
    <w:rsid w:val="007D7CFC"/>
    <w:rsid w:val="007E13FE"/>
    <w:rsid w:val="007E1921"/>
    <w:rsid w:val="007E19A3"/>
    <w:rsid w:val="007E3375"/>
    <w:rsid w:val="007F08B1"/>
    <w:rsid w:val="007F0ECF"/>
    <w:rsid w:val="007F5B97"/>
    <w:rsid w:val="007F6006"/>
    <w:rsid w:val="00801599"/>
    <w:rsid w:val="008032C7"/>
    <w:rsid w:val="0080346F"/>
    <w:rsid w:val="00804046"/>
    <w:rsid w:val="00805088"/>
    <w:rsid w:val="00806465"/>
    <w:rsid w:val="00810F3C"/>
    <w:rsid w:val="00810FBF"/>
    <w:rsid w:val="00811033"/>
    <w:rsid w:val="008171C9"/>
    <w:rsid w:val="008172FA"/>
    <w:rsid w:val="00821C38"/>
    <w:rsid w:val="00821EF6"/>
    <w:rsid w:val="00824DE9"/>
    <w:rsid w:val="0082692E"/>
    <w:rsid w:val="00833C7F"/>
    <w:rsid w:val="00841AF9"/>
    <w:rsid w:val="00846BB0"/>
    <w:rsid w:val="0085016B"/>
    <w:rsid w:val="00850B67"/>
    <w:rsid w:val="00866094"/>
    <w:rsid w:val="008709E8"/>
    <w:rsid w:val="00871FE0"/>
    <w:rsid w:val="008764FB"/>
    <w:rsid w:val="00886578"/>
    <w:rsid w:val="008929A2"/>
    <w:rsid w:val="0089465A"/>
    <w:rsid w:val="008A75E7"/>
    <w:rsid w:val="008B24BF"/>
    <w:rsid w:val="008B5174"/>
    <w:rsid w:val="008B6A64"/>
    <w:rsid w:val="008B797F"/>
    <w:rsid w:val="008C1EC9"/>
    <w:rsid w:val="008C2899"/>
    <w:rsid w:val="008C5158"/>
    <w:rsid w:val="008C7C9B"/>
    <w:rsid w:val="008D7D56"/>
    <w:rsid w:val="008E016E"/>
    <w:rsid w:val="008E1077"/>
    <w:rsid w:val="008E34BE"/>
    <w:rsid w:val="008E7580"/>
    <w:rsid w:val="008F5EBC"/>
    <w:rsid w:val="008F75A2"/>
    <w:rsid w:val="009016DF"/>
    <w:rsid w:val="009017B7"/>
    <w:rsid w:val="00902170"/>
    <w:rsid w:val="009025E9"/>
    <w:rsid w:val="00903CFF"/>
    <w:rsid w:val="00906D22"/>
    <w:rsid w:val="00913B03"/>
    <w:rsid w:val="00915B90"/>
    <w:rsid w:val="009248D2"/>
    <w:rsid w:val="00926A4F"/>
    <w:rsid w:val="00932349"/>
    <w:rsid w:val="00941378"/>
    <w:rsid w:val="009444DF"/>
    <w:rsid w:val="0094553C"/>
    <w:rsid w:val="00947FD1"/>
    <w:rsid w:val="00954752"/>
    <w:rsid w:val="0095643E"/>
    <w:rsid w:val="00957657"/>
    <w:rsid w:val="009606B4"/>
    <w:rsid w:val="00960838"/>
    <w:rsid w:val="0096235C"/>
    <w:rsid w:val="00977C56"/>
    <w:rsid w:val="009804DD"/>
    <w:rsid w:val="00980A0F"/>
    <w:rsid w:val="009813D5"/>
    <w:rsid w:val="009824FC"/>
    <w:rsid w:val="00982BB6"/>
    <w:rsid w:val="0098511A"/>
    <w:rsid w:val="00986075"/>
    <w:rsid w:val="00987756"/>
    <w:rsid w:val="0099508B"/>
    <w:rsid w:val="009A4583"/>
    <w:rsid w:val="009A5E0F"/>
    <w:rsid w:val="009A698F"/>
    <w:rsid w:val="009B0480"/>
    <w:rsid w:val="009B2DE7"/>
    <w:rsid w:val="009B34A6"/>
    <w:rsid w:val="009B45A6"/>
    <w:rsid w:val="009B67B1"/>
    <w:rsid w:val="009C29FE"/>
    <w:rsid w:val="009C7986"/>
    <w:rsid w:val="009D16FD"/>
    <w:rsid w:val="009E0624"/>
    <w:rsid w:val="009F3C4C"/>
    <w:rsid w:val="009F7815"/>
    <w:rsid w:val="00A02DAA"/>
    <w:rsid w:val="00A031EB"/>
    <w:rsid w:val="00A05851"/>
    <w:rsid w:val="00A06586"/>
    <w:rsid w:val="00A1019E"/>
    <w:rsid w:val="00A10A3A"/>
    <w:rsid w:val="00A17F9B"/>
    <w:rsid w:val="00A2253A"/>
    <w:rsid w:val="00A25D21"/>
    <w:rsid w:val="00A25ED0"/>
    <w:rsid w:val="00A26F15"/>
    <w:rsid w:val="00A32E0F"/>
    <w:rsid w:val="00A35EEE"/>
    <w:rsid w:val="00A37C2B"/>
    <w:rsid w:val="00A41D58"/>
    <w:rsid w:val="00A41EBE"/>
    <w:rsid w:val="00A459A5"/>
    <w:rsid w:val="00A46993"/>
    <w:rsid w:val="00A504E6"/>
    <w:rsid w:val="00A558BD"/>
    <w:rsid w:val="00A56CF1"/>
    <w:rsid w:val="00A57215"/>
    <w:rsid w:val="00A618C8"/>
    <w:rsid w:val="00A61CE8"/>
    <w:rsid w:val="00A64441"/>
    <w:rsid w:val="00A66061"/>
    <w:rsid w:val="00A719AB"/>
    <w:rsid w:val="00A73D39"/>
    <w:rsid w:val="00A7450E"/>
    <w:rsid w:val="00A76317"/>
    <w:rsid w:val="00A83C85"/>
    <w:rsid w:val="00A87DDA"/>
    <w:rsid w:val="00A9210F"/>
    <w:rsid w:val="00A95D07"/>
    <w:rsid w:val="00A97A36"/>
    <w:rsid w:val="00A97CC2"/>
    <w:rsid w:val="00AA228A"/>
    <w:rsid w:val="00AA2BE4"/>
    <w:rsid w:val="00AA2E6C"/>
    <w:rsid w:val="00AB14BE"/>
    <w:rsid w:val="00AC0A12"/>
    <w:rsid w:val="00AC64BB"/>
    <w:rsid w:val="00AC7FE7"/>
    <w:rsid w:val="00AD3BE9"/>
    <w:rsid w:val="00AD570C"/>
    <w:rsid w:val="00AD650B"/>
    <w:rsid w:val="00AE730E"/>
    <w:rsid w:val="00AF1ADF"/>
    <w:rsid w:val="00AF284E"/>
    <w:rsid w:val="00AF4DDF"/>
    <w:rsid w:val="00AF5346"/>
    <w:rsid w:val="00AF5C7C"/>
    <w:rsid w:val="00AF6E7F"/>
    <w:rsid w:val="00B0002C"/>
    <w:rsid w:val="00B15580"/>
    <w:rsid w:val="00B276A0"/>
    <w:rsid w:val="00B34803"/>
    <w:rsid w:val="00B35948"/>
    <w:rsid w:val="00B431F0"/>
    <w:rsid w:val="00B518B0"/>
    <w:rsid w:val="00B5653A"/>
    <w:rsid w:val="00B5789F"/>
    <w:rsid w:val="00B57B11"/>
    <w:rsid w:val="00B64C94"/>
    <w:rsid w:val="00B64D42"/>
    <w:rsid w:val="00B65A7B"/>
    <w:rsid w:val="00B67014"/>
    <w:rsid w:val="00B74E5D"/>
    <w:rsid w:val="00B7631A"/>
    <w:rsid w:val="00B76FA8"/>
    <w:rsid w:val="00B775C7"/>
    <w:rsid w:val="00B80E88"/>
    <w:rsid w:val="00B826D5"/>
    <w:rsid w:val="00B83052"/>
    <w:rsid w:val="00B928BE"/>
    <w:rsid w:val="00B956CC"/>
    <w:rsid w:val="00B958C6"/>
    <w:rsid w:val="00B97307"/>
    <w:rsid w:val="00BA7093"/>
    <w:rsid w:val="00BC7A6E"/>
    <w:rsid w:val="00BD148A"/>
    <w:rsid w:val="00BD1C6B"/>
    <w:rsid w:val="00BD4875"/>
    <w:rsid w:val="00BD559F"/>
    <w:rsid w:val="00BD7A23"/>
    <w:rsid w:val="00BD7CC8"/>
    <w:rsid w:val="00BE77E2"/>
    <w:rsid w:val="00BF3A59"/>
    <w:rsid w:val="00BF6F9B"/>
    <w:rsid w:val="00C00386"/>
    <w:rsid w:val="00C03993"/>
    <w:rsid w:val="00C04ACC"/>
    <w:rsid w:val="00C07FCA"/>
    <w:rsid w:val="00C100BB"/>
    <w:rsid w:val="00C1094C"/>
    <w:rsid w:val="00C15252"/>
    <w:rsid w:val="00C23C97"/>
    <w:rsid w:val="00C305E6"/>
    <w:rsid w:val="00C327F7"/>
    <w:rsid w:val="00C40C34"/>
    <w:rsid w:val="00C41D69"/>
    <w:rsid w:val="00C4495F"/>
    <w:rsid w:val="00C5115C"/>
    <w:rsid w:val="00C5131F"/>
    <w:rsid w:val="00C53A83"/>
    <w:rsid w:val="00C618E3"/>
    <w:rsid w:val="00C63B20"/>
    <w:rsid w:val="00C63B97"/>
    <w:rsid w:val="00C64AA1"/>
    <w:rsid w:val="00C719CA"/>
    <w:rsid w:val="00C730C0"/>
    <w:rsid w:val="00C73AE8"/>
    <w:rsid w:val="00C74F32"/>
    <w:rsid w:val="00C77F42"/>
    <w:rsid w:val="00C82540"/>
    <w:rsid w:val="00C843E6"/>
    <w:rsid w:val="00C85119"/>
    <w:rsid w:val="00C90BA8"/>
    <w:rsid w:val="00C9223F"/>
    <w:rsid w:val="00C93B9C"/>
    <w:rsid w:val="00C94490"/>
    <w:rsid w:val="00C95F2B"/>
    <w:rsid w:val="00C97ACF"/>
    <w:rsid w:val="00CA1507"/>
    <w:rsid w:val="00CA2800"/>
    <w:rsid w:val="00CA31BB"/>
    <w:rsid w:val="00CA4819"/>
    <w:rsid w:val="00CA4D38"/>
    <w:rsid w:val="00CB0523"/>
    <w:rsid w:val="00CB2098"/>
    <w:rsid w:val="00CC23C1"/>
    <w:rsid w:val="00CD318B"/>
    <w:rsid w:val="00CD7203"/>
    <w:rsid w:val="00CE02FC"/>
    <w:rsid w:val="00CE0843"/>
    <w:rsid w:val="00CE7FA1"/>
    <w:rsid w:val="00CF13B9"/>
    <w:rsid w:val="00CF78CA"/>
    <w:rsid w:val="00CF7AB8"/>
    <w:rsid w:val="00D01D83"/>
    <w:rsid w:val="00D11D71"/>
    <w:rsid w:val="00D12106"/>
    <w:rsid w:val="00D16B4A"/>
    <w:rsid w:val="00D17A06"/>
    <w:rsid w:val="00D17B7A"/>
    <w:rsid w:val="00D20FDF"/>
    <w:rsid w:val="00D21654"/>
    <w:rsid w:val="00D21876"/>
    <w:rsid w:val="00D226B3"/>
    <w:rsid w:val="00D2396E"/>
    <w:rsid w:val="00D26A5B"/>
    <w:rsid w:val="00D33A19"/>
    <w:rsid w:val="00D35222"/>
    <w:rsid w:val="00D423EE"/>
    <w:rsid w:val="00D45DAF"/>
    <w:rsid w:val="00D54CEE"/>
    <w:rsid w:val="00D60F8E"/>
    <w:rsid w:val="00D640E8"/>
    <w:rsid w:val="00D64FD8"/>
    <w:rsid w:val="00D66248"/>
    <w:rsid w:val="00D66A02"/>
    <w:rsid w:val="00D735FD"/>
    <w:rsid w:val="00D81AA5"/>
    <w:rsid w:val="00D861EE"/>
    <w:rsid w:val="00D861FF"/>
    <w:rsid w:val="00D87592"/>
    <w:rsid w:val="00D940AE"/>
    <w:rsid w:val="00D947C2"/>
    <w:rsid w:val="00D94C34"/>
    <w:rsid w:val="00D95284"/>
    <w:rsid w:val="00DA0763"/>
    <w:rsid w:val="00DA1437"/>
    <w:rsid w:val="00DB64B3"/>
    <w:rsid w:val="00DC30F5"/>
    <w:rsid w:val="00DC3ABA"/>
    <w:rsid w:val="00DC65C8"/>
    <w:rsid w:val="00DC7140"/>
    <w:rsid w:val="00DC7ED3"/>
    <w:rsid w:val="00DD18C3"/>
    <w:rsid w:val="00DD4B98"/>
    <w:rsid w:val="00DE07B2"/>
    <w:rsid w:val="00DE68E6"/>
    <w:rsid w:val="00DE7A7C"/>
    <w:rsid w:val="00DF40B4"/>
    <w:rsid w:val="00E029A8"/>
    <w:rsid w:val="00E05E56"/>
    <w:rsid w:val="00E10CD7"/>
    <w:rsid w:val="00E1218B"/>
    <w:rsid w:val="00E17D77"/>
    <w:rsid w:val="00E23B1B"/>
    <w:rsid w:val="00E23CD4"/>
    <w:rsid w:val="00E31249"/>
    <w:rsid w:val="00E320DC"/>
    <w:rsid w:val="00E33AF0"/>
    <w:rsid w:val="00E37BFC"/>
    <w:rsid w:val="00E4073C"/>
    <w:rsid w:val="00E43884"/>
    <w:rsid w:val="00E4685C"/>
    <w:rsid w:val="00E53F04"/>
    <w:rsid w:val="00E621B9"/>
    <w:rsid w:val="00E6410C"/>
    <w:rsid w:val="00E728CC"/>
    <w:rsid w:val="00E77808"/>
    <w:rsid w:val="00E83706"/>
    <w:rsid w:val="00E83AB4"/>
    <w:rsid w:val="00E845A2"/>
    <w:rsid w:val="00E85174"/>
    <w:rsid w:val="00E8685D"/>
    <w:rsid w:val="00E878A8"/>
    <w:rsid w:val="00E92A2D"/>
    <w:rsid w:val="00E92CC9"/>
    <w:rsid w:val="00E96B17"/>
    <w:rsid w:val="00EA34BE"/>
    <w:rsid w:val="00EB057D"/>
    <w:rsid w:val="00EB2556"/>
    <w:rsid w:val="00EB7A8F"/>
    <w:rsid w:val="00EB7ACE"/>
    <w:rsid w:val="00EC208C"/>
    <w:rsid w:val="00ED01EE"/>
    <w:rsid w:val="00ED047D"/>
    <w:rsid w:val="00ED3E5B"/>
    <w:rsid w:val="00EE2DFE"/>
    <w:rsid w:val="00EE719F"/>
    <w:rsid w:val="00EE7F1B"/>
    <w:rsid w:val="00EF38DB"/>
    <w:rsid w:val="00EF5DB4"/>
    <w:rsid w:val="00F02BCC"/>
    <w:rsid w:val="00F03318"/>
    <w:rsid w:val="00F10F69"/>
    <w:rsid w:val="00F11945"/>
    <w:rsid w:val="00F221FE"/>
    <w:rsid w:val="00F23109"/>
    <w:rsid w:val="00F25CFA"/>
    <w:rsid w:val="00F2733A"/>
    <w:rsid w:val="00F27955"/>
    <w:rsid w:val="00F31641"/>
    <w:rsid w:val="00F338C4"/>
    <w:rsid w:val="00F34D4D"/>
    <w:rsid w:val="00F44926"/>
    <w:rsid w:val="00F4770B"/>
    <w:rsid w:val="00F50475"/>
    <w:rsid w:val="00F51719"/>
    <w:rsid w:val="00F52A07"/>
    <w:rsid w:val="00F541BE"/>
    <w:rsid w:val="00F61799"/>
    <w:rsid w:val="00F714F9"/>
    <w:rsid w:val="00F71C86"/>
    <w:rsid w:val="00F731B7"/>
    <w:rsid w:val="00F757FC"/>
    <w:rsid w:val="00F75DC5"/>
    <w:rsid w:val="00F8247A"/>
    <w:rsid w:val="00F85504"/>
    <w:rsid w:val="00F86C32"/>
    <w:rsid w:val="00F9133B"/>
    <w:rsid w:val="00F92D45"/>
    <w:rsid w:val="00FA700E"/>
    <w:rsid w:val="00FA74DC"/>
    <w:rsid w:val="00FB0D3C"/>
    <w:rsid w:val="00FB2283"/>
    <w:rsid w:val="00FB7BD9"/>
    <w:rsid w:val="00FC1FF6"/>
    <w:rsid w:val="00FC25F7"/>
    <w:rsid w:val="00FC27EA"/>
    <w:rsid w:val="00FC3D5C"/>
    <w:rsid w:val="00FC6436"/>
    <w:rsid w:val="00FC76EC"/>
    <w:rsid w:val="00FD02AE"/>
    <w:rsid w:val="00FD09F6"/>
    <w:rsid w:val="00FD1BB9"/>
    <w:rsid w:val="00FD2ED0"/>
    <w:rsid w:val="00FD4225"/>
    <w:rsid w:val="00FD508D"/>
    <w:rsid w:val="00FE5039"/>
    <w:rsid w:val="00FE7E0B"/>
    <w:rsid w:val="00FF0398"/>
    <w:rsid w:val="00FF059E"/>
    <w:rsid w:val="00FF6730"/>
    <w:rsid w:val="00FF7FD0"/>
    <w:rsid w:val="012D42CF"/>
    <w:rsid w:val="01A34150"/>
    <w:rsid w:val="021D3738"/>
    <w:rsid w:val="03B27778"/>
    <w:rsid w:val="03FF052A"/>
    <w:rsid w:val="057E5747"/>
    <w:rsid w:val="05C57A8D"/>
    <w:rsid w:val="0631241B"/>
    <w:rsid w:val="0C425B07"/>
    <w:rsid w:val="0CBF42F4"/>
    <w:rsid w:val="0CCF64BF"/>
    <w:rsid w:val="0DF91E0E"/>
    <w:rsid w:val="0E3D2E6B"/>
    <w:rsid w:val="1496719B"/>
    <w:rsid w:val="14A83316"/>
    <w:rsid w:val="157F17CE"/>
    <w:rsid w:val="15BE224D"/>
    <w:rsid w:val="164427EF"/>
    <w:rsid w:val="199D6AE4"/>
    <w:rsid w:val="1AC33ED8"/>
    <w:rsid w:val="1C8E1873"/>
    <w:rsid w:val="1D2932FC"/>
    <w:rsid w:val="1E676920"/>
    <w:rsid w:val="1FE56ED6"/>
    <w:rsid w:val="203102D7"/>
    <w:rsid w:val="22FA1BE3"/>
    <w:rsid w:val="2727459E"/>
    <w:rsid w:val="27547B1B"/>
    <w:rsid w:val="281E50E2"/>
    <w:rsid w:val="28EA799C"/>
    <w:rsid w:val="29F46526"/>
    <w:rsid w:val="2C703A0C"/>
    <w:rsid w:val="2D831F1E"/>
    <w:rsid w:val="2EBD1BAF"/>
    <w:rsid w:val="2FA95D26"/>
    <w:rsid w:val="319D20D8"/>
    <w:rsid w:val="31FD6DD2"/>
    <w:rsid w:val="32E14E1F"/>
    <w:rsid w:val="32FA427B"/>
    <w:rsid w:val="333939FF"/>
    <w:rsid w:val="335135B5"/>
    <w:rsid w:val="33B37577"/>
    <w:rsid w:val="35CC52C8"/>
    <w:rsid w:val="366B1BF0"/>
    <w:rsid w:val="367626E8"/>
    <w:rsid w:val="389B5E7B"/>
    <w:rsid w:val="392A096A"/>
    <w:rsid w:val="39340367"/>
    <w:rsid w:val="3AE25855"/>
    <w:rsid w:val="3B795B8D"/>
    <w:rsid w:val="3BC33ACE"/>
    <w:rsid w:val="3D6A1B31"/>
    <w:rsid w:val="3DA87684"/>
    <w:rsid w:val="3DB84948"/>
    <w:rsid w:val="3F961E67"/>
    <w:rsid w:val="42232D2C"/>
    <w:rsid w:val="429967B5"/>
    <w:rsid w:val="437A1A02"/>
    <w:rsid w:val="43AE0BAD"/>
    <w:rsid w:val="44761C93"/>
    <w:rsid w:val="45D43EDF"/>
    <w:rsid w:val="46250CEB"/>
    <w:rsid w:val="474674DC"/>
    <w:rsid w:val="476F54C1"/>
    <w:rsid w:val="47CC2247"/>
    <w:rsid w:val="4C212C71"/>
    <w:rsid w:val="4C532227"/>
    <w:rsid w:val="4DB12E65"/>
    <w:rsid w:val="4EE94B37"/>
    <w:rsid w:val="4FDD6193"/>
    <w:rsid w:val="50D92DFE"/>
    <w:rsid w:val="516923D4"/>
    <w:rsid w:val="51920767"/>
    <w:rsid w:val="527703B5"/>
    <w:rsid w:val="5288688A"/>
    <w:rsid w:val="53AD4D52"/>
    <w:rsid w:val="53FB375A"/>
    <w:rsid w:val="5435474D"/>
    <w:rsid w:val="55681C42"/>
    <w:rsid w:val="55F031B2"/>
    <w:rsid w:val="575D3CE2"/>
    <w:rsid w:val="5C546FCA"/>
    <w:rsid w:val="5C7114B4"/>
    <w:rsid w:val="5D4B3AA7"/>
    <w:rsid w:val="5D6121B1"/>
    <w:rsid w:val="603E6EAB"/>
    <w:rsid w:val="60514791"/>
    <w:rsid w:val="61251997"/>
    <w:rsid w:val="61BF7DEE"/>
    <w:rsid w:val="622E2826"/>
    <w:rsid w:val="628C2F08"/>
    <w:rsid w:val="650851D2"/>
    <w:rsid w:val="656027A4"/>
    <w:rsid w:val="66E26FCF"/>
    <w:rsid w:val="68965A7C"/>
    <w:rsid w:val="69D519B1"/>
    <w:rsid w:val="6A1A02B8"/>
    <w:rsid w:val="6A8614A9"/>
    <w:rsid w:val="6C1C07F9"/>
    <w:rsid w:val="6C79342C"/>
    <w:rsid w:val="6E2B23A6"/>
    <w:rsid w:val="6E510020"/>
    <w:rsid w:val="6F975342"/>
    <w:rsid w:val="6FA409B0"/>
    <w:rsid w:val="6FAD51D1"/>
    <w:rsid w:val="708F16DF"/>
    <w:rsid w:val="712D1C91"/>
    <w:rsid w:val="71D246AB"/>
    <w:rsid w:val="72D84156"/>
    <w:rsid w:val="7321332E"/>
    <w:rsid w:val="750758DC"/>
    <w:rsid w:val="75305E94"/>
    <w:rsid w:val="76360227"/>
    <w:rsid w:val="76495151"/>
    <w:rsid w:val="764A5A81"/>
    <w:rsid w:val="76BD4933"/>
    <w:rsid w:val="773C532B"/>
    <w:rsid w:val="78104AA8"/>
    <w:rsid w:val="78760F91"/>
    <w:rsid w:val="78FF6FF6"/>
    <w:rsid w:val="791A3E30"/>
    <w:rsid w:val="791B4C9F"/>
    <w:rsid w:val="7C762561"/>
    <w:rsid w:val="7D511162"/>
    <w:rsid w:val="7E0A2414"/>
    <w:rsid w:val="7E590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43CEB0"/>
  <w15:docId w15:val="{D1897AE4-A1D4-40F9-B71D-B1C1B1A3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qFormat/>
    <w:pPr>
      <w:spacing w:after="120"/>
    </w:pPr>
  </w:style>
  <w:style w:type="paragraph" w:styleId="a8">
    <w:name w:val="Body Text Indent"/>
    <w:basedOn w:val="a"/>
    <w:qFormat/>
    <w:pPr>
      <w:spacing w:after="120"/>
      <w:ind w:leftChars="200" w:left="420"/>
    </w:pPr>
  </w:style>
  <w:style w:type="paragraph" w:styleId="a9">
    <w:name w:val="Plain Text"/>
    <w:basedOn w:val="a"/>
    <w:link w:val="aa"/>
    <w:qFormat/>
    <w:pPr>
      <w:spacing w:line="360" w:lineRule="auto"/>
      <w:ind w:left="482" w:firstLine="482"/>
    </w:pPr>
    <w:rPr>
      <w:rFonts w:ascii="宋体" w:hAnsi="Courier New"/>
    </w:rPr>
  </w:style>
  <w:style w:type="paragraph" w:styleId="20">
    <w:name w:val="Body Text Indent 2"/>
    <w:basedOn w:val="a"/>
    <w:qFormat/>
    <w:pPr>
      <w:spacing w:after="120" w:line="480" w:lineRule="auto"/>
      <w:ind w:leftChars="200" w:left="420"/>
    </w:pPr>
  </w:style>
  <w:style w:type="paragraph" w:styleId="ab">
    <w:name w:val="Balloon Text"/>
    <w:basedOn w:val="a"/>
    <w:qFormat/>
    <w:rPr>
      <w:sz w:val="18"/>
    </w:rPr>
  </w:style>
  <w:style w:type="paragraph" w:styleId="ac">
    <w:name w:val="footer"/>
    <w:basedOn w:val="a"/>
    <w:qFormat/>
    <w:pPr>
      <w:tabs>
        <w:tab w:val="center" w:pos="4153"/>
        <w:tab w:val="right" w:pos="8306"/>
      </w:tabs>
      <w:snapToGrid w:val="0"/>
      <w:jc w:val="left"/>
    </w:pPr>
    <w:rPr>
      <w:sz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rPr>
  </w:style>
  <w:style w:type="paragraph" w:styleId="3">
    <w:name w:val="Body Text Indent 3"/>
    <w:basedOn w:val="a"/>
    <w:qFormat/>
    <w:pPr>
      <w:spacing w:after="120"/>
      <w:ind w:leftChars="200" w:left="420"/>
    </w:pPr>
    <w:rPr>
      <w:sz w:val="16"/>
    </w:rPr>
  </w:style>
  <w:style w:type="paragraph" w:styleId="TOC2">
    <w:name w:val="toc 2"/>
    <w:basedOn w:val="a"/>
    <w:next w:val="a"/>
    <w:uiPriority w:val="39"/>
    <w:qFormat/>
    <w:pPr>
      <w:ind w:leftChars="200" w:left="420"/>
    </w:pPr>
  </w:style>
  <w:style w:type="paragraph" w:styleId="af">
    <w:name w:val="Normal (Web)"/>
    <w:basedOn w:val="a"/>
    <w:qFormat/>
    <w:rPr>
      <w:sz w:val="24"/>
    </w:rPr>
  </w:style>
  <w:style w:type="paragraph" w:styleId="af0">
    <w:name w:val="annotation subject"/>
    <w:basedOn w:val="a5"/>
    <w:next w:val="a5"/>
    <w:qFormat/>
    <w:rPr>
      <w:b/>
    </w:rPr>
  </w:style>
  <w:style w:type="character" w:styleId="af1">
    <w:name w:val="Strong"/>
    <w:qFormat/>
    <w:rPr>
      <w:b/>
    </w:rPr>
  </w:style>
  <w:style w:type="character" w:styleId="af2">
    <w:name w:val="page number"/>
    <w:qFormat/>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qFormat/>
    <w:rPr>
      <w:sz w:val="21"/>
    </w:rPr>
  </w:style>
  <w:style w:type="character" w:customStyle="1" w:styleId="a6">
    <w:name w:val="批注文字 字符"/>
    <w:link w:val="a5"/>
    <w:qFormat/>
    <w:rPr>
      <w:kern w:val="2"/>
      <w:sz w:val="21"/>
    </w:rPr>
  </w:style>
  <w:style w:type="character" w:customStyle="1" w:styleId="aa">
    <w:name w:val="纯文本 字符"/>
    <w:link w:val="a9"/>
    <w:qFormat/>
    <w:rPr>
      <w:rFonts w:ascii="宋体" w:hAnsi="Courier New"/>
      <w:kern w:val="2"/>
      <w:sz w:val="21"/>
    </w:rPr>
  </w:style>
  <w:style w:type="character" w:customStyle="1" w:styleId="ae">
    <w:name w:val="页眉 字符"/>
    <w:link w:val="ad"/>
    <w:qFormat/>
    <w:rPr>
      <w:kern w:val="2"/>
      <w:sz w:val="18"/>
    </w:rPr>
  </w:style>
  <w:style w:type="character" w:customStyle="1" w:styleId="read">
    <w:name w:val="read"/>
    <w:qFormat/>
  </w:style>
  <w:style w:type="character" w:customStyle="1" w:styleId="1">
    <w:name w:val="页码1"/>
    <w:qFormat/>
  </w:style>
  <w:style w:type="character" w:customStyle="1" w:styleId="21">
    <w:name w:val="页码2"/>
    <w:qFormat/>
  </w:style>
  <w:style w:type="character" w:customStyle="1" w:styleId="bumpedfont15">
    <w:name w:val="bumpedfont15"/>
    <w:qFormat/>
  </w:style>
  <w:style w:type="character" w:customStyle="1" w:styleId="10">
    <w:name w:val="已访问的超链接1"/>
    <w:qFormat/>
    <w:rPr>
      <w:color w:val="800080"/>
      <w:u w:val="single"/>
    </w:rPr>
  </w:style>
  <w:style w:type="paragraph" w:customStyle="1" w:styleId="s5">
    <w:name w:val="s5"/>
    <w:basedOn w:val="a"/>
    <w:qFormat/>
    <w:pPr>
      <w:widowControl/>
      <w:spacing w:before="100" w:beforeAutospacing="1" w:after="100" w:afterAutospacing="1"/>
      <w:jc w:val="left"/>
    </w:pPr>
    <w:rPr>
      <w:rFonts w:ascii="宋体" w:hAnsi="宋体" w:cs="宋体"/>
      <w:kern w:val="0"/>
      <w:sz w:val="24"/>
      <w:szCs w:val="24"/>
    </w:rPr>
  </w:style>
  <w:style w:type="paragraph" w:customStyle="1" w:styleId="11">
    <w:name w:val="1"/>
    <w:basedOn w:val="a"/>
    <w:next w:val="3"/>
    <w:qFormat/>
    <w:pPr>
      <w:adjustRightInd w:val="0"/>
      <w:snapToGrid w:val="0"/>
      <w:ind w:firstLineChars="200" w:firstLine="480"/>
    </w:pPr>
    <w:rPr>
      <w:rFonts w:ascii="仿宋_GB2312" w:eastAsia="仿宋_GB2312" w:hAnsi="宋体"/>
      <w:color w:val="000000"/>
      <w:sz w:val="24"/>
    </w:rPr>
  </w:style>
  <w:style w:type="paragraph" w:customStyle="1" w:styleId="CharCharChar1">
    <w:name w:val="Char Char Char1"/>
    <w:basedOn w:val="a"/>
    <w:qFormat/>
  </w:style>
  <w:style w:type="paragraph" w:customStyle="1" w:styleId="Char">
    <w:name w:val="Char"/>
    <w:basedOn w:val="a"/>
    <w:qFormat/>
  </w:style>
  <w:style w:type="paragraph" w:customStyle="1" w:styleId="CharChar1">
    <w:name w:val="Char Char1"/>
    <w:basedOn w:val="a"/>
    <w:qFormat/>
  </w:style>
  <w:style w:type="paragraph" w:customStyle="1" w:styleId="12">
    <w:name w:val="列出段落1"/>
    <w:basedOn w:val="a"/>
    <w:qFormat/>
    <w:pPr>
      <w:ind w:firstLineChars="200" w:firstLine="420"/>
    </w:pPr>
  </w:style>
  <w:style w:type="paragraph" w:customStyle="1" w:styleId="110">
    <w:name w:val="修订11"/>
    <w:qFormat/>
    <w:rPr>
      <w:kern w:val="2"/>
      <w:sz w:val="21"/>
    </w:rPr>
  </w:style>
  <w:style w:type="paragraph" w:customStyle="1" w:styleId="22">
    <w:name w:val="批注文字2"/>
    <w:basedOn w:val="a"/>
    <w:qFormat/>
    <w:pPr>
      <w:jc w:val="left"/>
    </w:pPr>
  </w:style>
  <w:style w:type="paragraph" w:customStyle="1" w:styleId="Style3">
    <w:name w:val="_Style 3"/>
    <w:basedOn w:val="a"/>
    <w:qFormat/>
  </w:style>
  <w:style w:type="paragraph" w:customStyle="1" w:styleId="13">
    <w:name w:val="修订1"/>
    <w:qFormat/>
    <w:rPr>
      <w:kern w:val="2"/>
      <w:sz w:val="21"/>
    </w:rPr>
  </w:style>
  <w:style w:type="paragraph" w:customStyle="1" w:styleId="14">
    <w:name w:val="批注文字1"/>
    <w:basedOn w:val="a"/>
    <w:qFormat/>
    <w:pPr>
      <w:jc w:val="left"/>
    </w:pPr>
  </w:style>
  <w:style w:type="paragraph" w:customStyle="1" w:styleId="23">
    <w:name w:val="2"/>
    <w:basedOn w:val="a"/>
    <w:next w:val="3"/>
    <w:qFormat/>
    <w:pPr>
      <w:adjustRightInd w:val="0"/>
      <w:snapToGrid w:val="0"/>
      <w:ind w:firstLineChars="200" w:firstLine="480"/>
    </w:pPr>
    <w:rPr>
      <w:rFonts w:ascii="仿宋_GB2312" w:eastAsia="仿宋_GB2312" w:hAnsi="宋体"/>
      <w:color w:val="000000"/>
      <w:sz w:val="24"/>
    </w:rPr>
  </w:style>
  <w:style w:type="paragraph" w:customStyle="1" w:styleId="Style39">
    <w:name w:val="_Style 39"/>
    <w:qFormat/>
    <w:pPr>
      <w:widowControl w:val="0"/>
      <w:jc w:val="both"/>
    </w:pPr>
    <w:rPr>
      <w:kern w:val="2"/>
      <w:sz w:val="21"/>
    </w:rPr>
  </w:style>
  <w:style w:type="paragraph" w:customStyle="1" w:styleId="120">
    <w:name w:val="修订12"/>
    <w:qFormat/>
    <w:rPr>
      <w:kern w:val="2"/>
      <w:sz w:val="21"/>
    </w:rPr>
  </w:style>
  <w:style w:type="paragraph" w:customStyle="1" w:styleId="15">
    <w:name w:val="页眉1"/>
    <w:basedOn w:val="a"/>
    <w:qFormat/>
    <w:pPr>
      <w:pBdr>
        <w:bottom w:val="single" w:sz="6" w:space="1" w:color="auto"/>
      </w:pBdr>
      <w:tabs>
        <w:tab w:val="center" w:pos="4153"/>
        <w:tab w:val="right" w:pos="8306"/>
      </w:tabs>
      <w:snapToGrid w:val="0"/>
      <w:jc w:val="center"/>
    </w:pPr>
    <w:rPr>
      <w:sz w:val="18"/>
    </w:rPr>
  </w:style>
  <w:style w:type="paragraph" w:customStyle="1" w:styleId="111">
    <w:name w:val="批注文字11"/>
    <w:basedOn w:val="a"/>
    <w:qFormat/>
    <w:pPr>
      <w:jc w:val="left"/>
    </w:pPr>
  </w:style>
  <w:style w:type="paragraph" w:customStyle="1" w:styleId="16">
    <w:name w:val="页脚1"/>
    <w:basedOn w:val="a"/>
    <w:qFormat/>
    <w:pPr>
      <w:tabs>
        <w:tab w:val="center" w:pos="4153"/>
        <w:tab w:val="right" w:pos="8306"/>
      </w:tabs>
      <w:snapToGrid w:val="0"/>
      <w:jc w:val="left"/>
    </w:pPr>
    <w:rPr>
      <w:sz w:val="18"/>
    </w:rPr>
  </w:style>
  <w:style w:type="paragraph" w:customStyle="1" w:styleId="CharCharChar">
    <w:name w:val="Char Char Char"/>
    <w:basedOn w:val="a"/>
    <w:qFormat/>
  </w:style>
  <w:style w:type="paragraph" w:customStyle="1" w:styleId="Style6">
    <w:name w:val="_Style 6"/>
    <w:basedOn w:val="a"/>
    <w:next w:val="a"/>
    <w:qFormat/>
    <w:pPr>
      <w:adjustRightInd w:val="0"/>
      <w:snapToGrid w:val="0"/>
      <w:ind w:firstLineChars="200" w:firstLine="480"/>
    </w:pPr>
    <w:rPr>
      <w:rFonts w:ascii="仿宋_GB2312" w:eastAsia="仿宋_GB2312" w:hAnsi="宋体"/>
      <w:color w:val="000000"/>
      <w:sz w:val="24"/>
    </w:rPr>
  </w:style>
  <w:style w:type="paragraph" w:customStyle="1" w:styleId="24">
    <w:name w:val="修订2"/>
    <w:qFormat/>
    <w:rPr>
      <w:kern w:val="2"/>
      <w:sz w:val="21"/>
    </w:rPr>
  </w:style>
  <w:style w:type="paragraph" w:customStyle="1" w:styleId="s8">
    <w:name w:val="s8"/>
    <w:basedOn w:val="a"/>
    <w:qFormat/>
    <w:pPr>
      <w:widowControl/>
      <w:spacing w:before="100" w:beforeAutospacing="1" w:after="100" w:afterAutospacing="1"/>
      <w:jc w:val="left"/>
    </w:pPr>
    <w:rPr>
      <w:rFonts w:ascii="宋体" w:hAnsi="宋体" w:cs="宋体"/>
      <w:kern w:val="0"/>
      <w:sz w:val="24"/>
      <w:szCs w:val="24"/>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olor w:val="CC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51</Pages>
  <Words>15597</Words>
  <Characters>17001</Characters>
  <Application>Microsoft Office Word</Application>
  <DocSecurity>0</DocSecurity>
  <Lines>850</Lines>
  <Paragraphs>881</Paragraphs>
  <ScaleCrop>false</ScaleCrop>
  <Company/>
  <LinksUpToDate>false</LinksUpToDate>
  <CharactersWithSpaces>31717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华泰柏瑞</dc:title>
  <dc:creator>王飞</dc:creator>
  <cp:lastModifiedBy>王银瑞(Wang Yinrui)</cp:lastModifiedBy>
  <cp:revision>14</cp:revision>
  <cp:lastPrinted>2025-09-04T07:31:00Z</cp:lastPrinted>
  <dcterms:created xsi:type="dcterms:W3CDTF">2025-09-04T03:51:00Z</dcterms:created>
  <dcterms:modified xsi:type="dcterms:W3CDTF">2025-09-24T07:31:00Z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eyJoZGlkIjoiNmM0NzYyYjI1OGUwMjNjMTMzZDE5MGI1OTNlNWM5YWQiLCJ1c2VySWQiOiI0MDY0MTkxODMifQ==</vt:lpwstr>
  </property>
  <property fmtid="{D5CDD505-2E9C-101B-9397-08002B2CF9AE}" pid="4" name="ICV">
    <vt:lpwstr>FA1750BBCAD14B64AD5F56A5CDECAB00_13</vt:lpwstr>
  </property>
</Properties>
</file>