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7F5460">
      <w:pPr>
        <w:spacing w:line="520" w:lineRule="atLeast"/>
        <w:rPr>
          <w:lang w:eastAsia="zh-CN"/>
        </w:rPr>
      </w:pPr>
      <w:r>
        <w:rPr>
          <w:rFonts w:ascii="宋体" w:hAnsi="宋体" w:cs="宋体"/>
          <w:highlight w:val="white"/>
          <w:lang w:eastAsia="zh-CN"/>
        </w:rPr>
        <w:t xml:space="preserve">                             </w:t>
      </w:r>
    </w:p>
    <w:p w:rsidR="007F5460">
      <w:pPr>
        <w:spacing w:line="520" w:lineRule="atLeast"/>
        <w:rPr>
          <w:lang w:eastAsia="zh-CN"/>
        </w:rPr>
      </w:pPr>
    </w:p>
    <w:p w:rsidR="007F5460">
      <w:pPr>
        <w:spacing w:line="520" w:lineRule="atLeast"/>
        <w:rPr>
          <w:lang w:eastAsia="zh-CN"/>
        </w:rPr>
      </w:pPr>
    </w:p>
    <w:p w:rsidR="007F5460">
      <w:pPr>
        <w:spacing w:line="520" w:lineRule="atLeast"/>
        <w:rPr>
          <w:lang w:eastAsia="zh-CN"/>
        </w:rPr>
      </w:pPr>
    </w:p>
    <w:p w:rsidR="007F5460">
      <w:pPr>
        <w:spacing w:line="520" w:lineRule="atLeast"/>
        <w:rPr>
          <w:lang w:eastAsia="zh-CN"/>
        </w:rPr>
      </w:pPr>
    </w:p>
    <w:p w:rsidR="007F5460">
      <w:pPr>
        <w:spacing w:line="520" w:lineRule="atLeast"/>
        <w:jc w:val="center"/>
        <w:rPr>
          <w:rFonts w:ascii="Times New Roman" w:hAnsi="Times New Roman" w:cs="Times New Roman"/>
          <w:b/>
          <w:sz w:val="48"/>
          <w:szCs w:val="20"/>
          <w:lang w:eastAsia="zh-CN"/>
        </w:rPr>
      </w:pPr>
      <w:r>
        <w:rPr>
          <w:rFonts w:ascii="Times New Roman" w:hAnsi="Times New Roman" w:cs="Times New Roman" w:hint="eastAsia"/>
          <w:b/>
          <w:sz w:val="48"/>
          <w:szCs w:val="20"/>
          <w:lang w:eastAsia="zh-CN"/>
        </w:rPr>
        <w:t>易方达科技先锋混合型证券投资基金</w:t>
      </w:r>
    </w:p>
    <w:p w:rsidR="007F5460">
      <w:pPr>
        <w:spacing w:line="520" w:lineRule="atLeast"/>
        <w:jc w:val="center"/>
        <w:rPr>
          <w:rFonts w:ascii="Times New Roman" w:hAnsi="Times New Roman" w:cs="Times New Roman"/>
          <w:b/>
          <w:sz w:val="48"/>
          <w:szCs w:val="20"/>
          <w:lang w:eastAsia="zh-CN"/>
        </w:rPr>
      </w:pPr>
      <w:r>
        <w:rPr>
          <w:rFonts w:ascii="Times New Roman" w:hAnsi="Times New Roman" w:cs="Times New Roman" w:hint="eastAsia"/>
          <w:b/>
          <w:sz w:val="48"/>
          <w:szCs w:val="20"/>
          <w:highlight w:val="white"/>
          <w:lang w:eastAsia="zh-CN"/>
        </w:rPr>
        <w:t>托管协议</w:t>
      </w:r>
    </w:p>
    <w:p w:rsidR="007F5460">
      <w:pPr>
        <w:spacing w:line="520" w:lineRule="atLeast"/>
        <w:rPr>
          <w:lang w:eastAsia="zh-CN"/>
        </w:rPr>
      </w:pPr>
    </w:p>
    <w:p w:rsidR="007F5460">
      <w:pPr>
        <w:spacing w:line="520" w:lineRule="atLeast"/>
        <w:rPr>
          <w:lang w:eastAsia="zh-CN"/>
        </w:rPr>
      </w:pPr>
    </w:p>
    <w:p w:rsidR="007F5460">
      <w:pPr>
        <w:spacing w:line="520" w:lineRule="atLeast"/>
        <w:rPr>
          <w:lang w:eastAsia="zh-CN"/>
        </w:rPr>
      </w:pPr>
    </w:p>
    <w:p w:rsidR="007F5460">
      <w:pPr>
        <w:spacing w:line="520" w:lineRule="atLeast"/>
        <w:rPr>
          <w:lang w:eastAsia="zh-CN"/>
        </w:rPr>
      </w:pPr>
    </w:p>
    <w:p w:rsidR="007F5460">
      <w:pPr>
        <w:spacing w:line="520" w:lineRule="atLeast"/>
        <w:jc w:val="center"/>
        <w:rPr>
          <w:rFonts w:ascii="Times New Roman" w:hAnsi="Times New Roman" w:cs="Times New Roman"/>
          <w:b/>
          <w:sz w:val="36"/>
          <w:szCs w:val="20"/>
          <w:lang w:eastAsia="zh-CN"/>
        </w:rPr>
      </w:pPr>
      <w:r>
        <w:rPr>
          <w:rFonts w:ascii="Times New Roman" w:hAnsi="Times New Roman" w:cs="Times New Roman" w:hint="eastAsia"/>
          <w:b/>
          <w:sz w:val="36"/>
          <w:szCs w:val="20"/>
          <w:highlight w:val="white"/>
          <w:lang w:eastAsia="zh-CN"/>
        </w:rPr>
        <w:t>基金管理人：易方达基金管理有限公司</w:t>
      </w:r>
      <w:r>
        <w:rPr>
          <w:rFonts w:ascii="宋体" w:hAnsi="宋体" w:cs="宋体" w:hint="eastAsia"/>
          <w:b/>
          <w:sz w:val="36"/>
          <w:szCs w:val="20"/>
          <w:highlight w:val="white"/>
          <w:lang w:eastAsia="zh-CN"/>
        </w:rPr>
        <w:t xml:space="preserve"> </w:t>
      </w:r>
    </w:p>
    <w:p w:rsidR="007F5460">
      <w:pPr>
        <w:spacing w:line="520" w:lineRule="atLeast"/>
        <w:jc w:val="center"/>
        <w:rPr>
          <w:rFonts w:ascii="Times New Roman" w:hAnsi="Times New Roman" w:cs="Times New Roman"/>
          <w:b/>
          <w:sz w:val="36"/>
          <w:szCs w:val="20"/>
          <w:lang w:eastAsia="zh-CN"/>
        </w:rPr>
      </w:pPr>
      <w:r>
        <w:rPr>
          <w:rFonts w:ascii="Times New Roman" w:hAnsi="Times New Roman" w:cs="Times New Roman" w:hint="eastAsia"/>
          <w:b/>
          <w:sz w:val="36"/>
          <w:szCs w:val="20"/>
          <w:highlight w:val="white"/>
          <w:lang w:eastAsia="zh-CN"/>
        </w:rPr>
        <w:t>基金托管人：中信银行股份有限公司</w:t>
      </w:r>
    </w:p>
    <w:p w:rsidR="007F5460">
      <w:pPr>
        <w:spacing w:line="520" w:lineRule="atLeast"/>
        <w:jc w:val="center"/>
        <w:rPr>
          <w:rFonts w:ascii="宋体" w:hAnsi="宋体" w:cs="Times New Roman"/>
          <w:b/>
          <w:sz w:val="30"/>
          <w:szCs w:val="30"/>
        </w:rPr>
      </w:pPr>
      <w:r>
        <w:rPr>
          <w:rFonts w:ascii="宋体" w:hAnsi="宋体" w:cs="Times New Roman" w:hint="eastAsia"/>
          <w:b/>
          <w:sz w:val="30"/>
          <w:szCs w:val="30"/>
          <w:highlight w:val="white"/>
        </w:rPr>
        <w:t>二</w:t>
      </w:r>
      <w:r>
        <w:rPr>
          <w:rFonts w:ascii="宋体" w:hAnsi="宋体" w:cs="Times New Roman" w:hint="eastAsia"/>
          <w:b/>
          <w:sz w:val="30"/>
          <w:szCs w:val="30"/>
          <w:highlight w:val="white"/>
        </w:rPr>
        <w:t>零</w:t>
      </w:r>
      <w:r>
        <w:rPr>
          <w:rFonts w:ascii="宋体" w:hAnsi="宋体" w:cs="Times New Roman" w:hint="eastAsia"/>
          <w:b/>
          <w:sz w:val="30"/>
          <w:szCs w:val="30"/>
          <w:highlight w:val="white"/>
        </w:rPr>
        <w:t>二</w:t>
      </w:r>
      <w:r>
        <w:rPr>
          <w:rFonts w:ascii="宋体" w:hAnsi="宋体" w:cs="Times New Roman" w:hint="eastAsia"/>
          <w:b/>
          <w:sz w:val="30"/>
          <w:szCs w:val="30"/>
          <w:highlight w:val="white"/>
        </w:rPr>
        <w:t>五</w:t>
      </w:r>
      <w:r>
        <w:rPr>
          <w:rFonts w:ascii="宋体" w:hAnsi="宋体" w:cs="Times New Roman" w:hint="eastAsia"/>
          <w:b/>
          <w:sz w:val="30"/>
          <w:szCs w:val="30"/>
          <w:highlight w:val="white"/>
        </w:rPr>
        <w:t>年</w:t>
      </w:r>
      <w:r>
        <w:rPr>
          <w:rFonts w:ascii="宋体" w:hAnsi="宋体" w:cs="Times New Roman" w:hint="eastAsia"/>
          <w:b/>
          <w:sz w:val="30"/>
          <w:szCs w:val="30"/>
          <w:highlight w:val="white"/>
        </w:rPr>
        <w:t>十一</w:t>
      </w:r>
      <w:r>
        <w:rPr>
          <w:rFonts w:ascii="宋体" w:hAnsi="宋体" w:cs="Times New Roman" w:hint="eastAsia"/>
          <w:b/>
          <w:sz w:val="30"/>
          <w:szCs w:val="30"/>
          <w:highlight w:val="white"/>
        </w:rPr>
        <w:t>月</w:t>
      </w:r>
    </w:p>
    <w:p w:rsidR="007F5460">
      <w:pPr>
        <w:spacing w:line="520" w:lineRule="atLeast"/>
        <w:sectPr>
          <w:headerReference w:type="default" r:id="rId5"/>
          <w:footerReference w:type="default" r:id="rId6"/>
          <w:pgSz w:w="11906" w:h="16838"/>
          <w:pgMar w:top="1440" w:right="1800" w:bottom="1440" w:left="1800" w:header="851" w:footer="992" w:gutter="0"/>
          <w:pgNumType w:start="1"/>
          <w:cols w:space="425"/>
          <w:docGrid w:type="lines" w:linePitch="312"/>
        </w:sectPr>
      </w:pPr>
    </w:p>
    <w:sdt>
      <w:sdtPr>
        <w:rPr>
          <w:rFonts w:ascii="Calibri" w:hAnsi="Calibri" w:cs="Calibri"/>
          <w:color w:val="auto"/>
          <w:sz w:val="21"/>
          <w:szCs w:val="22"/>
          <w:lang w:val="zh-CN"/>
        </w:rPr>
        <w:id w:val="-508528404"/>
        <w:docPartObj>
          <w:docPartGallery w:val="Table of Contents"/>
          <w:docPartUnique/>
        </w:docPartObj>
      </w:sdtPr>
      <w:sdtContent>
        <w:p w:rsidR="007F5460">
          <w:pPr>
            <w:pStyle w:val="TOCHeading"/>
            <w:jc w:val="center"/>
            <w:rPr>
              <w:rFonts w:ascii="宋体" w:hAnsi="宋体" w:cs="Times New Roman"/>
              <w:b/>
              <w:bCs/>
              <w:color w:val="auto"/>
              <w:sz w:val="28"/>
              <w:szCs w:val="28"/>
            </w:rPr>
          </w:pPr>
          <w:r>
            <w:rPr>
              <w:rFonts w:ascii="宋体" w:hAnsi="宋体" w:cs="Times New Roman"/>
              <w:b/>
              <w:bCs/>
              <w:color w:val="auto"/>
              <w:sz w:val="28"/>
              <w:szCs w:val="28"/>
              <w:highlight w:val="white"/>
            </w:rPr>
            <w:t>目录</w:t>
          </w:r>
        </w:p>
        <w:p w:rsidR="007F5460">
          <w:pPr>
            <w:rPr>
              <w:lang w:val="zh-CN"/>
            </w:rPr>
          </w:pPr>
        </w:p>
        <w:p w:rsidR="007F5460">
          <w:pPr>
            <w:pStyle w:val="TOC1"/>
            <w:rPr>
              <w:noProof/>
            </w:rPr>
          </w:pPr>
          <w:r>
            <w:rPr>
              <w:b/>
              <w:lang w:val="zh-CN"/>
            </w:rPr>
            <w:fldChar w:fldCharType="begin"/>
          </w:r>
          <w:r>
            <w:rPr>
              <w:rFonts w:ascii="宋体" w:hAnsi="宋体" w:cs="宋体"/>
              <w:b/>
              <w:highlight w:val="white"/>
              <w:lang w:val="zh-CN"/>
            </w:rPr>
            <w:instrText xml:space="preserve"> TOC \o "1-3" \h \z \u </w:instrText>
          </w:r>
          <w:r>
            <w:rPr>
              <w:b/>
              <w:lang w:val="zh-CN"/>
            </w:rPr>
            <w:fldChar w:fldCharType="separate"/>
          </w:r>
          <w:hyperlink w:anchor="_Toc82511748" w:tooltip="Current Document" w:history="1">
            <w:r>
              <w:rPr>
                <w:rStyle w:val="Hyperlink"/>
                <w:rFonts w:hint="eastAsia"/>
                <w:bCs/>
                <w:noProof/>
                <w:sz w:val="24"/>
                <w:szCs w:val="24"/>
                <w:highlight w:val="white"/>
              </w:rPr>
              <w:t>第一条</w:t>
            </w:r>
            <w:r>
              <w:rPr>
                <w:rStyle w:val="Hyperlink"/>
                <w:rFonts w:ascii="宋体" w:hAnsi="宋体" w:cs="宋体"/>
                <w:bCs/>
                <w:noProof/>
                <w:sz w:val="24"/>
                <w:szCs w:val="24"/>
                <w:highlight w:val="white"/>
              </w:rPr>
              <w:t xml:space="preserve"> </w:t>
            </w:r>
            <w:r>
              <w:rPr>
                <w:rStyle w:val="Hyperlink"/>
                <w:rFonts w:hint="eastAsia"/>
                <w:bCs/>
                <w:noProof/>
                <w:sz w:val="24"/>
                <w:szCs w:val="24"/>
                <w:highlight w:val="white"/>
              </w:rPr>
              <w:t>本协议当事人</w:t>
            </w:r>
            <w:r>
              <w:rPr>
                <w:rFonts w:ascii="宋体" w:hAnsi="宋体" w:cs="宋体"/>
                <w:noProof/>
                <w:highlight w:val="white"/>
              </w:rPr>
              <w:tab/>
            </w:r>
            <w:r>
              <w:rPr>
                <w:noProof/>
              </w:rPr>
              <w:fldChar w:fldCharType="begin"/>
            </w:r>
            <w:r>
              <w:rPr>
                <w:rFonts w:ascii="宋体" w:hAnsi="宋体" w:cs="宋体"/>
                <w:noProof/>
                <w:highlight w:val="white"/>
              </w:rPr>
              <w:instrText xml:space="preserve"> PAGEREF _Toc82511748 \h </w:instrText>
            </w:r>
            <w:r>
              <w:rPr>
                <w:noProof/>
              </w:rPr>
              <w:fldChar w:fldCharType="separate"/>
            </w:r>
            <w:r>
              <w:rPr>
                <w:rFonts w:ascii="宋体" w:hAnsi="宋体" w:cs="宋体"/>
                <w:noProof/>
                <w:highlight w:val="white"/>
              </w:rPr>
              <w:t>3</w:t>
            </w:r>
            <w:r>
              <w:rPr>
                <w:noProof/>
              </w:rPr>
              <w:fldChar w:fldCharType="end"/>
            </w:r>
          </w:hyperlink>
        </w:p>
        <w:p w:rsidR="007F5460">
          <w:pPr>
            <w:pStyle w:val="TOC1"/>
            <w:rPr>
              <w:noProof/>
            </w:rPr>
          </w:pPr>
          <w:hyperlink w:anchor="_Toc82511749" w:tooltip="Current Document" w:history="1">
            <w:r w:rsidR="00DA680D">
              <w:rPr>
                <w:rStyle w:val="Hyperlink"/>
                <w:rFonts w:hint="eastAsia"/>
                <w:bCs/>
                <w:noProof/>
                <w:sz w:val="24"/>
                <w:szCs w:val="24"/>
                <w:highlight w:val="white"/>
              </w:rPr>
              <w:t>第二条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本协议的依据、目的和原则</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_Toc82511749 \h </w:instrText>
            </w:r>
            <w:r w:rsidR="00DA680D">
              <w:rPr>
                <w:noProof/>
              </w:rPr>
              <w:fldChar w:fldCharType="separate"/>
            </w:r>
            <w:r w:rsidR="00DA680D">
              <w:rPr>
                <w:rFonts w:ascii="宋体" w:hAnsi="宋体" w:cs="宋体"/>
                <w:noProof/>
                <w:highlight w:val="white"/>
              </w:rPr>
              <w:t>4</w:t>
            </w:r>
            <w:r w:rsidR="00DA680D">
              <w:rPr>
                <w:noProof/>
              </w:rPr>
              <w:fldChar w:fldCharType="end"/>
            </w:r>
          </w:hyperlink>
        </w:p>
        <w:p w:rsidR="007F5460">
          <w:pPr>
            <w:pStyle w:val="TOC1"/>
            <w:rPr>
              <w:noProof/>
            </w:rPr>
          </w:pPr>
          <w:hyperlink w:anchor="_Toc82511750" w:tooltip="Current Document" w:history="1">
            <w:r w:rsidR="00DA680D">
              <w:rPr>
                <w:rStyle w:val="Hyperlink"/>
                <w:rFonts w:hint="eastAsia"/>
                <w:bCs/>
                <w:noProof/>
                <w:sz w:val="24"/>
                <w:szCs w:val="24"/>
                <w:highlight w:val="white"/>
              </w:rPr>
              <w:t>第三条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基金托管人对基金管理人的业务监督和核查</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_Toc82511750 \h </w:instrText>
            </w:r>
            <w:r w:rsidR="00DA680D">
              <w:rPr>
                <w:noProof/>
              </w:rPr>
              <w:fldChar w:fldCharType="separate"/>
            </w:r>
            <w:r w:rsidR="00DA680D">
              <w:rPr>
                <w:rFonts w:ascii="宋体" w:hAnsi="宋体" w:cs="宋体"/>
                <w:noProof/>
                <w:highlight w:val="white"/>
              </w:rPr>
              <w:t>4</w:t>
            </w:r>
            <w:r w:rsidR="00DA680D">
              <w:rPr>
                <w:noProof/>
              </w:rPr>
              <w:fldChar w:fldCharType="end"/>
            </w:r>
          </w:hyperlink>
        </w:p>
        <w:p w:rsidR="007F5460">
          <w:pPr>
            <w:pStyle w:val="TOC1"/>
            <w:rPr>
              <w:noProof/>
            </w:rPr>
          </w:pPr>
          <w:hyperlink w:anchor="_Toc82511751" w:tooltip="Current Document" w:history="1">
            <w:r w:rsidR="00DA680D">
              <w:rPr>
                <w:rStyle w:val="Hyperlink"/>
                <w:rFonts w:hint="eastAsia"/>
                <w:bCs/>
                <w:noProof/>
                <w:sz w:val="24"/>
                <w:szCs w:val="24"/>
                <w:highlight w:val="white"/>
              </w:rPr>
              <w:t>第四条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基金管理人对基金托管人的业务核查</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_Toc82511751 \h </w:instrText>
            </w:r>
            <w:r w:rsidR="00DA680D">
              <w:rPr>
                <w:noProof/>
              </w:rPr>
              <w:fldChar w:fldCharType="separate"/>
            </w:r>
            <w:r w:rsidR="00DA680D">
              <w:rPr>
                <w:rFonts w:ascii="宋体" w:hAnsi="宋体" w:cs="宋体"/>
                <w:noProof/>
                <w:highlight w:val="white"/>
              </w:rPr>
              <w:t>14</w:t>
            </w:r>
            <w:r w:rsidR="00DA680D">
              <w:rPr>
                <w:noProof/>
              </w:rPr>
              <w:fldChar w:fldCharType="end"/>
            </w:r>
          </w:hyperlink>
        </w:p>
        <w:p w:rsidR="007F5460">
          <w:pPr>
            <w:pStyle w:val="TOC1"/>
            <w:rPr>
              <w:noProof/>
            </w:rPr>
          </w:pPr>
          <w:hyperlink w:anchor="_Toc82511752" w:tooltip="Current Document" w:history="1">
            <w:r w:rsidR="00DA680D">
              <w:rPr>
                <w:rStyle w:val="Hyperlink"/>
                <w:rFonts w:hint="eastAsia"/>
                <w:bCs/>
                <w:noProof/>
                <w:sz w:val="24"/>
                <w:szCs w:val="24"/>
                <w:highlight w:val="white"/>
              </w:rPr>
              <w:t>第五条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基金财产保管</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_Toc82511752 \h </w:instrText>
            </w:r>
            <w:r w:rsidR="00DA680D">
              <w:rPr>
                <w:noProof/>
              </w:rPr>
              <w:fldChar w:fldCharType="separate"/>
            </w:r>
            <w:r w:rsidR="00DA680D">
              <w:rPr>
                <w:rFonts w:ascii="宋体" w:hAnsi="宋体" w:cs="宋体"/>
                <w:noProof/>
                <w:highlight w:val="white"/>
              </w:rPr>
              <w:t>15</w:t>
            </w:r>
            <w:r w:rsidR="00DA680D">
              <w:rPr>
                <w:noProof/>
              </w:rPr>
              <w:fldChar w:fldCharType="end"/>
            </w:r>
          </w:hyperlink>
        </w:p>
        <w:p w:rsidR="007F5460">
          <w:pPr>
            <w:pStyle w:val="TOC1"/>
            <w:rPr>
              <w:noProof/>
            </w:rPr>
          </w:pPr>
          <w:hyperlink w:anchor="_Toc82511753" w:tooltip="Current Document" w:history="1">
            <w:r w:rsidR="00DA680D">
              <w:rPr>
                <w:rStyle w:val="Hyperlink"/>
                <w:rFonts w:hint="eastAsia"/>
                <w:bCs/>
                <w:noProof/>
                <w:sz w:val="24"/>
                <w:szCs w:val="24"/>
                <w:highlight w:val="white"/>
              </w:rPr>
              <w:t>第六条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指令的发送、确认和执行</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_Toc82511753 \h </w:instrText>
            </w:r>
            <w:r w:rsidR="00DA680D">
              <w:rPr>
                <w:noProof/>
              </w:rPr>
              <w:fldChar w:fldCharType="separate"/>
            </w:r>
            <w:r w:rsidR="00DA680D">
              <w:rPr>
                <w:rFonts w:ascii="宋体" w:hAnsi="宋体" w:cs="宋体"/>
                <w:noProof/>
                <w:highlight w:val="white"/>
              </w:rPr>
              <w:t>18</w:t>
            </w:r>
            <w:r w:rsidR="00DA680D">
              <w:rPr>
                <w:noProof/>
              </w:rPr>
              <w:fldChar w:fldCharType="end"/>
            </w:r>
          </w:hyperlink>
        </w:p>
        <w:p w:rsidR="007F5460">
          <w:pPr>
            <w:pStyle w:val="TOC1"/>
            <w:rPr>
              <w:noProof/>
            </w:rPr>
          </w:pPr>
          <w:hyperlink w:anchor="_Toc82511754" w:tooltip="Current Document" w:history="1">
            <w:r w:rsidR="00DA680D">
              <w:rPr>
                <w:rStyle w:val="Hyperlink"/>
                <w:rFonts w:hint="eastAsia"/>
                <w:bCs/>
                <w:noProof/>
                <w:sz w:val="24"/>
                <w:szCs w:val="24"/>
                <w:highlight w:val="white"/>
              </w:rPr>
              <w:t>第七条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交易及清算交收安排</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_Toc82511754 \h </w:instrText>
            </w:r>
            <w:r w:rsidR="00DA680D">
              <w:rPr>
                <w:noProof/>
              </w:rPr>
              <w:fldChar w:fldCharType="separate"/>
            </w:r>
            <w:r w:rsidR="00DA680D">
              <w:rPr>
                <w:rFonts w:ascii="宋体" w:hAnsi="宋体" w:cs="宋体"/>
                <w:noProof/>
                <w:highlight w:val="white"/>
              </w:rPr>
              <w:t>21</w:t>
            </w:r>
            <w:r w:rsidR="00DA680D">
              <w:rPr>
                <w:noProof/>
              </w:rPr>
              <w:fldChar w:fldCharType="end"/>
            </w:r>
          </w:hyperlink>
        </w:p>
        <w:p w:rsidR="007F5460">
          <w:pPr>
            <w:pStyle w:val="TOC1"/>
            <w:rPr>
              <w:noProof/>
            </w:rPr>
          </w:pPr>
          <w:hyperlink w:anchor="_Toc82511755" w:tooltip="Current Document" w:history="1">
            <w:r w:rsidR="00DA680D">
              <w:rPr>
                <w:rStyle w:val="Hyperlink"/>
                <w:rFonts w:hint="eastAsia"/>
                <w:bCs/>
                <w:noProof/>
                <w:sz w:val="24"/>
                <w:szCs w:val="24"/>
                <w:highlight w:val="white"/>
              </w:rPr>
              <w:t>第八条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基金净值计算和会计核算</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_Toc82511755 \h </w:instrText>
            </w:r>
            <w:r w:rsidR="00DA680D">
              <w:rPr>
                <w:noProof/>
              </w:rPr>
              <w:fldChar w:fldCharType="separate"/>
            </w:r>
            <w:r w:rsidR="00DA680D">
              <w:rPr>
                <w:rFonts w:ascii="宋体" w:hAnsi="宋体" w:cs="宋体"/>
                <w:noProof/>
                <w:highlight w:val="white"/>
              </w:rPr>
              <w:t>23</w:t>
            </w:r>
            <w:r w:rsidR="00DA680D">
              <w:rPr>
                <w:noProof/>
              </w:rPr>
              <w:fldChar w:fldCharType="end"/>
            </w:r>
          </w:hyperlink>
        </w:p>
        <w:p w:rsidR="007F5460">
          <w:pPr>
            <w:pStyle w:val="TOC1"/>
            <w:rPr>
              <w:noProof/>
            </w:rPr>
          </w:pPr>
          <w:hyperlink w:anchor="_Toc82511756" w:tooltip="Current Document" w:history="1">
            <w:r w:rsidR="00DA680D">
              <w:rPr>
                <w:rStyle w:val="Hyperlink"/>
                <w:rFonts w:hint="eastAsia"/>
                <w:bCs/>
                <w:noProof/>
                <w:sz w:val="24"/>
                <w:szCs w:val="24"/>
                <w:highlight w:val="white"/>
              </w:rPr>
              <w:t>第九条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基金</w:t>
            </w:r>
            <w:r w:rsidR="00DA680D">
              <w:rPr>
                <w:rStyle w:val="Hyperlink"/>
                <w:rFonts w:hint="eastAsia"/>
                <w:bCs/>
                <w:noProof/>
                <w:sz w:val="24"/>
                <w:szCs w:val="24"/>
                <w:highlight w:val="white"/>
              </w:rPr>
              <w:t>收</w:t>
            </w:r>
            <w:r w:rsidR="00DA680D">
              <w:rPr>
                <w:rStyle w:val="Hyperlink"/>
                <w:rFonts w:hint="eastAsia"/>
                <w:bCs/>
                <w:noProof/>
                <w:sz w:val="24"/>
                <w:szCs w:val="24"/>
                <w:highlight w:val="white"/>
              </w:rPr>
              <w:t>益分配</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_Toc82511756 \h </w:instrText>
            </w:r>
            <w:r w:rsidR="00DA680D">
              <w:rPr>
                <w:noProof/>
              </w:rPr>
              <w:fldChar w:fldCharType="separate"/>
            </w:r>
            <w:r w:rsidR="00DA680D">
              <w:rPr>
                <w:rFonts w:ascii="宋体" w:hAnsi="宋体" w:cs="宋体"/>
                <w:noProof/>
                <w:highlight w:val="white"/>
              </w:rPr>
              <w:t>30</w:t>
            </w:r>
            <w:r w:rsidR="00DA680D">
              <w:rPr>
                <w:noProof/>
              </w:rPr>
              <w:fldChar w:fldCharType="end"/>
            </w:r>
          </w:hyperlink>
        </w:p>
        <w:p w:rsidR="007F5460">
          <w:pPr>
            <w:pStyle w:val="TOC1"/>
            <w:rPr>
              <w:noProof/>
            </w:rPr>
          </w:pPr>
          <w:hyperlink w:anchor="_Toc82511757" w:tooltip="Current Document" w:history="1">
            <w:r w:rsidR="00DA680D">
              <w:rPr>
                <w:rStyle w:val="Hyperlink"/>
                <w:rFonts w:hint="eastAsia"/>
                <w:bCs/>
                <w:noProof/>
                <w:sz w:val="24"/>
                <w:szCs w:val="24"/>
                <w:highlight w:val="white"/>
              </w:rPr>
              <w:t>第十条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信息披露</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_Toc82511757 \h </w:instrText>
            </w:r>
            <w:r w:rsidR="00DA680D">
              <w:rPr>
                <w:noProof/>
              </w:rPr>
              <w:fldChar w:fldCharType="separate"/>
            </w:r>
            <w:r w:rsidR="00DA680D">
              <w:rPr>
                <w:rFonts w:ascii="宋体" w:hAnsi="宋体" w:cs="宋体"/>
                <w:noProof/>
                <w:highlight w:val="white"/>
              </w:rPr>
              <w:t>32</w:t>
            </w:r>
            <w:r w:rsidR="00DA680D">
              <w:rPr>
                <w:noProof/>
              </w:rPr>
              <w:fldChar w:fldCharType="end"/>
            </w:r>
          </w:hyperlink>
        </w:p>
        <w:p w:rsidR="007F5460">
          <w:pPr>
            <w:pStyle w:val="TOC1"/>
            <w:rPr>
              <w:noProof/>
            </w:rPr>
          </w:pPr>
          <w:hyperlink w:anchor="_Toc82511758" w:tooltip="Current Document" w:history="1">
            <w:r w:rsidR="00DA680D">
              <w:rPr>
                <w:rStyle w:val="Hyperlink"/>
                <w:rFonts w:hint="eastAsia"/>
                <w:bCs/>
                <w:noProof/>
                <w:sz w:val="24"/>
                <w:szCs w:val="24"/>
                <w:highlight w:val="white"/>
              </w:rPr>
              <w:t>第十一条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基金费用</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_Toc82511758 \h </w:instrText>
            </w:r>
            <w:r w:rsidR="00DA680D">
              <w:rPr>
                <w:noProof/>
              </w:rPr>
              <w:fldChar w:fldCharType="separate"/>
            </w:r>
            <w:r w:rsidR="00DA680D">
              <w:rPr>
                <w:rFonts w:ascii="宋体" w:hAnsi="宋体" w:cs="宋体"/>
                <w:noProof/>
                <w:highlight w:val="white"/>
              </w:rPr>
              <w:t>34</w:t>
            </w:r>
            <w:r w:rsidR="00DA680D">
              <w:rPr>
                <w:noProof/>
              </w:rPr>
              <w:fldChar w:fldCharType="end"/>
            </w:r>
          </w:hyperlink>
        </w:p>
        <w:p w:rsidR="007F5460">
          <w:pPr>
            <w:pStyle w:val="TOC1"/>
            <w:rPr>
              <w:noProof/>
            </w:rPr>
          </w:pPr>
          <w:hyperlink w:anchor="_Toc82511759" w:tooltip="Current Document" w:history="1">
            <w:r w:rsidR="00DA680D">
              <w:rPr>
                <w:rStyle w:val="Hyperlink"/>
                <w:rFonts w:hint="eastAsia"/>
                <w:bCs/>
                <w:noProof/>
                <w:sz w:val="24"/>
                <w:szCs w:val="24"/>
                <w:highlight w:val="white"/>
              </w:rPr>
              <w:t>第十二条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基金份额持有人名册的保管</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_Toc82511759 \h </w:instrText>
            </w:r>
            <w:r w:rsidR="00DA680D">
              <w:rPr>
                <w:noProof/>
              </w:rPr>
              <w:fldChar w:fldCharType="separate"/>
            </w:r>
            <w:r w:rsidR="00DA680D">
              <w:rPr>
                <w:rFonts w:ascii="宋体" w:hAnsi="宋体" w:cs="宋体"/>
                <w:noProof/>
                <w:highlight w:val="white"/>
              </w:rPr>
              <w:t>39</w:t>
            </w:r>
            <w:r w:rsidR="00DA680D">
              <w:rPr>
                <w:noProof/>
              </w:rPr>
              <w:fldChar w:fldCharType="end"/>
            </w:r>
          </w:hyperlink>
        </w:p>
        <w:p w:rsidR="007F5460">
          <w:pPr>
            <w:pStyle w:val="TOC1"/>
            <w:rPr>
              <w:noProof/>
            </w:rPr>
          </w:pPr>
          <w:hyperlink w:anchor="_Toc82511760" w:tooltip="Current Document" w:history="1">
            <w:r w:rsidR="00DA680D">
              <w:rPr>
                <w:rStyle w:val="Hyperlink"/>
                <w:rFonts w:hint="eastAsia"/>
                <w:bCs/>
                <w:noProof/>
                <w:sz w:val="24"/>
                <w:szCs w:val="24"/>
                <w:highlight w:val="white"/>
              </w:rPr>
              <w:t>第十三条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基金有关文件和档案的保存</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_Toc82511760 \h </w:instrText>
            </w:r>
            <w:r w:rsidR="00DA680D">
              <w:rPr>
                <w:noProof/>
              </w:rPr>
              <w:fldChar w:fldCharType="separate"/>
            </w:r>
            <w:r w:rsidR="00DA680D">
              <w:rPr>
                <w:rFonts w:ascii="宋体" w:hAnsi="宋体" w:cs="宋体"/>
                <w:noProof/>
                <w:highlight w:val="white"/>
              </w:rPr>
              <w:t>39</w:t>
            </w:r>
            <w:r w:rsidR="00DA680D">
              <w:rPr>
                <w:noProof/>
              </w:rPr>
              <w:fldChar w:fldCharType="end"/>
            </w:r>
          </w:hyperlink>
        </w:p>
        <w:p w:rsidR="007F5460">
          <w:pPr>
            <w:pStyle w:val="TOC1"/>
            <w:rPr>
              <w:noProof/>
            </w:rPr>
          </w:pPr>
          <w:hyperlink w:anchor="_Toc82511761" w:tooltip="Current Document" w:history="1">
            <w:r w:rsidR="00DA680D">
              <w:rPr>
                <w:rStyle w:val="Hyperlink"/>
                <w:rFonts w:hint="eastAsia"/>
                <w:bCs/>
                <w:noProof/>
                <w:sz w:val="24"/>
                <w:szCs w:val="24"/>
                <w:highlight w:val="white"/>
              </w:rPr>
              <w:t>第十四条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基金管理人和基金托管人的更换</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_Toc82511761 \h </w:instrText>
            </w:r>
            <w:r w:rsidR="00DA680D">
              <w:rPr>
                <w:noProof/>
              </w:rPr>
              <w:fldChar w:fldCharType="separate"/>
            </w:r>
            <w:r w:rsidR="00DA680D">
              <w:rPr>
                <w:rFonts w:ascii="宋体" w:hAnsi="宋体" w:cs="宋体"/>
                <w:noProof/>
                <w:highlight w:val="white"/>
              </w:rPr>
              <w:t>40</w:t>
            </w:r>
            <w:r w:rsidR="00DA680D">
              <w:rPr>
                <w:noProof/>
              </w:rPr>
              <w:fldChar w:fldCharType="end"/>
            </w:r>
          </w:hyperlink>
        </w:p>
        <w:p w:rsidR="007F5460">
          <w:pPr>
            <w:pStyle w:val="TOC1"/>
            <w:rPr>
              <w:noProof/>
            </w:rPr>
          </w:pPr>
          <w:hyperlink w:anchor="_Toc82511762" w:tooltip="Current Document" w:history="1">
            <w:r w:rsidR="00DA680D">
              <w:rPr>
                <w:rStyle w:val="Hyperlink"/>
                <w:rFonts w:hint="eastAsia"/>
                <w:bCs/>
                <w:noProof/>
                <w:sz w:val="24"/>
                <w:szCs w:val="24"/>
                <w:highlight w:val="white"/>
              </w:rPr>
              <w:t>第十五条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禁止行为</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_Toc82511762 \h </w:instrText>
            </w:r>
            <w:r w:rsidR="00DA680D">
              <w:rPr>
                <w:noProof/>
              </w:rPr>
              <w:fldChar w:fldCharType="separate"/>
            </w:r>
            <w:r w:rsidR="00DA680D">
              <w:rPr>
                <w:rFonts w:ascii="宋体" w:hAnsi="宋体" w:cs="宋体"/>
                <w:noProof/>
                <w:highlight w:val="white"/>
              </w:rPr>
              <w:t>43</w:t>
            </w:r>
            <w:r w:rsidR="00DA680D">
              <w:rPr>
                <w:noProof/>
              </w:rPr>
              <w:fldChar w:fldCharType="end"/>
            </w:r>
          </w:hyperlink>
        </w:p>
        <w:p w:rsidR="007F5460">
          <w:pPr>
            <w:pStyle w:val="TOC1"/>
            <w:rPr>
              <w:noProof/>
            </w:rPr>
          </w:pPr>
          <w:hyperlink w:anchor="_Toc82511763" w:tooltip="Current Document" w:history="1">
            <w:r w:rsidR="00DA680D">
              <w:rPr>
                <w:rStyle w:val="Hyperlink"/>
                <w:rFonts w:hint="eastAsia"/>
                <w:bCs/>
                <w:noProof/>
                <w:sz w:val="24"/>
                <w:szCs w:val="24"/>
                <w:highlight w:val="white"/>
              </w:rPr>
              <w:t>第十六条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本协议的变更、终止与基金财产的清算</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_Toc82511763 \h </w:instrText>
            </w:r>
            <w:r w:rsidR="00DA680D">
              <w:rPr>
                <w:noProof/>
              </w:rPr>
              <w:fldChar w:fldCharType="separate"/>
            </w:r>
            <w:r w:rsidR="00DA680D">
              <w:rPr>
                <w:rFonts w:ascii="宋体" w:hAnsi="宋体" w:cs="宋体"/>
                <w:noProof/>
                <w:highlight w:val="white"/>
              </w:rPr>
              <w:t>44</w:t>
            </w:r>
            <w:r w:rsidR="00DA680D">
              <w:rPr>
                <w:noProof/>
              </w:rPr>
              <w:fldChar w:fldCharType="end"/>
            </w:r>
          </w:hyperlink>
        </w:p>
        <w:p w:rsidR="007F5460">
          <w:pPr>
            <w:pStyle w:val="TOC1"/>
            <w:rPr>
              <w:noProof/>
            </w:rPr>
          </w:pPr>
          <w:hyperlink w:anchor="_Toc82511764" w:tooltip="Current Document" w:history="1">
            <w:r w:rsidR="00DA680D">
              <w:rPr>
                <w:rStyle w:val="Hyperlink"/>
                <w:rFonts w:hint="eastAsia"/>
                <w:bCs/>
                <w:noProof/>
                <w:sz w:val="24"/>
                <w:szCs w:val="24"/>
                <w:highlight w:val="white"/>
              </w:rPr>
              <w:t>第十七条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违约责任</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_Toc82511764 \h </w:instrText>
            </w:r>
            <w:r w:rsidR="00DA680D">
              <w:rPr>
                <w:noProof/>
              </w:rPr>
              <w:fldChar w:fldCharType="separate"/>
            </w:r>
            <w:r w:rsidR="00DA680D">
              <w:rPr>
                <w:rFonts w:ascii="宋体" w:hAnsi="宋体" w:cs="宋体"/>
                <w:noProof/>
                <w:highlight w:val="white"/>
              </w:rPr>
              <w:t>45</w:t>
            </w:r>
            <w:r w:rsidR="00DA680D">
              <w:rPr>
                <w:noProof/>
              </w:rPr>
              <w:fldChar w:fldCharType="end"/>
            </w:r>
          </w:hyperlink>
        </w:p>
        <w:p w:rsidR="007F5460">
          <w:pPr>
            <w:pStyle w:val="TOC1"/>
            <w:rPr>
              <w:noProof/>
            </w:rPr>
          </w:pPr>
          <w:hyperlink w:anchor="_Toc82511765" w:tooltip="Current Document" w:history="1">
            <w:r w:rsidR="00DA680D">
              <w:rPr>
                <w:rStyle w:val="Hyperlink"/>
                <w:rFonts w:hint="eastAsia"/>
                <w:bCs/>
                <w:noProof/>
                <w:sz w:val="24"/>
                <w:szCs w:val="24"/>
                <w:highlight w:val="white"/>
              </w:rPr>
              <w:t>第十八条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法律适用和争议解决</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_Toc82511765 \h </w:instrText>
            </w:r>
            <w:r w:rsidR="00DA680D">
              <w:rPr>
                <w:noProof/>
              </w:rPr>
              <w:fldChar w:fldCharType="separate"/>
            </w:r>
            <w:r w:rsidR="00DA680D">
              <w:rPr>
                <w:rFonts w:ascii="宋体" w:hAnsi="宋体" w:cs="宋体"/>
                <w:noProof/>
                <w:highlight w:val="white"/>
              </w:rPr>
              <w:t>47</w:t>
            </w:r>
            <w:r w:rsidR="00DA680D">
              <w:rPr>
                <w:noProof/>
              </w:rPr>
              <w:fldChar w:fldCharType="end"/>
            </w:r>
          </w:hyperlink>
        </w:p>
        <w:p w:rsidR="007F5460">
          <w:pPr>
            <w:pStyle w:val="TOC1"/>
            <w:rPr>
              <w:noProof/>
            </w:rPr>
          </w:pPr>
          <w:hyperlink w:anchor="_Toc82511766" w:tooltip="Current Document" w:history="1">
            <w:r w:rsidR="00DA680D">
              <w:rPr>
                <w:rStyle w:val="Hyperlink"/>
                <w:rFonts w:hint="eastAsia"/>
                <w:bCs/>
                <w:noProof/>
                <w:sz w:val="24"/>
                <w:szCs w:val="24"/>
                <w:highlight w:val="white"/>
              </w:rPr>
              <w:t>第十九条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本协议的效力</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_Toc82511766 \h </w:instrText>
            </w:r>
            <w:r w:rsidR="00DA680D">
              <w:rPr>
                <w:noProof/>
              </w:rPr>
              <w:fldChar w:fldCharType="separate"/>
            </w:r>
            <w:r w:rsidR="00DA680D">
              <w:rPr>
                <w:rFonts w:ascii="宋体" w:hAnsi="宋体" w:cs="宋体"/>
                <w:noProof/>
                <w:highlight w:val="white"/>
              </w:rPr>
              <w:t>47</w:t>
            </w:r>
            <w:r w:rsidR="00DA680D">
              <w:rPr>
                <w:noProof/>
              </w:rPr>
              <w:fldChar w:fldCharType="end"/>
            </w:r>
          </w:hyperlink>
        </w:p>
        <w:p w:rsidR="007F5460">
          <w:pPr>
            <w:pStyle w:val="TOC1"/>
            <w:rPr>
              <w:noProof/>
            </w:rPr>
          </w:pPr>
          <w:hyperlink w:anchor="_Toc82511767" w:tooltip="Current Document" w:history="1">
            <w:r w:rsidR="00DA680D">
              <w:rPr>
                <w:rStyle w:val="Hyperlink"/>
                <w:rFonts w:hint="eastAsia"/>
                <w:bCs/>
                <w:noProof/>
                <w:sz w:val="24"/>
                <w:szCs w:val="24"/>
                <w:highlight w:val="white"/>
              </w:rPr>
              <w:t>第二十条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本协议的签订</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_Toc82511767 \h </w:instrText>
            </w:r>
            <w:r w:rsidR="00DA680D">
              <w:rPr>
                <w:noProof/>
              </w:rPr>
              <w:fldChar w:fldCharType="separate"/>
            </w:r>
            <w:r w:rsidR="00DA680D">
              <w:rPr>
                <w:rFonts w:ascii="宋体" w:hAnsi="宋体" w:cs="宋体"/>
                <w:noProof/>
                <w:highlight w:val="white"/>
              </w:rPr>
              <w:t>47</w:t>
            </w:r>
            <w:r w:rsidR="00DA680D">
              <w:rPr>
                <w:noProof/>
              </w:rPr>
              <w:fldChar w:fldCharType="end"/>
            </w:r>
          </w:hyperlink>
        </w:p>
        <w:p w:rsidR="007F5460">
          <w:pPr>
            <w:pStyle w:val="TOC1"/>
            <w:rPr>
              <w:noProof/>
            </w:rPr>
          </w:pPr>
          <w:hyperlink w:anchor="_Toc82511768" w:tooltip="Current Document" w:history="1">
            <w:r w:rsidR="00DA680D">
              <w:rPr>
                <w:rStyle w:val="Hyperlink"/>
                <w:rFonts w:hint="eastAsia"/>
                <w:bCs/>
                <w:noProof/>
                <w:sz w:val="24"/>
                <w:szCs w:val="24"/>
                <w:highlight w:val="white"/>
              </w:rPr>
              <w:t>第二十一条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不可抗力</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_Toc82511768 \h </w:instrText>
            </w:r>
            <w:r w:rsidR="00DA680D">
              <w:rPr>
                <w:noProof/>
              </w:rPr>
              <w:fldChar w:fldCharType="separate"/>
            </w:r>
            <w:r w:rsidR="00DA680D">
              <w:rPr>
                <w:rFonts w:ascii="宋体" w:hAnsi="宋体" w:cs="宋体"/>
                <w:noProof/>
                <w:highlight w:val="white"/>
              </w:rPr>
              <w:t>48</w:t>
            </w:r>
            <w:r w:rsidR="00DA680D">
              <w:rPr>
                <w:noProof/>
              </w:rPr>
              <w:fldChar w:fldCharType="end"/>
            </w:r>
          </w:hyperlink>
        </w:p>
        <w:p w:rsidR="007F5460">
          <w:pPr>
            <w:pStyle w:val="TOC1"/>
            <w:rPr>
              <w:noProof/>
            </w:rPr>
          </w:pPr>
          <w:hyperlink w:anchor="_Toc82511769" w:tooltip="Current Document" w:history="1">
            <w:r w:rsidR="00DA680D">
              <w:rPr>
                <w:rStyle w:val="Hyperlink"/>
                <w:rFonts w:hint="eastAsia"/>
                <w:bCs/>
                <w:noProof/>
                <w:sz w:val="24"/>
                <w:szCs w:val="24"/>
                <w:highlight w:val="white"/>
              </w:rPr>
              <w:t>第二十二条</w:t>
            </w:r>
            <w:r w:rsidR="00DA680D">
              <w:rPr>
                <w:rStyle w:val="Hyperlink"/>
                <w:rFonts w:ascii="宋体" w:hAnsi="宋体" w:cs="宋体"/>
                <w:bCs/>
                <w:noProof/>
                <w:sz w:val="24"/>
                <w:szCs w:val="24"/>
                <w:highlight w:val="white"/>
              </w:rPr>
              <w:t xml:space="preserve"> </w:t>
            </w:r>
            <w:r w:rsidR="00DA680D">
              <w:rPr>
                <w:rStyle w:val="Hyperlink"/>
                <w:rFonts w:hint="eastAsia"/>
                <w:bCs/>
                <w:noProof/>
                <w:sz w:val="24"/>
                <w:szCs w:val="24"/>
                <w:highlight w:val="white"/>
              </w:rPr>
              <w:t>可分割性</w:t>
            </w:r>
            <w:r w:rsidR="00DA680D">
              <w:rPr>
                <w:rFonts w:ascii="宋体" w:hAnsi="宋体" w:cs="宋体"/>
                <w:noProof/>
                <w:highlight w:val="white"/>
              </w:rPr>
              <w:tab/>
            </w:r>
            <w:r w:rsidR="00DA680D">
              <w:rPr>
                <w:noProof/>
              </w:rPr>
              <w:fldChar w:fldCharType="begin"/>
            </w:r>
            <w:r w:rsidR="00DA680D">
              <w:rPr>
                <w:rFonts w:ascii="宋体" w:hAnsi="宋体" w:cs="宋体"/>
                <w:noProof/>
                <w:highlight w:val="white"/>
              </w:rPr>
              <w:instrText xml:space="preserve"> PAGEREF _Toc82511769 \h </w:instrText>
            </w:r>
            <w:r w:rsidR="00DA680D">
              <w:rPr>
                <w:noProof/>
              </w:rPr>
              <w:fldChar w:fldCharType="separate"/>
            </w:r>
            <w:r w:rsidR="00DA680D">
              <w:rPr>
                <w:rFonts w:ascii="宋体" w:hAnsi="宋体" w:cs="宋体"/>
                <w:noProof/>
                <w:highlight w:val="white"/>
              </w:rPr>
              <w:t>48</w:t>
            </w:r>
            <w:r w:rsidR="00DA680D">
              <w:rPr>
                <w:noProof/>
              </w:rPr>
              <w:fldChar w:fldCharType="end"/>
            </w:r>
          </w:hyperlink>
        </w:p>
        <w:p w:rsidR="007F5460">
          <w:r>
            <w:rPr>
              <w:b/>
              <w:bCs/>
              <w:lang w:val="zh-CN"/>
            </w:rPr>
            <w:fldChar w:fldCharType="end"/>
          </w:r>
        </w:p>
      </w:sdtContent>
    </w:sdt>
    <w:p w:rsidR="007F5460">
      <w:pPr>
        <w:spacing w:line="520" w:lineRule="atLeast"/>
      </w:pPr>
    </w:p>
    <w:p w:rsidR="007F5460">
      <w:pPr>
        <w:spacing w:line="520" w:lineRule="atLeast"/>
      </w:pPr>
    </w:p>
    <w:p w:rsidR="007F5460">
      <w:pPr>
        <w:spacing w:line="520" w:lineRule="atLeast"/>
      </w:pPr>
    </w:p>
    <w:p w:rsidR="007F5460">
      <w:pPr>
        <w:spacing w:line="520" w:lineRule="atLeast"/>
      </w:pPr>
    </w:p>
    <w:p w:rsidR="007F5460">
      <w:pPr>
        <w:spacing w:line="520" w:lineRule="atLeast"/>
      </w:pPr>
    </w:p>
    <w:p w:rsidR="007F5460">
      <w:pPr>
        <w:spacing w:line="520" w:lineRule="atLeast"/>
        <w:jc w:val="center"/>
        <w:rPr>
          <w:rFonts w:ascii="宋体" w:hAnsi="宋体" w:cs="Times New Roman"/>
          <w:b/>
          <w:sz w:val="28"/>
          <w:szCs w:val="28"/>
          <w:lang w:eastAsia="zh-CN"/>
        </w:rPr>
      </w:pPr>
      <w:r>
        <w:rPr>
          <w:rFonts w:ascii="宋体" w:hAnsi="宋体" w:cs="宋体"/>
          <w:highlight w:val="white"/>
        </w:rPr>
        <w:t> </w:t>
      </w:r>
      <w:r>
        <w:rPr>
          <w:rFonts w:ascii="宋体" w:hAnsi="宋体" w:cs="Times New Roman" w:hint="eastAsia"/>
          <w:b/>
          <w:sz w:val="28"/>
          <w:szCs w:val="28"/>
          <w:lang w:eastAsia="zh-CN"/>
        </w:rPr>
        <w:t>易方达科技先锋混合型证券投资基金</w:t>
      </w:r>
      <w:r>
        <w:rPr>
          <w:rFonts w:ascii="宋体" w:hAnsi="宋体" w:cs="Times New Roman" w:hint="eastAsia"/>
          <w:b/>
          <w:sz w:val="28"/>
          <w:szCs w:val="28"/>
          <w:highlight w:val="white"/>
          <w:lang w:eastAsia="zh-CN"/>
        </w:rPr>
        <w:t>托管协议</w:t>
      </w:r>
    </w:p>
    <w:p w:rsidR="007F5460">
      <w:pPr>
        <w:spacing w:line="520" w:lineRule="atLeast"/>
        <w:rPr>
          <w:lang w:eastAsia="zh-CN"/>
        </w:rPr>
      </w:pPr>
    </w:p>
    <w:p w:rsidR="007F5460">
      <w:pPr>
        <w:spacing w:line="520" w:lineRule="atLeast"/>
        <w:rPr>
          <w:sz w:val="24"/>
          <w:szCs w:val="24"/>
          <w:lang w:eastAsia="zh-CN"/>
        </w:rPr>
      </w:pPr>
      <w:r>
        <w:rPr>
          <w:rFonts w:hint="eastAsia"/>
          <w:sz w:val="24"/>
          <w:szCs w:val="24"/>
          <w:highlight w:val="white"/>
          <w:lang w:eastAsia="zh-CN"/>
        </w:rPr>
        <w:t>基金管理人：易方达基金管理有限公司</w:t>
      </w:r>
    </w:p>
    <w:p w:rsidR="007F5460">
      <w:pPr>
        <w:spacing w:line="520" w:lineRule="atLeast"/>
        <w:rPr>
          <w:sz w:val="24"/>
          <w:szCs w:val="24"/>
          <w:lang w:eastAsia="zh-CN"/>
        </w:rPr>
      </w:pPr>
      <w:r>
        <w:rPr>
          <w:rFonts w:hint="eastAsia"/>
          <w:sz w:val="24"/>
          <w:szCs w:val="24"/>
          <w:highlight w:val="white"/>
          <w:lang w:eastAsia="zh-CN"/>
        </w:rPr>
        <w:t>法定代表人：吴欣荣</w:t>
      </w:r>
    </w:p>
    <w:p w:rsidR="007F5460">
      <w:pPr>
        <w:spacing w:line="520" w:lineRule="atLeast"/>
        <w:rPr>
          <w:sz w:val="24"/>
          <w:szCs w:val="24"/>
          <w:lang w:eastAsia="zh-CN"/>
        </w:rPr>
      </w:pPr>
      <w:r>
        <w:rPr>
          <w:rFonts w:hint="eastAsia"/>
          <w:sz w:val="24"/>
          <w:szCs w:val="24"/>
          <w:highlight w:val="white"/>
          <w:lang w:eastAsia="zh-CN"/>
        </w:rPr>
        <w:t>住所：</w:t>
      </w:r>
      <w:r>
        <w:rPr>
          <w:rFonts w:hint="eastAsia"/>
          <w:sz w:val="24"/>
          <w:highlight w:val="white"/>
          <w:lang w:eastAsia="zh-CN"/>
        </w:rPr>
        <w:t>广东省珠海市横琴新区荣粤道</w:t>
      </w:r>
      <w:r>
        <w:rPr>
          <w:rFonts w:ascii="宋体" w:hAnsi="宋体" w:cs="宋体"/>
          <w:sz w:val="24"/>
          <w:highlight w:val="white"/>
          <w:lang w:eastAsia="zh-CN"/>
        </w:rPr>
        <w:t>188</w:t>
      </w:r>
      <w:r>
        <w:rPr>
          <w:rFonts w:hint="eastAsia"/>
          <w:sz w:val="24"/>
          <w:highlight w:val="white"/>
          <w:lang w:eastAsia="zh-CN"/>
        </w:rPr>
        <w:t>号</w:t>
      </w:r>
      <w:r>
        <w:rPr>
          <w:rFonts w:ascii="宋体" w:hAnsi="宋体" w:cs="宋体"/>
          <w:sz w:val="24"/>
          <w:highlight w:val="white"/>
          <w:lang w:eastAsia="zh-CN"/>
        </w:rPr>
        <w:t>6</w:t>
      </w:r>
      <w:r>
        <w:rPr>
          <w:rFonts w:hint="eastAsia"/>
          <w:sz w:val="24"/>
          <w:highlight w:val="white"/>
          <w:lang w:eastAsia="zh-CN"/>
        </w:rPr>
        <w:t>层</w:t>
      </w:r>
    </w:p>
    <w:p w:rsidR="007F5460">
      <w:pPr>
        <w:spacing w:line="520" w:lineRule="atLeast"/>
        <w:rPr>
          <w:sz w:val="24"/>
          <w:szCs w:val="24"/>
          <w:lang w:eastAsia="zh-CN"/>
        </w:rPr>
      </w:pPr>
    </w:p>
    <w:p w:rsidR="007F5460">
      <w:pPr>
        <w:spacing w:line="520" w:lineRule="atLeast"/>
        <w:rPr>
          <w:sz w:val="24"/>
          <w:szCs w:val="24"/>
          <w:lang w:eastAsia="zh-CN"/>
        </w:rPr>
      </w:pPr>
      <w:r>
        <w:rPr>
          <w:rFonts w:hint="eastAsia"/>
          <w:sz w:val="24"/>
          <w:szCs w:val="24"/>
          <w:highlight w:val="white"/>
          <w:lang w:eastAsia="zh-CN"/>
        </w:rPr>
        <w:t>基金托管人：中信银行股份有限公司</w:t>
      </w:r>
      <w:r>
        <w:rPr>
          <w:rFonts w:ascii="宋体" w:hAnsi="宋体" w:cs="宋体" w:hint="eastAsia"/>
          <w:sz w:val="24"/>
          <w:szCs w:val="24"/>
          <w:highlight w:val="white"/>
          <w:lang w:eastAsia="zh-CN"/>
        </w:rPr>
        <w:t xml:space="preserve"> </w:t>
      </w:r>
    </w:p>
    <w:p w:rsidR="007F5460">
      <w:pPr>
        <w:spacing w:line="520" w:lineRule="atLeast"/>
        <w:rPr>
          <w:sz w:val="24"/>
          <w:szCs w:val="24"/>
          <w:lang w:eastAsia="zh-CN"/>
        </w:rPr>
      </w:pPr>
      <w:r>
        <w:rPr>
          <w:rFonts w:hint="eastAsia"/>
          <w:sz w:val="24"/>
          <w:szCs w:val="24"/>
          <w:highlight w:val="white"/>
          <w:lang w:eastAsia="zh-CN"/>
        </w:rPr>
        <w:t>法定代表人：方合英</w:t>
      </w:r>
    </w:p>
    <w:p w:rsidR="007F5460">
      <w:pPr>
        <w:spacing w:line="520" w:lineRule="atLeast"/>
        <w:rPr>
          <w:sz w:val="24"/>
          <w:szCs w:val="24"/>
          <w:lang w:eastAsia="zh-CN"/>
        </w:rPr>
      </w:pPr>
      <w:r>
        <w:rPr>
          <w:rFonts w:hint="eastAsia"/>
          <w:sz w:val="24"/>
          <w:szCs w:val="24"/>
          <w:highlight w:val="white"/>
          <w:lang w:eastAsia="zh-CN"/>
        </w:rPr>
        <w:t>住</w:t>
      </w:r>
      <w:r>
        <w:rPr>
          <w:rFonts w:ascii="宋体" w:hAnsi="宋体" w:cs="宋体" w:hint="eastAsia"/>
          <w:sz w:val="24"/>
          <w:szCs w:val="24"/>
          <w:highlight w:val="white"/>
          <w:lang w:eastAsia="zh-CN"/>
        </w:rPr>
        <w:t xml:space="preserve">    </w:t>
      </w:r>
      <w:r>
        <w:rPr>
          <w:rFonts w:hint="eastAsia"/>
          <w:sz w:val="24"/>
          <w:szCs w:val="24"/>
          <w:highlight w:val="white"/>
          <w:lang w:eastAsia="zh-CN"/>
        </w:rPr>
        <w:t>所：北京市朝阳区光华路</w:t>
      </w:r>
      <w:r>
        <w:rPr>
          <w:rFonts w:ascii="宋体" w:hAnsi="宋体" w:cs="宋体" w:hint="eastAsia"/>
          <w:sz w:val="24"/>
          <w:szCs w:val="24"/>
          <w:highlight w:val="white"/>
          <w:lang w:eastAsia="zh-CN"/>
        </w:rPr>
        <w:t>10</w:t>
      </w:r>
      <w:r>
        <w:rPr>
          <w:rFonts w:hint="eastAsia"/>
          <w:sz w:val="24"/>
          <w:szCs w:val="24"/>
          <w:highlight w:val="white"/>
          <w:lang w:eastAsia="zh-CN"/>
        </w:rPr>
        <w:t>号院</w:t>
      </w:r>
      <w:r>
        <w:rPr>
          <w:rFonts w:ascii="宋体" w:hAnsi="宋体" w:cs="宋体" w:hint="eastAsia"/>
          <w:sz w:val="24"/>
          <w:szCs w:val="24"/>
          <w:highlight w:val="white"/>
          <w:lang w:eastAsia="zh-CN"/>
        </w:rPr>
        <w:t>1</w:t>
      </w:r>
      <w:r>
        <w:rPr>
          <w:rFonts w:hint="eastAsia"/>
          <w:sz w:val="24"/>
          <w:szCs w:val="24"/>
          <w:highlight w:val="white"/>
          <w:lang w:eastAsia="zh-CN"/>
        </w:rPr>
        <w:t>号楼</w:t>
      </w:r>
      <w:r>
        <w:rPr>
          <w:rFonts w:ascii="宋体" w:hAnsi="宋体" w:cs="宋体" w:hint="eastAsia"/>
          <w:sz w:val="24"/>
          <w:szCs w:val="24"/>
          <w:highlight w:val="white"/>
          <w:lang w:eastAsia="zh-CN"/>
        </w:rPr>
        <w:t xml:space="preserve"> 6-30 </w:t>
      </w:r>
      <w:r>
        <w:rPr>
          <w:rFonts w:hint="eastAsia"/>
          <w:sz w:val="24"/>
          <w:szCs w:val="24"/>
          <w:highlight w:val="white"/>
          <w:lang w:eastAsia="zh-CN"/>
        </w:rPr>
        <w:t>层、</w:t>
      </w:r>
      <w:r>
        <w:rPr>
          <w:rFonts w:ascii="宋体" w:hAnsi="宋体" w:cs="宋体" w:hint="eastAsia"/>
          <w:sz w:val="24"/>
          <w:szCs w:val="24"/>
          <w:highlight w:val="white"/>
          <w:lang w:eastAsia="zh-CN"/>
        </w:rPr>
        <w:t>32-42</w:t>
      </w:r>
      <w:r>
        <w:rPr>
          <w:rFonts w:hint="eastAsia"/>
          <w:sz w:val="24"/>
          <w:szCs w:val="24"/>
          <w:highlight w:val="white"/>
          <w:lang w:eastAsia="zh-CN"/>
        </w:rPr>
        <w:t>层</w:t>
      </w:r>
    </w:p>
    <w:p w:rsidR="007F5460">
      <w:pPr>
        <w:spacing w:line="520" w:lineRule="atLeast"/>
        <w:rPr>
          <w:sz w:val="24"/>
          <w:szCs w:val="24"/>
          <w:lang w:eastAsia="zh-CN"/>
        </w:rPr>
      </w:pPr>
    </w:p>
    <w:p w:rsidR="007F5460">
      <w:pPr>
        <w:pStyle w:val="BodyTextIndent2"/>
        <w:spacing w:before="0" w:after="0" w:line="520" w:lineRule="atLeast"/>
        <w:ind w:left="0" w:firstLine="480" w:firstLineChars="200"/>
        <w:rPr>
          <w:rFonts w:hAnsi="宋体"/>
          <w:b/>
          <w:szCs w:val="24"/>
          <w:lang w:eastAsia="zh-CN"/>
        </w:rPr>
      </w:pPr>
      <w:r>
        <w:rPr>
          <w:rFonts w:hAnsi="宋体" w:hint="eastAsia"/>
          <w:b/>
          <w:szCs w:val="24"/>
          <w:highlight w:val="white"/>
          <w:lang w:eastAsia="zh-CN"/>
        </w:rPr>
        <w:t>鉴于：</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1．易方达基金管理有限公司系一家依照中国法律合法成立并有效存续的法人组织，按照相关法律法规的规定具备担任基金管理人的资格和能力；</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2.中信银行股份有限公司系一家依照中国法律合法成立并有效存续的银行，按照相关法律法规的规定具备担任基金托管人的资格和能力；</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3.易方达基金管理有限公司拟担任</w:t>
      </w:r>
      <w:r>
        <w:rPr>
          <w:rFonts w:hAnsi="宋体" w:hint="eastAsia"/>
          <w:szCs w:val="24"/>
          <w:lang w:eastAsia="zh-CN"/>
        </w:rPr>
        <w:t>易方达科技先锋混合型证券投资基金</w:t>
      </w:r>
      <w:r>
        <w:rPr>
          <w:rFonts w:hAnsi="宋体" w:hint="eastAsia"/>
          <w:szCs w:val="24"/>
          <w:highlight w:val="white"/>
          <w:lang w:eastAsia="zh-CN"/>
        </w:rPr>
        <w:t>的基金管理人，中信银行股份有限公司拟担任</w:t>
      </w:r>
      <w:r>
        <w:rPr>
          <w:rFonts w:hAnsi="宋体" w:hint="eastAsia"/>
          <w:szCs w:val="24"/>
          <w:lang w:eastAsia="zh-CN"/>
        </w:rPr>
        <w:t>易方达科技先锋混合型证券投资基金</w:t>
      </w:r>
      <w:r>
        <w:rPr>
          <w:rFonts w:hAnsi="宋体" w:hint="eastAsia"/>
          <w:szCs w:val="24"/>
          <w:highlight w:val="white"/>
          <w:lang w:eastAsia="zh-CN"/>
        </w:rPr>
        <w:t>的基金托管人；</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为明确双方在基金托管中的权利、义务及责任，确保基金财产的安全，保护基金份额持有人的合法权益，依据相关法律法规和监管规定，双方本着平等自愿、诚实守信的原则特签订本协议。</w:t>
      </w:r>
    </w:p>
    <w:p w:rsidR="007F5460">
      <w:pPr>
        <w:pStyle w:val="BodyTextIndent2"/>
        <w:spacing w:before="0" w:after="0" w:line="520" w:lineRule="atLeast"/>
        <w:ind w:left="0" w:firstLine="480" w:firstLineChars="200"/>
        <w:rPr>
          <w:rFonts w:hAnsi="宋体"/>
          <w:b/>
          <w:szCs w:val="24"/>
          <w:lang w:eastAsia="zh-CN"/>
        </w:rPr>
      </w:pPr>
      <w:r>
        <w:rPr>
          <w:rFonts w:hAnsi="宋体" w:hint="eastAsia"/>
          <w:b/>
          <w:szCs w:val="24"/>
          <w:highlight w:val="white"/>
          <w:lang w:eastAsia="zh-CN"/>
        </w:rPr>
        <w:t>释义：</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除非另有约定，《</w:t>
      </w:r>
      <w:r>
        <w:rPr>
          <w:rFonts w:hAnsi="宋体" w:hint="eastAsia"/>
          <w:szCs w:val="24"/>
          <w:lang w:eastAsia="zh-CN"/>
        </w:rPr>
        <w:t>易方达科技先锋混合型证券投资基金</w:t>
      </w:r>
      <w:r>
        <w:rPr>
          <w:rFonts w:hAnsi="宋体" w:hint="eastAsia"/>
          <w:szCs w:val="24"/>
          <w:highlight w:val="white"/>
          <w:lang w:eastAsia="zh-CN"/>
        </w:rPr>
        <w:t>基金合同》(以下简称“基金合同”)中定义的术语在用于本托管协议时应具有相同的含义；若有抵触，应以基金合同为准，并依其条款解释。</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若本基金实施侧袋机制的，侧袋机制实施期间的相关安排按照基金合同的规定执行。</w:t>
      </w:r>
    </w:p>
    <w:p w:rsidR="007F5460">
      <w:pPr>
        <w:spacing w:line="520" w:lineRule="atLeast"/>
        <w:rPr>
          <w:sz w:val="24"/>
          <w:szCs w:val="24"/>
          <w:lang w:eastAsia="zh-CN"/>
        </w:rPr>
      </w:pPr>
      <w:r>
        <w:rPr>
          <w:rFonts w:ascii="宋体" w:hAnsi="宋体" w:cs="宋体"/>
          <w:sz w:val="24"/>
          <w:szCs w:val="24"/>
          <w:highlight w:val="white"/>
          <w:lang w:eastAsia="zh-CN"/>
        </w:rPr>
        <w:t xml:space="preserve"> </w:t>
      </w:r>
    </w:p>
    <w:p w:rsidR="007F5460">
      <w:pPr>
        <w:pStyle w:val="Heading1"/>
        <w:snapToGrid/>
        <w:spacing w:line="520" w:lineRule="atLeast"/>
        <w:ind w:firstLine="480" w:firstLineChars="200"/>
        <w:rPr>
          <w:bCs/>
          <w:color w:val="auto"/>
          <w:szCs w:val="24"/>
          <w:lang w:eastAsia="zh-CN"/>
        </w:rPr>
      </w:pPr>
      <w:bookmarkStart w:id="0" w:name="_Toc82511748"/>
      <w:r>
        <w:rPr>
          <w:rFonts w:hint="eastAsia"/>
          <w:bCs/>
          <w:color w:val="auto"/>
          <w:szCs w:val="24"/>
          <w:highlight w:val="white"/>
          <w:lang w:eastAsia="zh-CN"/>
        </w:rPr>
        <w:t>第一条 本协议当事人</w:t>
      </w:r>
      <w:bookmarkEnd w:id="0"/>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1.1基金管理人：</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名称：易方达基金管理有限公司</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住所：广东省珠海市横琴新区荣粤道188号6层</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 xml:space="preserve">法定代表人：吴欣荣 </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设立日期：2001年4月17日</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批准设立机关及批准设立文号：中国证券监督管理委员会，证监基金字[2001]4号</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组织形式：有限责任公司</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注册资本：13,244.2万元人民币</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存续期限：持续经营</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联系电话：4008818088</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 xml:space="preserve"> 1.2基金托管人：</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名称：中信银行股份有限公司</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住所：北京市朝阳区光华路10号院1号楼 6-30 层、32-42层</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法定代表人：方合英</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成立时间：1987年4月20日</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批准设立文号：中华人民共和国国务院办公厅国办函</w:t>
      </w:r>
      <w:r>
        <w:rPr>
          <w:rFonts w:hAnsi="宋体"/>
          <w:szCs w:val="24"/>
          <w:highlight w:val="white"/>
          <w:lang w:eastAsia="zh-CN"/>
        </w:rPr>
        <w:t>[1987]14</w:t>
      </w:r>
      <w:r>
        <w:rPr>
          <w:rFonts w:hAnsi="宋体" w:hint="eastAsia"/>
          <w:szCs w:val="24"/>
          <w:highlight w:val="white"/>
          <w:lang w:eastAsia="zh-CN"/>
        </w:rPr>
        <w:t>号</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基金托管业务批准文号：中国证监会证监基</w:t>
      </w:r>
      <w:r w:rsidR="00EC2CEF">
        <w:rPr>
          <w:rFonts w:hAnsi="宋体" w:hint="eastAsia"/>
          <w:szCs w:val="24"/>
          <w:highlight w:val="white"/>
          <w:lang w:eastAsia="zh-CN"/>
        </w:rPr>
        <w:t>金</w:t>
      </w:r>
      <w:r>
        <w:rPr>
          <w:rFonts w:hAnsi="宋体" w:hint="eastAsia"/>
          <w:szCs w:val="24"/>
          <w:highlight w:val="white"/>
          <w:lang w:eastAsia="zh-CN"/>
        </w:rPr>
        <w:t>字</w:t>
      </w:r>
      <w:r>
        <w:rPr>
          <w:rFonts w:hAnsi="宋体"/>
          <w:szCs w:val="24"/>
          <w:highlight w:val="white"/>
          <w:lang w:eastAsia="zh-CN"/>
        </w:rPr>
        <w:t>[2004]125</w:t>
      </w:r>
      <w:r>
        <w:rPr>
          <w:rFonts w:hAnsi="宋体" w:hint="eastAsia"/>
          <w:szCs w:val="24"/>
          <w:highlight w:val="white"/>
          <w:lang w:eastAsia="zh-CN"/>
        </w:rPr>
        <w:t>号</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组织形式：股份有限公司</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注册资本：489.35亿元人民币</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存续期间：持续经营</w:t>
      </w:r>
    </w:p>
    <w:p w:rsidR="007F5460">
      <w:pPr>
        <w:pStyle w:val="Heading1"/>
        <w:snapToGrid/>
        <w:spacing w:line="520" w:lineRule="atLeast"/>
        <w:ind w:firstLine="480" w:firstLineChars="200"/>
        <w:rPr>
          <w:bCs/>
          <w:color w:val="auto"/>
          <w:szCs w:val="24"/>
          <w:lang w:eastAsia="zh-CN"/>
        </w:rPr>
      </w:pPr>
      <w:bookmarkStart w:id="1" w:name="_Toc82511749"/>
      <w:r>
        <w:rPr>
          <w:rFonts w:hint="eastAsia"/>
          <w:bCs/>
          <w:color w:val="auto"/>
          <w:szCs w:val="24"/>
          <w:highlight w:val="white"/>
          <w:lang w:eastAsia="zh-CN"/>
        </w:rPr>
        <w:t>第二条 本协议的依据、目的和原则</w:t>
      </w:r>
      <w:bookmarkEnd w:id="1"/>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2.1本协议的依据</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订立本协议的依据是《中华人民共和国证券投资基金法》（以下简称“《基金法》”）、《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以下简称“《流动性风险管理规定》”）</w:t>
      </w:r>
      <w:r>
        <w:rPr>
          <w:highlight w:val="white"/>
          <w:lang w:eastAsia="zh-CN"/>
        </w:rPr>
        <w:t>、</w:t>
      </w:r>
      <w:r>
        <w:rPr>
          <w:rFonts w:hAnsi="宋体" w:hint="eastAsia"/>
          <w:szCs w:val="24"/>
          <w:highlight w:val="white"/>
          <w:lang w:eastAsia="zh-CN"/>
        </w:rPr>
        <w:t>《证券投资基金信息披露内容与格式准则第7号〈托管协议的内容与格式〉》、《</w:t>
      </w:r>
      <w:r>
        <w:rPr>
          <w:rFonts w:hAnsi="宋体" w:hint="eastAsia"/>
          <w:szCs w:val="24"/>
          <w:lang w:eastAsia="zh-CN"/>
        </w:rPr>
        <w:t>易方达科技先锋混合型证券投资基金</w:t>
      </w:r>
      <w:r>
        <w:rPr>
          <w:rFonts w:hAnsi="宋体" w:hint="eastAsia"/>
          <w:szCs w:val="24"/>
          <w:highlight w:val="white"/>
          <w:lang w:eastAsia="zh-CN"/>
        </w:rPr>
        <w:t>基金合同》（以下简称“基金合同”）及其他有关规定。</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2.2本协议的目的</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订立本协议的目的是明确基金托管人与基金管理人之间在基金财产的保管、投资运作、净值计算、收益分配、基金份额持有人名册登记、信息披露及相互监督等有关事宜中的权利、义务及职责，确保基金财产的安全，保护基金份额持有人的合法权益。</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2.3本协议的原则</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基金管理人和基金托管人本着平等自愿、诚实信用、充分保护基金份额持有人合法权益的原则，经协商一致，签订本协议。</w:t>
      </w:r>
    </w:p>
    <w:p w:rsidR="007F5460">
      <w:pPr>
        <w:pStyle w:val="Heading1"/>
        <w:snapToGrid/>
        <w:spacing w:line="520" w:lineRule="atLeast"/>
        <w:ind w:firstLine="480" w:firstLineChars="200"/>
        <w:rPr>
          <w:bCs/>
          <w:color w:val="auto"/>
          <w:szCs w:val="24"/>
          <w:lang w:eastAsia="zh-CN"/>
        </w:rPr>
      </w:pPr>
      <w:bookmarkStart w:id="2" w:name="_Toc82511750"/>
      <w:r>
        <w:rPr>
          <w:rFonts w:hint="eastAsia"/>
          <w:bCs/>
          <w:color w:val="auto"/>
          <w:szCs w:val="24"/>
          <w:highlight w:val="white"/>
          <w:lang w:eastAsia="zh-CN"/>
        </w:rPr>
        <w:t>第三条 基金托管人对基金管理人的业务监督和核查</w:t>
      </w:r>
      <w:bookmarkEnd w:id="2"/>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3.1基金托管人对基金管理人的投资行为行使监督权</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3.1.1基金托管人根据有关法律法规的规定和基金合同的约定，对下述基金投资范围、投资对象进行监督。本基金将投资于以下金融工具：</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如法律法规或监管机构以后允许基金投资其他品种，基金管理人在履行适当程序后，本基金可以将其纳入投资范围。</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基金的投资组合比例为：</w:t>
      </w:r>
      <w:r>
        <w:rPr>
          <w:rFonts w:hint="eastAsia"/>
          <w:bCs/>
          <w:lang w:eastAsia="zh-CN"/>
        </w:rPr>
        <w:t>本基金股票资产占基金资产的比例为60%-95%（其中港股通股票不超过股票资产的50%）；投资于科技主题相关股票的资产不低于非现金基金资产的80%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r>
        <w:rPr>
          <w:rFonts w:hAnsi="宋体" w:hint="eastAsia"/>
          <w:szCs w:val="24"/>
          <w:highlight w:val="white"/>
          <w:lang w:eastAsia="zh-CN"/>
        </w:rPr>
        <w:t xml:space="preserve"> </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 xml:space="preserve">3.1.2基金托管人根据有关法律法规的规定及基金合同的约定对下述基金投融资比例进行监督：       </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（1）本基金股票资产占基金资产的比例为60%-95%（其中港股通股票不超过股票资产的50%）；投资于科技主题相关股票的资产不低于非现金基金资产的80%；</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（2）保持不低于基金资产净值5％的现金或者到期日在一年以内的政府债券，其中现金不包括结算备付金、存出保证金和应收申购款等；</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（3）本基金持有一家公司发行的证券（同一家公司在内地和香港同时上市的A+H股合计计算），其市值不超过基金资产净值的10％；</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（5）本基金投资于同一原始权益人的各类资产支持证券的比例，不得超过基金资产净值的10％；</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（6）本基金持有的全部资产支持证券，其市值不得超过基金资产净值的20％；</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（7）本基金持有的同一(指同一信用级别)资产支持证券的比例，不得超过该资产支持证券规模的10％；</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（8）本基金管理人管理的全部基金投资于同一原始权益人的各类资产支持证券，不得超过其各类资产支持证券合计规模的10％；</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（10）基金财产参与股票发行申购，本基金所申报的金额不超过本基金的总资产，本基金所申报的股票数量不超过拟发行股票公司本次发行股票的总量；</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（13）本基金与私募类证券资管产品及中国证监会认定的其他主体为交易对手开展逆回购交易的，可接受质押品的资质要求应当与基金合同约定的投资范围保持一致；</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（14）本基金资产总值不超过基金资产净值的140%；</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（18）基金参与融资业务后，在任何交易日日终，持有的融资买入股票与其他有价证券市值之和，不得超过基金资产净值的95%；</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（19）本基金投资存托凭证的比例限制依照境内上市交易的股票执行，与境内上市交易的股票合并计算；</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（20）法律法规及中国证监会规定的和《基金合同》约定的其他投资限制。</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7F5460">
      <w:pPr>
        <w:pStyle w:val="BodyTextIndent2"/>
        <w:spacing w:before="0" w:after="0" w:line="520" w:lineRule="atLeast"/>
        <w:ind w:left="0" w:firstLine="480" w:firstLineChars="200"/>
        <w:rPr>
          <w:lang w:eastAsia="zh-CN"/>
        </w:rPr>
      </w:pPr>
      <w:r>
        <w:rPr>
          <w:rFonts w:hAnsi="宋体"/>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如法律法规或监管部门对上述投资组合比例限制进行变更的，以变更后的规定为准。法律法规或监管部门取消上述限制，则本基金投资不再受相关限制。</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3.1.3基金托管人根据有关法律法规的规定及基金合同的约定对下述基金投资禁止行为进行监督：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根据法律法规的规定及基金合同的约定，本基金禁止从事下列行为：</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（1）承销证券；</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（2）违反规定向他人贷款或者提供担保；</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（3）从事承担无限责任的投资；</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（4）向其基金管理人、基金托管人出资；</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（5）从事内幕交易、操纵证券交易价格及其他不正当的证券交易活动；</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（6）法律、行政法规和中国证监会规定禁止的其他活动。</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法律法规或监管部门取消或变更上述禁止性规定，本基金不受上述规定的限制或按变更后的规定执行。</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3.1.4基金托管人依据有关法律法规的规定和基金合同的约定对于基金关联投资限制进行监督：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根据法律法规有关从事关联交易的规定，基金管理人和基金托管人应事先相互提供与本机构有控股关系的股东或与本机构有重大利害关系的公司名单及其更新，加盖公章并相互书面提交，并确保所提供名单的真实性、完整性、全面性。名单变更后基金管理人应及时发送基金托管人，基金托管人于2个工作日内进行回函确认已知名单的变更。名单变更时间以基金管理人收到基金托管人回函确认的时间为准。如果基金托管人在运作中严格遵循了监督流程，基金管理人仍违规进行交易，并造成基金资产损失的，由基金管理人承担责任，基金托管人不承担任何损失和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若基金托管人发现基金管理人与关联方进行法律法规禁止基金从事的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3.1.5基金托管人依据有关法律法规的规定和基金合同的约定对基金管理人参与银行间债券市场进行监督：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（1）基金托管人对于基金管理人参与银行间债券市场交易时是否按交易对手名单进行交易进行监督。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2个工作日内回函确认收到该名单。基金托管人向基金管理人发出回函之后，名单开始生效。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托管人发出回函之后，被确认调整的名单开始生效，新名单生效前已与本次剔除的交易对手所进行但尚未结算的交易，仍应按照双方原定协议进行结算。</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如果基金托管人发现基金管理人与不在名单内的银行间债券市场交易对手进行交易，应及时提醒基金管理人撤销交易，经提醒后基金管理人仍执行交易并造成基金资产损失的，基金托管人不承担责任。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（2）基金托管人对于基金管理人参与银行间债券市场交易的交易方式的控制</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并造成基金资产损失的，基金托管人不承担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（3）基金管理人有责任控制交易对手的资信风险。</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按银行间债券市场的交易规则进行交易，并负责解决因交易对手不履行合同而造成的纠纷。若未履约的交易对手在基金管理人确定的时间内仍未承担违约责任及其他相关法律责任的，基金管理人可以对相应损失先行予以承担，然后再向相关交易对手追偿。</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3.1.6基金托管人对基金投资流通受限证券的监督：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基金投资流通受限证券，应遵守有关法律法规规定。流通受限证券指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应至少于首次执行投资指令之前2个工作日将上述资料书面发至基金托管人，保证基金托管人有足够的时间进行审核。基金托管人应在收到上述资料后2个工作日内，以书面或其他双方认可的方式确认收到上述资料。</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基金投资流通受限证券前，基金管理人应向基金托管人提供符合法律法规要求的有关必要书面信息。基金管理人应保证上述信息的真实、完整，并应至少于拟执行投资指令前将上述信息书面发至基金托管人。</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投资流通受限证券前就以上事项进行调整，否则，基金托管人有权拒绝执行有关指令。因拒绝执行该指令造成基金财产损失的，基金托管人不承担任何责任，并有权报告中国证监会。</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3.1.7基金托管人对基金投资中期票据的监督：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（2）如未来有关监管部门发布的法律法规对证券投资基金投资中期票据另有规定的，从其规定。</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的规定和基金合同以及本协议的约定，应及时以书面形式通知基金管理人限期纠正。基金管理人应积极配合和协助基金托管人的监督和核查。基金管理人应按本协议要求向基金托管人及时发出回函，并及时改正。基金托管人有权随时对所通知事项进行复查,督促基金管理人改正。如果基金管理人违规事项未能在限期内纠正的，基金托管人应报告中国证监会。基金托管人不承担由此造成的任何损失和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3.1.8基金托管人根据有关法律法规的规定及基金合同的约定，对基金管理人选择存款银行进行监督：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本基金投资银行存款应符合如下规定：</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（1）基金管理人、基金托管人应当与存款银行建立定期对账机制，确保基金银行存款业务账目及核算的真实、准确。</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（3）基金托管人应对基金银行存款业务进行监督与核查，审查、复核相关协议、账户资料、投资指令、存款证实书等有关文件，履行托管职责。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（4）基金管理人与基金托管人在开展基金存款业务时，应严格遵守《基金法》、《运作办法》等有关法律法规，以及国家有关账户管理、利率管理、支付结算等的各项规定。</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3.2基金托管人对基金管理人业务进行监督和核查的有关措施：</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3.2.1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3.2.2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3.2.3在限期内，基金托管人有权随时对通知事项进行复查，督促基金管理人改正。基金管理人对基金托管人通知的违规事项未能在限期内纠正的，基金托管人应报告中国证监会。</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3.2.4基金托管人发现基金管理人的投资指令违反关法律法规规定或者违反基金合同约定的，应当拒绝执行，立即通知基金管理人。</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3.2.5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3.2.6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3.2.7基金托管人发现基金管理人有重大违规行为，应立即报告中国证监会，同时通知基金管理人限期纠正。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3.2.8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3.2.9基金托管人对资金来源、投资收益及投资安全不承担审核责任，特别是对于本基金所投标的的后续资金使用情况无审核责任，不保证托管财产投资不受损失，不保证最低收益。</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3.2.10基金管理人应遵守中华人民共和国反洗钱法律法规，不参与涉嫌洗钱、恐怖融资、扩散融资等违法犯罪活动；主动配合基金托管人客户身份识别与尽职调查，遵守基金托管人反洗钱与反恐怖融资相关管理规定。对具备合理理由怀疑涉嫌洗钱、恐怖融资的客户，基金托管人将按照中国人民银行反洗钱监管规定采取必要管控措施。</w:t>
      </w:r>
    </w:p>
    <w:p w:rsidR="007F5460">
      <w:pPr>
        <w:pStyle w:val="Heading1"/>
        <w:snapToGrid/>
        <w:spacing w:line="520" w:lineRule="atLeast"/>
        <w:ind w:firstLine="480" w:firstLineChars="200"/>
        <w:rPr>
          <w:bCs/>
          <w:color w:val="auto"/>
          <w:szCs w:val="24"/>
          <w:lang w:eastAsia="zh-CN"/>
        </w:rPr>
      </w:pPr>
      <w:bookmarkStart w:id="3" w:name="_Toc82511751"/>
      <w:r>
        <w:rPr>
          <w:rFonts w:hint="eastAsia"/>
          <w:bCs/>
          <w:color w:val="auto"/>
          <w:szCs w:val="24"/>
          <w:highlight w:val="white"/>
          <w:lang w:eastAsia="zh-CN"/>
        </w:rPr>
        <w:t>第四条 基金管理人对基金托管人的业务核查</w:t>
      </w:r>
      <w:bookmarkEnd w:id="3"/>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4.1基金管理人对基金托管人履行托管职责情况进行核查，核查事项包括但不限于基金托管人安全保管基金财产、开设基金财产的资金账户和证券账户等投资所需的其他账户、复核基金管理人计算的基金资产净值和基金份额净值、根据基金管理人指令办理清算交收、相关信息披露和监督基金投资运作等行为。</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4.2基金管理人发现基金托管人擅自挪用基金财产、未对基金财产实行分账管理、无故拒绝执行或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因此所遭受的损失。</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4.3基金管理人发现基金托管人有重大违规行为，应立即报告中国证监会和银行业监督管理机构，同时通知基金托管人限期纠正。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4.4基金托管人应积极配合基金管理人的核查行为，包括但不限于：提交相关资料以供基金管理人核查托管财产的完整性和真实性，在规定时间内答复基金管理人并改正。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4.5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7F5460">
      <w:pPr>
        <w:pStyle w:val="Heading1"/>
        <w:snapToGrid/>
        <w:spacing w:line="520" w:lineRule="atLeast"/>
        <w:ind w:firstLine="480" w:firstLineChars="200"/>
        <w:rPr>
          <w:bCs/>
          <w:color w:val="auto"/>
          <w:szCs w:val="24"/>
          <w:lang w:eastAsia="zh-CN"/>
        </w:rPr>
      </w:pPr>
      <w:bookmarkStart w:id="4" w:name="_Toc82511752"/>
      <w:r>
        <w:rPr>
          <w:rFonts w:hint="eastAsia"/>
          <w:bCs/>
          <w:color w:val="auto"/>
          <w:szCs w:val="24"/>
          <w:highlight w:val="white"/>
          <w:lang w:eastAsia="zh-CN"/>
        </w:rPr>
        <w:t>第五条 基金财产保管</w:t>
      </w:r>
      <w:bookmarkEnd w:id="4"/>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5.1基金财产保管的原则</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5.1.1基金财产应独立于基金管理人、基金托管人的固有财产。</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5.1.2基金托管人应安全保管基金财产。除依据法律法规规定、基金合同和本托管协议约定及基金管理人的正当指令外，不得自行运用、处分、分配基金的任何财产。</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5.1.3基金托管人按照规定开设基金财产的资金账户和证券账户等投资所需的其他账户。</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5.1.4基金托管人对所托管的不同基金财产分别设置账户，与基金托管人的其他业务和其他基金的托管业务实行严格的分账管理，确保基金财产的完整与独立。</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5.1.5基金托管人根据基金管理人的指令，按照基金合同和本协议的约定保管基金财产，如有特殊情况双方可另行协商解决。</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5.1.6除依据法律法规和基金合同的规定外，基金托管人不得委托第三人托管基金资产。</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5.2募集资金的验资</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5.2.1基金募集期间募集的资金应开立“基金募集专户”。该账户由基金管理人开立并管理。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5.2.2基金募集期满或基金提前结束募集时，募集的基金份额总额、基金募集金额、基金份额持有人人数符合《基金法》、《运作办法》等有关规定后，基金管理人应将募集的属于本基金财产的全部资金划入基金托管人为本基金开立的托管专户中，基金托管人在收到资金当日出具确认文件。同时，基金管理人应聘请符合《证券法》规定的会计师事务所进行验资，出具验资报告，出具的验资报告应由参加验资的2名以上（含2名）中国注册会计师签字有效。</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5.2.3若基金募集期限届满，未能达到基金备案条件，由基金管理人按规定办理退款事宜。</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5.3基金的银行账户的开立和管理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5.3.1基金托管人以本基金的名义在其营业机构开立基金的银行账户，并根据基金管理人合法合规的指令办理资金收付。本基金的银行预留印鉴由基金托管人刻制、保管和使用。</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5.3.2基金银行账户的开立和使用，限于满足开展本基金业务的需要。基金托管人和基金管理人不得假借本基金的名义开立任何其他银行账户；亦不得使用基金的任何账户进行本基金业务以外的活动。</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5.3.3基金银行账户的开立和管理应符合有关法律法规以及银行业监督管理机构的有关规定。</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5.4基金证券账户与证券交易资金账户的开设和管理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5.4.1基金托管人以基金托管人和本基金联名的方式在中国证券登记结算有限责任公司（以下简称“中登公司”）开设证券账户。</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5.4.2基金管理人以基金名义在基金管理人选择的证券经纪机构营业网点开立证券资金账户。证券经纪机构根据相关法律法规、规范性文件为本基金开立相关资金账户，并按照该证券经纪机构开户的流程和要求与基金管理人签订相关协议。</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5.4.3基金证券账户的开立和使用，限于满足开展本基金业务的需要。基金托管人和基金管理人不得出借和未经对方同意擅自转让基金的任何证券账户；亦不得使用基金的任何账户进行本基金业务以外的活动。</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5.4.4交易所证券交易资金采用第三方存管模式，即用于证券交易结算资金全额存放在基金管理人为基金开立的证券资金账户中，场内的证券交易资金清算由基金管理人所选择的证券公司负责。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5.5债券托管账户的开立和管理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5.5.1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5.5.2基金管理人和基金托管人应一起负责为基金对外签订全国银行间国债市场回购主协议，正本由基金管理人保存。</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5.6其他账户的开设和管理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在本托管协议生效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5.7基金财产投资的有关实物证券、银行定期存款存单等有价凭证的保管</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财产投资的有关实物证券由基金托管人存放于基金托管人的保管库；其中实物证券也可存入中央国债登记结算有限责任公司、中登公司、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5.8与基金财产有关的重大合同的保管</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20年以上。对于无法取得二份以上的正本的，基金管理人应向基金托管人提供加盖授权业务章的合同传真件，未经双方协商或未在合同约定范围内，合同原件不得转移，由基金管理人保管。</w:t>
      </w:r>
    </w:p>
    <w:p w:rsidR="007F5460">
      <w:pPr>
        <w:pStyle w:val="Heading1"/>
        <w:snapToGrid/>
        <w:spacing w:line="520" w:lineRule="atLeast"/>
        <w:ind w:firstLine="480" w:firstLineChars="200"/>
        <w:rPr>
          <w:bCs/>
          <w:color w:val="auto"/>
          <w:szCs w:val="24"/>
          <w:lang w:eastAsia="zh-CN"/>
        </w:rPr>
      </w:pPr>
      <w:bookmarkStart w:id="5" w:name="_Toc82511753"/>
      <w:r>
        <w:rPr>
          <w:rFonts w:hint="eastAsia"/>
          <w:bCs/>
          <w:color w:val="auto"/>
          <w:szCs w:val="24"/>
          <w:highlight w:val="white"/>
          <w:lang w:eastAsia="zh-CN"/>
        </w:rPr>
        <w:t>第六条 指令的发送、确认和执行</w:t>
      </w:r>
      <w:bookmarkEnd w:id="5"/>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6.1基金管理人对发送指令人员的书面授权</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应事先向基金托管人提供书面授权通知（以下称“授权通知”），指定有权发送指令的人员（以下称“被授权人”）名单、预留印鉴和被授权人签章样本，注明相应的交易权限，并规定基金管理人向基金托管人发送指令时基金托管人确认被授权人身份的方法。授权通知应加盖基金管理人公章。基金管理人应使用传真方式或其他基金托管人和基金管理人书面确认过的方式向基金托管人发出授权通知，同时电话通知基金托管人。基金托管人在收到授权通知当日与基金管理人确认。基金托管人与基金管理人确认之后，授权通知生效。如授权通知中载明的生效日期早于基金托管人与基金管理人确认的时间，则以基金托管人与基金管理人确认的时间为授权通知生效日期；如授权通知中载明的生效日期晚于基金托管人与基金管理人确认的时间，则以授权通知中载明的日期为授权通知生效日期。基金管理人在此后3个工作日内将授权通知的正本送交基金托管人。授权通知正本内容应与基金托管人收到的传真内容一致，若有不一致的，以基金托管人收到的传真为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基金管理人和基金托管人对授权文件负有保密义务，其内容不得向被授权人及相关操作人员以外的任何人泄露，除本协议另有约定或法律法规另有规定或有权机关另有要求的除外。</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6.2指令的内容</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6.3指令的发送、确认和执行的时间和程序</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6.3.1指令由“授权通知”确定的被授权人代表基金管理人用传真的方式或其他基金托管人和基金管理人书面确认过的方式向基金托管人发送。基金管理人有义务在发送指令后及时与托管人进行确认，因基金管理人未能及时与基金托管人进行指令确认，致使资金未能及时到账所造成的损失，基金托管人不承担责任。基金托管人依照“授权通知”规定的方法确认指令有效后，方可执行指令。对于被授权人发出的指令，基金管理人不得否认其效力。基金托管人正确执行基金管理人发送的有效指令，基金份额持有人或基金财产发生损失的，基金托管人不承担责任。基金管理人应按照《基金法》、有关法律法规和基金合同的规定，在其合法的经营权限和交易权限内发送划款指令，被授权人应按照其授权权限发送划款指令。基金管理人在发送指令时，应为基金托管人留出【2】小时，作为执行指令所必需的时间。由基金管理人原因造成的指令传输不及时、未能留出足够划款所需时间，基金托管人不承担资金未能及时到账所造成的损失。</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6.3.2基金托管人根据本协议相关约定仅履行表面一致形式审核职责，对指令的真实性不承担责任。如果基金管理人的指令存在事实上未经授权、欺诈、伪造、变造或未能及时提供授权通知等情形，基金托管人不承担因执行有关指令或拒绝执行有关指令而给基金管理人或基金财产或任何第三方带来的损失。但基金托管人未按协议约定尽形式审核义务执行指令而造成损失的情形除外。</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6.3.3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6.3.4基金托管人应指定专人接收基金管理人的指令，预先通知基金管理人其名单，并与基金管理人商定指令发送和接收方式。基金托管人收到基金管理人发送的指令后，应对指令进行表面形式审查，验证指令的要素是否齐全，传真指令仅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指令复核无误后应在规定期限内及时执行。指令若以传真方式发出，则正本由基金管理人保管，基金托管人保管指令传真件。当两者不一致时，以基金托管人收到的指令传真件为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6.3.5基金管理人应确保基金托管人在执行指令时，基金银行账户有足够的资金余额，对基金管理人在没有充足资金的情况下向基金托管人发出的指令，基金托管人可不予执行，并立即通知基金管理人，基金托管人不承担因为不执行该指令而造成损失的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6.4基金管理人发送错误指令的情形和处理程序</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6.4.1基金管理人发送错误指令的情形包括指令违反相关法律法规或基金合同、指令发送人员无权或超越权限发送指令及交割信息错误，指令中重要信息模糊不清或不全等。</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6.4.2基金托管人在履行监督职能时，发现基金管理人的指令错误时，有权拒绝执行，并及时通知基金管理人改正。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6.5基金托管人依照法律法规暂缓、拒绝执行指令的情形和处理程序</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托管人发现基金管理人发送的指令违反《基金法》、基金合同、本协议或有关基金法规的有关规定，有权视情况暂缓执行或不予执行，并应及时以书面形式通知基金管理人纠正，基金托管人不承担任何损失和责任。对基金管理人更正并重新发送后的指令经基金托管人核对确认后方能执行。</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6.6基金托管人未按照基金管理人指令执行的处理方法</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托管人由于自身过错原因造成未按照或者未及时按照基金管理人发送的符合法律法规规定以及基金合同、本协议约定的指令执行，给基金份额持有人或基金财产造成损失的，应承担相应的责任，但如遇到不可抗力的情况除外。</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6.7更换被授权人的程序</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撤换被授权人员或改变被授权人员的权限，必须提前至少1个交易日，使用传真方式或其他基金托管人和基金管理人书面确认过的方式向基金托管人发出由基金管理人签字和盖章的被授权人变更通知，同时电话通知基金托管人，基金托管人收到变更通知当日与基金管理人确认。被授权人变更通知，自基金管理人收到基金托管人确认时开始生效。基金管理人在此后3个工作日内将被授权人变更通知的正本送交基金托管人。被授权人变更通知的正本应与传真内容一致，若有不一致的，以基金托管人收到的传真件为准。在被授权人变更通知生效之前，基金托管人所接收的原被授权人所签发的划款指令及其它文件仍然完全有效。基金管理人更换被授权人通知生效后，对于已被撤换的人员无权发送的指令，或被改变授权人员超权限发送的指令，基金管理人不承担责任。</w:t>
      </w:r>
    </w:p>
    <w:p w:rsidR="007F5460">
      <w:pPr>
        <w:pStyle w:val="Heading1"/>
        <w:snapToGrid/>
        <w:spacing w:line="520" w:lineRule="atLeast"/>
        <w:ind w:firstLine="480" w:firstLineChars="200"/>
        <w:rPr>
          <w:bCs/>
          <w:color w:val="auto"/>
          <w:szCs w:val="24"/>
          <w:lang w:eastAsia="zh-CN"/>
        </w:rPr>
      </w:pPr>
      <w:bookmarkStart w:id="6" w:name="_Toc82511754"/>
      <w:r>
        <w:rPr>
          <w:rFonts w:hint="eastAsia"/>
          <w:bCs/>
          <w:color w:val="auto"/>
          <w:szCs w:val="24"/>
          <w:highlight w:val="white"/>
          <w:lang w:eastAsia="zh-CN"/>
        </w:rPr>
        <w:t>第七条 交易及清算交收安排</w:t>
      </w:r>
      <w:bookmarkEnd w:id="6"/>
      <w:r>
        <w:rPr>
          <w:rFonts w:hint="eastAsia"/>
          <w:bCs/>
          <w:color w:val="auto"/>
          <w:szCs w:val="24"/>
          <w:highlight w:val="white"/>
          <w:lang w:eastAsia="zh-CN"/>
        </w:rPr>
        <w:t xml:space="preserve"> </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7.1选择代理证券买卖的证券经纪机构</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7.1.1基金管理人应制定选择代理证券买卖的证券经纪机构的标准和程序。基金管理人负责选择代理本基金证券买卖的证券经纪机构，由基金管理人与基金托管人及证券经纪机构签订本基金的证券经纪服务协议，就基金参与场内证券交易、结算等具体事项另行签订协议。</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7.2清算与交割</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7.2.1基金投资证券后的清算交收安排</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本基金通过证券经纪机构进行的交易由证券经纪机构作为结算参与人代理本基金进行结算；本基金其它证券交易由基金托管人或相关机构负责结算。基金清算交收过程中，出现基金财产中资金或证券不足以交收的，基金托管人应当及时通知基金管理人，督促基金管理人积极采取措施、最大程度控制违约交收风险与相关损失，并报告中国证监会。</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基金托管人、基金管理人应共同遵守中登公司制定的相关业务规则和规定，该规则和规定自动成为本条款约定内容。</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基金管理人在投资前，应充分知晓与理解中登公司针对各类交易品种制定的结算业务规则和规定。</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证券经纪机构代理本基金与中登公司完成证券交易所证券交易及非交易涉及的证券资金结算业务，并承担由证券经纪机构原因造成的正常结算、交收业务无法完成的责任；若由于基金管理人原因造成的正常结算业务无法完成，责任由基金管理人承担。</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对于任何原因发生的证券资金交收违约事件，相关各方应当及时协商解决。</w:t>
      </w:r>
    </w:p>
    <w:p w:rsidR="007F5460">
      <w:pPr>
        <w:pStyle w:val="BodyTextIndent2"/>
        <w:spacing w:line="520" w:lineRule="atLeast"/>
        <w:rPr>
          <w:rFonts w:hAnsi="宋体"/>
          <w:szCs w:val="24"/>
          <w:lang w:eastAsia="zh-CN"/>
        </w:rPr>
      </w:pPr>
      <w:r>
        <w:rPr>
          <w:rFonts w:hAnsi="宋体" w:hint="eastAsia"/>
          <w:szCs w:val="24"/>
          <w:highlight w:val="white"/>
          <w:lang w:eastAsia="zh-CN"/>
        </w:rPr>
        <w:t>7.2.2场外交易资金结算</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场外资金对外投资划款由基金托管人凭基金管理人符合本托管协议约定的有效资金划拨指令和相关投资合同（如有）进行资金划拨；场外投资本金及收益的划回，由管理人负责协调相关资金划拨回产品托管户事宜。</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7.3资金、证券账目及交易记录的核对</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7.3.1基金管理人与基金托管人按日进行交易记录的核对。对外披露基金份额净值之前，必须保证当天所有实际交易记录与基金会计账簿上的交易记录完全一致。如果实际交易记录与会计账簿记录不一致，造成基金会计核算不完整或不真实，由此导致的损失由责任方承担。</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7.3.2对基金的资金账目，由相关各方每日对账一次，确保相关各方账账相符。对基金证券账目，由相关各方每日进行对账。对实物券账目，每月月末由相关各方进行账实核对。对交易记录，由相关各方每日对账一次。</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7.4申购、赎回、转换开放式基金的资金清算、数据传递及基金管理人、基金托管人的责任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7.4.1基金管理人和基金托管人在基金的申购赎回、转换中的责任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投资人可通过基金管理人的直销中心和销售机构的代销网点进行申购和赎回申请，基金份额申购、赎回的确认、清算由基金管理人或其委托的登记机构负责。基金托管人负责接收并确认资金的到账情况，以及依照基金管理人的投资指令划付赎回款项。</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7.4.2基金的数据传递</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基金管理人应保证本基金（或本基金管理人委托）的登记机构于每个开放日17：00之前将本基金的申购、赎回、转换的数据传送给基金托管人。基金管理人应对传递的数据的真实性、准确性和完整性负责。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登记机构应通过与基金管理人建立的系统发送有关数据，如因各种原因，该系统无法正常发送，双方可协商解决处理方式。</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7.4.3基金的资金清算</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基金托管专户与“基金清算账户”间的资金结算遵循“全额清算、净额交收”的原则，每日按照托管专户应收资金与应付资金的差额来确定托管专户净应收额或净应付额，以此确定资金交收额。</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如果当日基金为净应收款，基金托管人应及时查收资金是否到账，对于未准时到账的资金，基金托管人应及时通知基金管理人划付。如果当日基金为净应付款，基金托管人应根据基金管理人的指令及时划付，对于未准时划付的资金，基金管理人应及时通知基金托管人划付。因基金托管专户没有足够的资金，导致基金托管人不能按时拨付，基金托管人应及时通知基金管理人。</w:t>
      </w:r>
    </w:p>
    <w:p w:rsidR="007F5460">
      <w:pPr>
        <w:pStyle w:val="Heading1"/>
        <w:snapToGrid/>
        <w:spacing w:line="520" w:lineRule="atLeast"/>
        <w:ind w:firstLine="480" w:firstLineChars="200"/>
        <w:rPr>
          <w:bCs/>
          <w:color w:val="auto"/>
          <w:szCs w:val="24"/>
          <w:lang w:eastAsia="zh-CN"/>
        </w:rPr>
      </w:pPr>
      <w:bookmarkStart w:id="7" w:name="_Toc82511755"/>
      <w:r>
        <w:rPr>
          <w:rFonts w:hint="eastAsia"/>
          <w:bCs/>
          <w:color w:val="auto"/>
          <w:szCs w:val="24"/>
          <w:highlight w:val="white"/>
          <w:lang w:eastAsia="zh-CN"/>
        </w:rPr>
        <w:t>第八条 基金净值计算和会计核算</w:t>
      </w:r>
      <w:bookmarkEnd w:id="7"/>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8.1基金净值的计算、复核的时间和程序</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8.1.1基金净值包括基金资产净值、基金份额净值。基金资产净值是指基金资产总值减去负债后的净资产值。基金份额净值是按照每个估值日闭市后，基金资产净值除以当日基金份额的余额数量计算。基金份额净值的计算保留到小数点后4位，小数点后第5位四舍五入。基金管理人可以设立大额赎回情形下的净值精度应急调整机制。国家另有规定或基金合同另有约定的，从其规定。</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8.1.2基金管理人应每个估值日当日对该估值日的基金资产进行估值，但基金管理人根据法律法规或基金合同的规定暂停估值时除外。估值原则应符合基金合同、《证券投资基金会计核算业务指引》及其他法律、法规的规定。用于基金信息披露的基金资产净值、基金份额净值和基金份额累计净值由基金管理人负责计算，基金托管人复核。基金管理人应于每个估值日当日计算该估值日的基金净值并以双方认可的方式发送给基金托管人。基金托管人对净值计算结果复核后以双方认可的方式发送给基金管理人，由基金管理人按规定对外公布。基金托管人发现基金份额净值计价出现错误的，应当提示基金管理人立即纠正，并采取合理措施防止损失进一步扩大。基金托管人发现基金份额净值计价出现重大错误或者估值出现重大偏离的，应当提示基金管理人依法履行披露和报告义务。</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8.1.3根据《基金法》，基金管理人计算并公告基金净值，基金托管人复核、审查基金管理人计算的基金净值。因此，本基金的会计责任方是基金管理人，就与本基金有关的会计问题，如经相关各方在平等基础上充分讨论后，仍无法达成一致的意见，按照基金管理人对基金净值的计算结果对外予以公布。</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8.2基金资产估值方法</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8.2.1估值对象</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基金所拥有的股票、债券和银行存款本息、应收款项、其它投资等资产及负债。</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 xml:space="preserve">8.2.2估值方法   </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2</w:t>
      </w:r>
      <w:r>
        <w:rPr>
          <w:rFonts w:hAnsi="宋体" w:hint="eastAsia"/>
          <w:szCs w:val="24"/>
          <w:lang w:eastAsia="zh-CN"/>
        </w:rPr>
        <w:t>）</w:t>
      </w:r>
      <w:r>
        <w:rPr>
          <w:rFonts w:hAnsi="宋体" w:hint="eastAsia"/>
          <w:szCs w:val="24"/>
          <w:highlight w:val="white"/>
          <w:lang w:eastAsia="zh-CN"/>
        </w:rPr>
        <w:t>处于未上市期间的有价证券应区分如下情况处理：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1）送股、转增股、配股和公开增发的新股，按估值日在证券交易所挂牌的同一股票的估值方法估值；该日无交易的，以最近一日的市价（收盘价）估值；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2）首次公开发行未上市的股票，采用估值技术确定公允价值；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3）对于已上市或已挂牌转让的不含权固定收益品种，选取估值日第三方估值基准服务机构提供的相应品种当日的估值全价进行估值。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4）对于已上市或已挂牌转让的含权固定收益品种，选取估值日第三方估值基准服务机构提供的相应品种当日的唯一估值全价或推荐估值全价进行估值。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6）对于未上市或未挂牌转让且不存在活跃市场的固定收益品种，采用在当前情况下适用并且有足够可利用数据和其他信息支持的估值技术确定其公允价值。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7）期货合约以估值当日结算价进行估值，估值当日无结算价的，且最近交易日后经济环境未发生重大变化的，采用最近交易日结算价估值。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8）本基金投资期权，根据相关法律法规以及监管部门的规定估值。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9）本基金参与融资业务的，按照相关法律法规、监管部门和行业协会的相关规定进行估值。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10）本基金投资存托凭证的估值核算，依照境内上市交易的股票执行。</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11）汇率</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如本基金投资股票市场交易互联互通机制允许买卖的境外证券市场上市的股票，涉及相关货币对人民币汇率的，汇率来源详见招募说明书。</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12）税收</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13）如有充分理由表明按上述方法进行估值不能客观反映其公允价值的，基金管理人可根据具体情况与基金托管人商定后，按最能反映公允价值的价格估值。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14）当发生大额申购或赎回情形时，基金管理人可以采用摆动定价机制，以确保基金估值的公平性。</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15）相关法律法规以及监管部门有强制规定的，从其规定。如有新增事项，按国家最新规定估值。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8.3估值差错处理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基金管理人和基金托管人将采取必要、适当、合理的措施确保基金资产估值的准确性、及时性。当基金份额净值小数点后4位以内（含第4 位）发生估值错误时，视为基金份额净值错误。</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各当事人应按照以下约定处理：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8.3.1估值错误类型</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Ansi="宋体"/>
          <w:szCs w:val="24"/>
          <w:highlight w:val="white"/>
          <w:lang w:eastAsia="zh-CN"/>
        </w:rPr>
        <w:t>“</w:t>
      </w:r>
      <w:r>
        <w:rPr>
          <w:rFonts w:hAnsi="宋体" w:hint="eastAsia"/>
          <w:szCs w:val="24"/>
          <w:highlight w:val="white"/>
          <w:lang w:eastAsia="zh-CN"/>
        </w:rPr>
        <w:t>受损方</w:t>
      </w:r>
      <w:r>
        <w:rPr>
          <w:rFonts w:hAnsi="宋体"/>
          <w:szCs w:val="24"/>
          <w:highlight w:val="white"/>
          <w:lang w:eastAsia="zh-CN"/>
        </w:rPr>
        <w:t>”</w:t>
      </w:r>
      <w:r>
        <w:rPr>
          <w:rFonts w:hAnsi="宋体" w:hint="eastAsia"/>
          <w:szCs w:val="24"/>
          <w:highlight w:val="white"/>
          <w:lang w:eastAsia="zh-CN"/>
        </w:rPr>
        <w:t>）的直接损失按下述</w:t>
      </w:r>
      <w:r>
        <w:rPr>
          <w:rFonts w:hAnsi="宋体"/>
          <w:szCs w:val="24"/>
          <w:highlight w:val="white"/>
          <w:lang w:eastAsia="zh-CN"/>
        </w:rPr>
        <w:t>“</w:t>
      </w:r>
      <w:r>
        <w:rPr>
          <w:rFonts w:hAnsi="宋体" w:hint="eastAsia"/>
          <w:szCs w:val="24"/>
          <w:highlight w:val="white"/>
          <w:lang w:eastAsia="zh-CN"/>
        </w:rPr>
        <w:t>估值错误处理原则</w:t>
      </w:r>
      <w:r>
        <w:rPr>
          <w:rFonts w:hAnsi="宋体"/>
          <w:szCs w:val="24"/>
          <w:highlight w:val="white"/>
          <w:lang w:eastAsia="zh-CN"/>
        </w:rPr>
        <w:t>”</w:t>
      </w:r>
      <w:r>
        <w:rPr>
          <w:rFonts w:hAnsi="宋体" w:hint="eastAsia"/>
          <w:szCs w:val="24"/>
          <w:highlight w:val="white"/>
          <w:lang w:eastAsia="zh-CN"/>
        </w:rPr>
        <w:t>给予赔偿，承担赔偿责任。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上述估值错误的主要类型包括但不限于：资料申报差错、数据传输差错、数据计算差错、系统故障差错、下达指令差错等。</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8.3.2估值错误处理原则</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1</w:t>
      </w:r>
      <w:r>
        <w:rPr>
          <w:rFonts w:hAnsi="宋体" w:hint="eastAsia"/>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2</w:t>
      </w:r>
      <w:r>
        <w:rPr>
          <w:rFonts w:hAnsi="宋体" w:hint="eastAsia"/>
          <w:szCs w:val="24"/>
          <w:highlight w:val="white"/>
          <w:lang w:eastAsia="zh-CN"/>
        </w:rPr>
        <w:t>）估值错误的责任方对有关当事人的直接损失负责，不对间接损失负责，并且仅对估值错误的有关直接当事人负责，不对第三方负责。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3</w:t>
      </w:r>
      <w:r>
        <w:rPr>
          <w:rFonts w:hAnsi="宋体" w:hint="eastAsia"/>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Ansi="宋体"/>
          <w:szCs w:val="24"/>
          <w:highlight w:val="white"/>
          <w:lang w:eastAsia="zh-CN"/>
        </w:rPr>
        <w:t>“</w:t>
      </w:r>
      <w:r>
        <w:rPr>
          <w:rFonts w:hAnsi="宋体" w:hint="eastAsia"/>
          <w:szCs w:val="24"/>
          <w:highlight w:val="white"/>
          <w:lang w:eastAsia="zh-CN"/>
        </w:rPr>
        <w:t>受损方</w:t>
      </w:r>
      <w:r>
        <w:rPr>
          <w:rFonts w:hAnsi="宋体"/>
          <w:szCs w:val="24"/>
          <w:highlight w:val="white"/>
          <w:lang w:eastAsia="zh-CN"/>
        </w:rPr>
        <w:t>”</w:t>
      </w:r>
      <w:r>
        <w:rPr>
          <w:rFonts w:hAnsi="宋体" w:hint="eastAsia"/>
          <w:szCs w:val="24"/>
          <w:highlight w:val="white"/>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4</w:t>
      </w:r>
      <w:r>
        <w:rPr>
          <w:rFonts w:hAnsi="宋体" w:hint="eastAsia"/>
          <w:szCs w:val="24"/>
          <w:highlight w:val="white"/>
          <w:lang w:eastAsia="zh-CN"/>
        </w:rPr>
        <w:t>）估值错误调整采用尽量恢复至假设未发生估值错误的正确情形的方式。</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8.3.3估值错误处理程序</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估值错误被发现后，有关的当事人应当及时进行处理，处理的程序如下：</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1</w:t>
      </w:r>
      <w:r>
        <w:rPr>
          <w:rFonts w:hAnsi="宋体" w:hint="eastAsia"/>
          <w:szCs w:val="24"/>
          <w:highlight w:val="white"/>
          <w:lang w:eastAsia="zh-CN"/>
        </w:rPr>
        <w:t>）查明估值错误发生的原因，列明所有的当事人，并根据估值错误发生的原因确定估值错误的责任方；</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2</w:t>
      </w:r>
      <w:r>
        <w:rPr>
          <w:rFonts w:hAnsi="宋体" w:hint="eastAsia"/>
          <w:szCs w:val="24"/>
          <w:highlight w:val="white"/>
          <w:lang w:eastAsia="zh-CN"/>
        </w:rPr>
        <w:t>）根据估值错误处理原则或当事人协商的方法对因估值错误造成的损失进行评估；</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3</w:t>
      </w:r>
      <w:r>
        <w:rPr>
          <w:rFonts w:hAnsi="宋体" w:hint="eastAsia"/>
          <w:szCs w:val="24"/>
          <w:highlight w:val="white"/>
          <w:lang w:eastAsia="zh-CN"/>
        </w:rPr>
        <w:t>）根据估值错误处理原则或当事人协商的方法由估值错误的责任方进行更正和赔偿损失；</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4</w:t>
      </w:r>
      <w:r>
        <w:rPr>
          <w:rFonts w:hAnsi="宋体" w:hint="eastAsia"/>
          <w:szCs w:val="24"/>
          <w:highlight w:val="white"/>
          <w:lang w:eastAsia="zh-CN"/>
        </w:rPr>
        <w:t>）根据估值错误处理的方法，需要修改基金登记机构交易数据的，由基金登记机构进行更正，并就估值错误的更正向有关当事人进行确认。</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8.3.4基金份额净值估值错误处理的方法如下：</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1</w:t>
      </w:r>
      <w:r>
        <w:rPr>
          <w:rFonts w:hAnsi="宋体" w:hint="eastAsia"/>
          <w:szCs w:val="24"/>
          <w:highlight w:val="white"/>
          <w:lang w:eastAsia="zh-CN"/>
        </w:rPr>
        <w:t>）基金份额净值计算出现错误时，基金管理人应当立即予以纠正，通报基金托管人，并采取合理的措施防止损失进一步扩大。</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2</w:t>
      </w:r>
      <w:r>
        <w:rPr>
          <w:rFonts w:hAnsi="宋体" w:hint="eastAsia"/>
          <w:szCs w:val="24"/>
          <w:highlight w:val="white"/>
          <w:lang w:eastAsia="zh-CN"/>
        </w:rPr>
        <w:t>）错误偏差达到基金份额净值的</w:t>
      </w:r>
      <w:r>
        <w:rPr>
          <w:rFonts w:hAnsi="宋体"/>
          <w:szCs w:val="24"/>
          <w:highlight w:val="white"/>
          <w:lang w:eastAsia="zh-CN"/>
        </w:rPr>
        <w:t>0.25%</w:t>
      </w:r>
      <w:r>
        <w:rPr>
          <w:rFonts w:hAnsi="宋体" w:hint="eastAsia"/>
          <w:szCs w:val="24"/>
          <w:highlight w:val="white"/>
          <w:lang w:eastAsia="zh-CN"/>
        </w:rPr>
        <w:t>时，基金管理人应当通报基金托管人并报中国证监会备案；错误偏差达到基金份额净值的</w:t>
      </w:r>
      <w:r>
        <w:rPr>
          <w:rFonts w:hAnsi="宋体"/>
          <w:szCs w:val="24"/>
          <w:highlight w:val="white"/>
          <w:lang w:eastAsia="zh-CN"/>
        </w:rPr>
        <w:t>0.5%</w:t>
      </w:r>
      <w:r>
        <w:rPr>
          <w:rFonts w:hAnsi="宋体" w:hint="eastAsia"/>
          <w:szCs w:val="24"/>
          <w:highlight w:val="white"/>
          <w:lang w:eastAsia="zh-CN"/>
        </w:rPr>
        <w:t>时，基金管理人应当公告，并报中国证监会备案。</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Pr>
          <w:rFonts w:hAnsi="宋体"/>
          <w:szCs w:val="24"/>
          <w:highlight w:val="white"/>
          <w:lang w:eastAsia="zh-CN"/>
        </w:rPr>
        <w:t>3</w:t>
      </w:r>
      <w:r>
        <w:rPr>
          <w:rFonts w:hAnsi="宋体" w:hint="eastAsia"/>
          <w:szCs w:val="24"/>
          <w:highlight w:val="white"/>
          <w:lang w:eastAsia="zh-CN"/>
        </w:rPr>
        <w:t>）前述内容如法律法规或监管机关另有规定的，从其规定处理。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8.4基金账册的建立</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8.4.1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8.4.2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8.5基金定期报告的编制和复核</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8.5.1基金财务报告由基金管理人编制，基金托管人复核。月度报告的编制，应于每月终了后5个工作日内完成。</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8.5.2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2个月的，基金管理人可以不编制当期季度报告、中期报告或者年度报告。</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8.5.3《基金合同》生效后，基金招募说明书、基金产品资料概要的信息发生重大变更的，基金管理人应当在三个工作日内，更新基金招募说明书、基金产品资料概要，并登载在规定网站上，并将基金产品资料概要登载在基金销售机构网站或营业网点。基金招募说明书、基金产品资料概要其他信息发生变更的，基金管理人至少每年更新一次。</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8.5.4基金管理人应及时完成报告编制，将有关报告提供基金托管人复核；基金托管人应当在收到报告之日起2个工作日内完成月度报告的复核；在收到报告之日起7个工作日内完成基金季度报告的复核；在收到报告之日起20个工作日内完成基金中期报告的复核；在收到报告之日起30个工作日内完成基金年度报告的复核。基金托管人在复核过程中，发现双方的数据、信息存在不符时，基金管理人和基金托管人应共同查明原因，进行调整，调整以国家有关规定为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8.5.5基金托管人在对财务会计报告、季度、中期报告或年度报告复核完毕后，需盖章确认或出具相应的复核确认书或进行电子确认，以备有权机构对相关文件审核时提示。</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8.6暂停估值的情形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1）基金投资所涉及的证券交易市场遇法定节假日或因其他原因暂停营业时；</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2）因不可抗力致使基金管理人、基金托管人无法准确评估基金资产价值时；</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3）当特定资产占前一估值日基金资产净值50%以上的，经与基金托管人协商确认后，基金管理人应当暂停估值；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4）中国证监会和基金合同认定的其它情形。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 xml:space="preserve">8.7特殊情况的处理 </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（1）基金管理人或基金托管人按估值方法的第（13）项进行估值时，所造成的误差不作为基金资产估值错误处理。</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7F5460">
      <w:pPr>
        <w:pStyle w:val="BodyTextIndent2"/>
        <w:spacing w:line="520" w:lineRule="atLeast"/>
        <w:rPr>
          <w:rFonts w:hAnsi="宋体"/>
          <w:szCs w:val="24"/>
          <w:lang w:eastAsia="zh-CN"/>
        </w:rPr>
      </w:pPr>
      <w:r>
        <w:rPr>
          <w:rFonts w:hAnsi="宋体" w:hint="eastAsia"/>
          <w:szCs w:val="24"/>
          <w:highlight w:val="white"/>
          <w:lang w:eastAsia="zh-CN"/>
        </w:rPr>
        <w:t>8.8实施侧袋机制期间的基金资产估值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本基金实施侧袋机制的，应根据本部分的约定对主袋账户资产进行估值并披露主袋账户的基金资产净值和份额净值，暂停披露侧袋账户份额净值。</w:t>
      </w:r>
    </w:p>
    <w:p w:rsidR="007F5460">
      <w:pPr>
        <w:pStyle w:val="Heading1"/>
        <w:snapToGrid/>
        <w:spacing w:line="520" w:lineRule="atLeast"/>
        <w:ind w:firstLine="480" w:firstLineChars="200"/>
        <w:rPr>
          <w:bCs/>
          <w:color w:val="auto"/>
          <w:szCs w:val="24"/>
          <w:lang w:eastAsia="zh-CN"/>
        </w:rPr>
      </w:pPr>
      <w:bookmarkStart w:id="8" w:name="_Toc82511756"/>
      <w:r>
        <w:rPr>
          <w:rFonts w:hint="eastAsia"/>
          <w:bCs/>
          <w:color w:val="auto"/>
          <w:szCs w:val="24"/>
          <w:highlight w:val="white"/>
          <w:lang w:eastAsia="zh-CN"/>
        </w:rPr>
        <w:t>第九条 基金收益分配</w:t>
      </w:r>
      <w:bookmarkEnd w:id="8"/>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9.1基金利润的构成</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基金利润指基金利息收入、投资收益、公允价值变动收益和其他收入扣除相关费用后的余额；基金已实现收益指基金利润减去公允价值变动收益后的余额。</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9.2基金可供分配利润</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基金可供分配利润指截至收益分配基准日基金未分配利润与未分配利润中已实现收益的孰低数。</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9.3收益分配原则</w:t>
      </w:r>
    </w:p>
    <w:p w:rsidR="007F5460">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1）</w:t>
      </w:r>
      <w:r>
        <w:rPr>
          <w:rFonts w:hint="eastAsia"/>
          <w:bCs/>
          <w:sz w:val="24"/>
          <w:highlight w:val="white"/>
          <w:lang w:eastAsia="zh-CN"/>
        </w:rPr>
        <w:t>在符合有关基金分红条件的前提下，基金管理人可以根据实际情况进行收益分配，具体分配方案以公告为准，若《基金合同》生效不满</w:t>
      </w:r>
      <w:r>
        <w:rPr>
          <w:rFonts w:ascii="宋体" w:hAnsi="宋体" w:cs="宋体" w:hint="eastAsia"/>
          <w:bCs/>
          <w:sz w:val="24"/>
          <w:highlight w:val="white"/>
          <w:lang w:eastAsia="zh-CN"/>
        </w:rPr>
        <w:t>3</w:t>
      </w:r>
      <w:r>
        <w:rPr>
          <w:rFonts w:hint="eastAsia"/>
          <w:bCs/>
          <w:sz w:val="24"/>
          <w:highlight w:val="white"/>
          <w:lang w:eastAsia="zh-CN"/>
        </w:rPr>
        <w:t>个月可不进行收益分配；</w:t>
      </w:r>
    </w:p>
    <w:p w:rsidR="007F5460">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2）</w:t>
      </w:r>
      <w:r>
        <w:rPr>
          <w:rFonts w:hint="eastAsia"/>
          <w:bCs/>
          <w:sz w:val="24"/>
          <w:highlight w:val="white"/>
          <w:lang w:eastAsia="zh-CN"/>
        </w:rPr>
        <w:t>本基金收益分配方式为现金分红；</w:t>
      </w:r>
    </w:p>
    <w:p w:rsidR="007F5460">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3）</w:t>
      </w:r>
      <w:r>
        <w:rPr>
          <w:rFonts w:hint="eastAsia"/>
          <w:bCs/>
          <w:sz w:val="24"/>
          <w:highlight w:val="white"/>
          <w:lang w:eastAsia="zh-CN"/>
        </w:rPr>
        <w:t>基金收益分配后基金份额净值不能低于面值；即基金收益分配基准日的基金份额净值减去每单位基金份额收益分配金额后不能低于面值；</w:t>
      </w:r>
    </w:p>
    <w:p w:rsidR="007F5460">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4）</w:t>
      </w:r>
      <w:r>
        <w:rPr>
          <w:rFonts w:hint="eastAsia"/>
          <w:bCs/>
          <w:sz w:val="24"/>
          <w:highlight w:val="white"/>
          <w:lang w:eastAsia="zh-CN"/>
        </w:rPr>
        <w:t>本基金各基金份额类别在费用收取上不同，其对应的可分配收益可能有所不同。同一类别的每一基金份额享有同等分配权；</w:t>
      </w:r>
    </w:p>
    <w:p w:rsidR="007F5460">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5）</w:t>
      </w:r>
      <w:r>
        <w:rPr>
          <w:rFonts w:hint="eastAsia"/>
          <w:bCs/>
          <w:sz w:val="24"/>
          <w:highlight w:val="white"/>
          <w:lang w:eastAsia="zh-CN"/>
        </w:rPr>
        <w:t>在对基金份额持有人利益无实质不利影响的前提下，基金管理人可调整基金收益的分配原则和支付方式，不需召开基金份额持有人大会审议；</w:t>
      </w:r>
    </w:p>
    <w:p w:rsidR="007F5460">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6）</w:t>
      </w:r>
      <w:r>
        <w:rPr>
          <w:rFonts w:hint="eastAsia"/>
          <w:bCs/>
          <w:sz w:val="24"/>
          <w:highlight w:val="white"/>
          <w:lang w:eastAsia="zh-CN"/>
        </w:rPr>
        <w:t>法律法规或监管机关另有规定的，从其规定。</w:t>
      </w:r>
    </w:p>
    <w:p w:rsidR="007F5460" w:rsidRPr="006E7114">
      <w:pPr>
        <w:spacing w:line="360" w:lineRule="auto"/>
        <w:ind w:firstLine="480" w:firstLineChars="200"/>
        <w:rPr>
          <w:rFonts w:hAnsi="宋体" w:cs="宋体"/>
          <w:sz w:val="24"/>
          <w:szCs w:val="24"/>
          <w:lang w:eastAsia="zh-CN"/>
        </w:rPr>
      </w:pPr>
      <w:bookmarkStart w:id="9" w:name="_GoBack"/>
      <w:r w:rsidRPr="006E7114">
        <w:rPr>
          <w:rFonts w:ascii="宋体" w:hAnsi="宋体" w:cs="宋体" w:hint="eastAsia"/>
          <w:sz w:val="24"/>
          <w:szCs w:val="24"/>
          <w:highlight w:val="white"/>
          <w:lang w:eastAsia="zh-CN"/>
        </w:rPr>
        <w:t>9.4收益分配方案</w:t>
      </w:r>
    </w:p>
    <w:bookmarkEnd w:id="9"/>
    <w:p w:rsidR="007F5460">
      <w:pPr>
        <w:pStyle w:val="BodyTextIndent2"/>
        <w:spacing w:before="0" w:after="0" w:line="520" w:lineRule="atLeast"/>
        <w:ind w:left="0" w:firstLine="480" w:firstLineChars="200"/>
        <w:rPr>
          <w:rFonts w:hAnsi="宋体"/>
          <w:szCs w:val="24"/>
          <w:lang w:eastAsia="zh-CN"/>
        </w:rPr>
      </w:pPr>
      <w:r>
        <w:rPr>
          <w:bCs/>
          <w:highlight w:val="white"/>
          <w:lang w:eastAsia="zh-CN"/>
        </w:rPr>
        <w:t>基金收益分配方案中应载明截止收益分配基准日的可供分配利润、基金收益分配对象、分配时间、分配数额、分配方式等内容。</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9.5收益分配的时间和程序</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9.5.1本基金收益分配方案由基金管理人拟定，并由基金托管人复核，在2日内在规定媒介公告。</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9.5.2在收益分配方案公布后，基金管理人依据具体方案的规定就支付的现金红利向基金托管人发送划款指令，基金托管人按照基金管理人的指令及时进行分红资金的划付。基金托管人负责核对收益分配方案的总金额与划款指令金额一致，不对每个投资者的明细分配金额进行复核。</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9.5.3法律法规或监管机关另有规定的，从其规定。</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9.6 实施侧袋机制期间的收益分配</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本基金实施侧袋机制的，侧袋账户不进行收益分配，详见招募说明书的规定。</w:t>
      </w:r>
    </w:p>
    <w:p w:rsidR="007F5460">
      <w:pPr>
        <w:pStyle w:val="Heading1"/>
        <w:snapToGrid/>
        <w:spacing w:line="520" w:lineRule="atLeast"/>
        <w:ind w:firstLine="480" w:firstLineChars="200"/>
        <w:rPr>
          <w:bCs/>
          <w:color w:val="auto"/>
          <w:szCs w:val="24"/>
          <w:lang w:eastAsia="zh-CN"/>
        </w:rPr>
      </w:pPr>
      <w:bookmarkStart w:id="10" w:name="_Toc82511757"/>
      <w:r>
        <w:rPr>
          <w:rFonts w:hint="eastAsia"/>
          <w:bCs/>
          <w:color w:val="auto"/>
          <w:szCs w:val="24"/>
          <w:highlight w:val="white"/>
          <w:lang w:eastAsia="zh-CN"/>
        </w:rPr>
        <w:t>第十条 信息披露</w:t>
      </w:r>
      <w:bookmarkEnd w:id="10"/>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10.1保密义务</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（1）非因基金管理人和基金托管人的原因导致保密信息被披露、泄露或公开；</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（2）基金管理人和基金托管人为遵守和服从法院判决或裁定、仲裁裁决或中国证监会等监管机构的命令、决定所做出的信息披露或公开。</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10.2基金管理人和基金托管人在信息披露中的职责和信息披露程序</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10.2.1基金管理人和基金托管人应根据相关法律法规、基金合同的规定各自承担相应的信息披露职责。基金管理人和基金托管人负有积极配合、互相督促、彼此监督、保证其履行按照法定方式和时限披露的义务。</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10.2.2本基金信息披露的文件主要包括基金招募说明书、基金产品资料概要、基金合同、托管协议、基金份额发售公告、基金合同生效公告、基金净值信息、基金份额申购赎回价格、基金定期报告（包括基金年度报告、基金中期报告和基金季度报告）、临时报告、澄清公告、基金份额持有人大会决议、投资资产支持证券的信息披露以及中国证监会规定的其他信息。</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10.2.3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基金托管人应当同时将基金合同、基金托管协议登载在规定网站上。</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10.2.4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10.2.5基金年度报告中的财务报告部分，经符合《证券法》规定的会计师事务所审计后，方可披露。</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10.2.6基金管理人应当在中国证监会规定的时间内，将应予披露的基金信息通过规定媒介披露。根据法律法规应由基金托管人公开披露的信息，基金托管人将通过规定媒介公开披露。</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10.2.7予以披露的信息文本，存放在基金管理人和基金托管人办公场所，投资人可以免费查阅。在支付工本费后可在合理时间获得上述文件的复制件或复印件。基金管理人和基金托管人应保证文本的内容与所公告的内容完全一致。</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10.3暂停或延迟信息披露的情形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1）基金投资所涉及的证券交易市场遇法定节假日或因其他原因暂停营业时；</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2）因不可抗力致使基金管理人、基金托管人无法准确评估基金资产价值时；</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3）当特定资产占前一估值日基金资产净值50%以上的，经与基金托管人协商确认后，基金管理人应当暂停估值；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4）中国证监会和基金合同认定的其它情形。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10.4基金托管人报告</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托管人应按《基金法》、《运作办法》、《信息披露办法》和其他有关法律法规的规定于每个上半年度结束后两个月内、每个会计年度结束后三个月内在基金中期报告及年度报告中分别出具基金托管人报告，并提交给基金管理人。</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10.5实施侧袋机制期间的信息披露</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本基金实施侧袋机制的，相关信息披露义务人应当根据法律法规、基金合同和招募说明书的规定进行信息披露，详见招募说明书的规定。</w:t>
      </w:r>
    </w:p>
    <w:p w:rsidR="007F5460">
      <w:pPr>
        <w:pStyle w:val="Heading1"/>
        <w:snapToGrid/>
        <w:spacing w:line="520" w:lineRule="atLeast"/>
        <w:ind w:firstLine="480" w:firstLineChars="200"/>
        <w:rPr>
          <w:bCs/>
          <w:color w:val="auto"/>
          <w:szCs w:val="24"/>
          <w:lang w:eastAsia="zh-CN"/>
        </w:rPr>
      </w:pPr>
      <w:bookmarkStart w:id="11" w:name="_Toc82511758"/>
      <w:r>
        <w:rPr>
          <w:rFonts w:hint="eastAsia"/>
          <w:bCs/>
          <w:color w:val="auto"/>
          <w:szCs w:val="24"/>
          <w:highlight w:val="white"/>
          <w:lang w:eastAsia="zh-CN"/>
        </w:rPr>
        <w:t>第十一条 基金费用</w:t>
      </w:r>
      <w:bookmarkEnd w:id="11"/>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11.1基金管理费（</w:t>
      </w:r>
      <w:r>
        <w:rPr>
          <w:rFonts w:hAnsi="宋体" w:cs="宋体"/>
          <w:color w:val="000000"/>
          <w:highlight w:val="white"/>
          <w:lang w:eastAsia="zh-CN"/>
        </w:rPr>
        <w:t>包含固定管理费、或有管理费和超额管理费</w:t>
      </w:r>
      <w:r>
        <w:rPr>
          <w:rFonts w:hAnsi="宋体" w:hint="eastAsia"/>
          <w:szCs w:val="24"/>
          <w:highlight w:val="white"/>
          <w:lang w:eastAsia="zh-CN"/>
        </w:rPr>
        <w:t>）的计提比例和计提方法</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本基金根据每笔基金份额的持有期限与持有期间年化收益率，在赎回、转换转出基金份额或基金合同终止的情形发生时确定该笔基金份额对应的管理费。</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当投资者赎回、转换转出基金份额或基金合同终止的情形发生时，若该笔份额持有期限不足一年（即365天，下同），则该笔份额按1.20%年费率（固定管理费率0.6%、或有管理费率0.6%）收取管理费。</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达到一年及以上，则根据该笔份额持有期间年化收益率分为以下三种情况，分别确定该笔份额对应的管理费率档位：若该笔份额持有期间相对同期业绩比较基准的年化超额收益率在-3%及以下，则该笔份额按0.60%年费率（固定管理费率）收取管理费；若该笔份额持有期间相对同期业绩比较基准的年化超额收益率超过6%且持有期间年化收益率为正，则该笔份额按1.50%年费率（固定管理费率0.6%、或有管理费率0.6%、超额管理费率0.3%）收取管理费；对于其他情形，该笔份额按1.20%年费率（固定管理费率0.6%、或有管理费率0.6%）收取管理费。</w:t>
      </w:r>
    </w:p>
    <w:p w:rsidR="007F5460">
      <w:pPr>
        <w:pBdr>
          <w:top w:val="nil"/>
          <w:left w:val="nil"/>
          <w:bottom w:val="nil"/>
          <w:right w:val="nil"/>
        </w:pBdr>
        <w:spacing w:line="276" w:lineRule="auto"/>
        <w:jc w:val="center"/>
        <w:rPr>
          <w:lang w:eastAsia="zh-CN"/>
        </w:rPr>
      </w:pPr>
      <w:r>
        <w:rPr>
          <w:rFonts w:ascii="宋体" w:hAnsi="宋体" w:cs="宋体"/>
          <w:b/>
          <w:color w:val="000000"/>
          <w:sz w:val="24"/>
          <w:highlight w:val="white"/>
          <w:lang w:eastAsia="zh-CN"/>
        </w:rPr>
        <w:t>持有期限达到一年及以上的管理费率</w:t>
      </w:r>
    </w:p>
    <w:tbl>
      <w:tblPr>
        <w:tblStyle w:val="TableGrid"/>
        <w:tblOverlap w:val="never"/>
        <w:tblW w:w="0" w:type="auto"/>
        <w:tblLook w:val="04A0"/>
      </w:tblPr>
      <w:tblGrid>
        <w:gridCol w:w="3827"/>
        <w:gridCol w:w="2831"/>
      </w:tblGrid>
      <w:tr>
        <w:tblPrEx>
          <w:tblW w:w="0" w:type="auto"/>
          <w:tblLook w:val="04A0"/>
        </w:tblPrEx>
        <w:trPr>
          <w:trHeight w:val="510"/>
        </w:trPr>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spacing w:line="276" w:lineRule="auto"/>
              <w:jc w:val="center"/>
              <w:rPr>
                <w:lang w:eastAsia="zh-CN"/>
              </w:rPr>
            </w:pPr>
            <w:r>
              <w:rPr>
                <w:rFonts w:ascii="宋体" w:hAnsi="宋体" w:cs="宋体"/>
                <w:b/>
                <w:color w:val="000000"/>
                <w:sz w:val="24"/>
                <w:highlight w:val="white"/>
                <w:lang w:eastAsia="zh-CN"/>
              </w:rPr>
              <w:t>持有期间年化收益率（R）</w:t>
            </w:r>
          </w:p>
        </w:tc>
        <w:tc>
          <w:tcPr>
            <w:tcW w:w="283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spacing w:line="276" w:lineRule="auto"/>
              <w:jc w:val="center"/>
            </w:pPr>
            <w:r>
              <w:rPr>
                <w:rFonts w:ascii="宋体" w:hAnsi="宋体" w:cs="宋体"/>
                <w:b/>
                <w:color w:val="000000"/>
                <w:sz w:val="24"/>
                <w:highlight w:val="white"/>
              </w:rPr>
              <w:t>管理费率（年费率）</w:t>
            </w:r>
          </w:p>
        </w:tc>
      </w:tr>
      <w:tr>
        <w:tblPrEx>
          <w:tblW w:w="0" w:type="auto"/>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-3%</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spacing w:line="276" w:lineRule="auto"/>
              <w:jc w:val="center"/>
            </w:pPr>
            <w:r>
              <w:rPr>
                <w:rFonts w:ascii="宋体" w:hAnsi="宋体" w:cs="宋体"/>
                <w:color w:val="000000"/>
                <w:sz w:val="24"/>
                <w:highlight w:val="white"/>
              </w:rPr>
              <w:t>0.60%/年</w:t>
            </w:r>
          </w:p>
        </w:tc>
      </w:tr>
      <w:tr>
        <w:tblPrEx>
          <w:tblW w:w="0" w:type="auto"/>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+6%且R＞0</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spacing w:line="276" w:lineRule="auto"/>
              <w:jc w:val="center"/>
            </w:pPr>
            <w:r>
              <w:rPr>
                <w:rFonts w:ascii="宋体" w:hAnsi="宋体" w:cs="宋体"/>
                <w:color w:val="000000"/>
                <w:sz w:val="24"/>
                <w:highlight w:val="white"/>
              </w:rPr>
              <w:t>1.50%/年</w:t>
            </w:r>
          </w:p>
        </w:tc>
      </w:tr>
      <w:tr>
        <w:tblPrEx>
          <w:tblW w:w="0" w:type="auto"/>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spacing w:line="276" w:lineRule="auto"/>
              <w:jc w:val="center"/>
            </w:pPr>
            <w:r>
              <w:rPr>
                <w:rFonts w:ascii="宋体" w:hAnsi="宋体" w:cs="宋体"/>
                <w:color w:val="000000"/>
                <w:sz w:val="24"/>
                <w:highlight w:val="white"/>
              </w:rPr>
              <w:t>其他情形</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spacing w:line="276" w:lineRule="auto"/>
              <w:jc w:val="center"/>
            </w:pPr>
            <w:r>
              <w:rPr>
                <w:rFonts w:ascii="宋体" w:hAnsi="宋体" w:cs="宋体"/>
                <w:color w:val="000000"/>
                <w:sz w:val="24"/>
                <w:highlight w:val="white"/>
              </w:rPr>
              <w:t>1.20%/年</w:t>
            </w:r>
          </w:p>
        </w:tc>
      </w:tr>
    </w:tbl>
    <w:p w:rsidR="007F5460">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注：①R为该笔基金份额持有期间年化收益率，R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为本基金业绩比较基准同期年化收益率。</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②特别的，对于该笔份额持有期限达到一年及以上，R＞R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+6%且R＞0的情形，若扣除超额管理费后的持有期间年化收益率（R*）小于等于R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+6%，或小于等于0时，为使得该笔份额在扣除超额管理费后的持有期间年化收益率仍满足本基金收取超额管理费的标准，此情形下将不收取超额管理费，仍按1.20%年费率（固定管理费率0.6%、或有管理费率0.6%）收取该笔份额的管理费。</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具体而言，本基金的固定管理费按0.6%年费率每日计提并收取，或有管理费按0.6%年费率每日计提并根据条件收取或返还，超额管理费在符合收取条件时按0.3%的年费率计提和收取。管理费具体按以下方式计算和确认。</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（1）固定管理费</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本基金的固定管理费按前一日基金资产净值的0.6%年费率计提。固定管理费的计算方法如下：</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1</w:t>
      </w:r>
      <w:r>
        <w:rPr>
          <w:rFonts w:ascii="宋体" w:hAnsi="宋体" w:cs="宋体"/>
          <w:color w:val="000000"/>
          <w:sz w:val="24"/>
          <w:highlight w:val="white"/>
          <w:lang w:eastAsia="zh-CN"/>
        </w:rPr>
        <w:t>= E×0.6%÷当年天数</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1</w:t>
      </w:r>
      <w:r>
        <w:rPr>
          <w:rFonts w:ascii="宋体" w:hAnsi="宋体" w:cs="宋体"/>
          <w:color w:val="000000"/>
          <w:sz w:val="24"/>
          <w:highlight w:val="white"/>
          <w:lang w:eastAsia="zh-CN"/>
        </w:rPr>
        <w:t>为每日应计提的固定管理费</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E为前一日的基金资产净值</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固定管理费每日计提，逐日累计至每月月末，按月支付，由基金管理人与基金托管人核对一致后，基金托管人按照与基金管理人协商一致的方式于次月前5个工作日内支付。若遇法定节假日、休息日或不可抗力致使无法按时支付的，支付日期顺延。</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（2）或有管理费和超额管理费</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本基金的或有管理费按前一日基金资产净值的0.6%年费率计提。或有管理费的计算方法如下：</w:t>
      </w:r>
    </w:p>
    <w:p w:rsidR="007F5460">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2</w:t>
      </w:r>
      <w:r>
        <w:rPr>
          <w:rFonts w:ascii="宋体" w:hAnsi="宋体" w:cs="宋体"/>
          <w:color w:val="000000"/>
          <w:sz w:val="24"/>
          <w:highlight w:val="white"/>
          <w:lang w:eastAsia="zh-CN"/>
        </w:rPr>
        <w:t>＝E×0.6%÷当年天数</w:t>
      </w:r>
    </w:p>
    <w:p w:rsidR="007F5460">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2</w:t>
      </w:r>
      <w:r>
        <w:rPr>
          <w:rFonts w:ascii="宋体" w:hAnsi="宋体" w:cs="宋体"/>
          <w:color w:val="000000"/>
          <w:sz w:val="24"/>
          <w:highlight w:val="white"/>
          <w:lang w:eastAsia="zh-CN"/>
        </w:rPr>
        <w:t>为每日应计提的或有管理费</w:t>
      </w:r>
    </w:p>
    <w:p w:rsidR="007F5460">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E为前一日的基金资产净值</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投资者赎回、转换转出基金份额或基金合同终止的情形发生时，若该笔份额持有期限不足一年，则该笔份额持有期内计提的或有管理费应确认为应由管理人收取的管理费；若该笔份额持有期限达到一年及以上，但该笔份额的持有期间年化收益率R符合下表“情形一”的收取情形，则该笔份额持有期内计提的或有管理费将全额返还给投资者，管理人实际收取的或有管理费为0，其中：对于赎回业务，返还的或有管理费将作为赎回款项一并划转至投资者账户；对于转换转出业务，返还的或有管理费将作为转换转出份额对应的款项一并划转至转换转入的基金；对于基金合同终止情形，返还的或有管理费将与基金清算款一并划转至投资者账户；若符合情形二和情形三，该笔份额持有期内计提的或有管理费应确认为应由管理人收取的管理费。</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基金超额管理费的计算方法如下：</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投资者赎回、转换转出基金份额或基金合同终止的情形发生时，当且仅当该笔份额持有期限达到一年及以上，且该笔份额的持有期间年化收益率（R）符合下表“情形二”的收取情形，则该笔份额按照0.30%的年费率计算超额管理费，并确认为应由管理人收取的管理费。对于赎回业务，超额管理费将从赎回款项中扣除；对于转换转出业务，超额管理费将从转换转出份额对应的款项中扣除；对于基金合同终止情形，超额管理费将从基金清算款中扣除。</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当投资者赎回、转换转出基金份额或基金合同终止的情形发生时，若该笔份额持有期限达到一年及以上，本基金根据以下三种情形确认应实际收取的或有管理费和超额管理费：</w:t>
      </w:r>
    </w:p>
    <w:tbl>
      <w:tblPr>
        <w:tblStyle w:val="TableGrid"/>
        <w:tblOverlap w:val="never"/>
        <w:tblW w:w="0" w:type="auto"/>
        <w:tblLook w:val="04A0"/>
      </w:tblPr>
      <w:tblGrid>
        <w:gridCol w:w="1247"/>
        <w:gridCol w:w="2933"/>
        <w:gridCol w:w="1701"/>
        <w:gridCol w:w="1701"/>
      </w:tblGrid>
      <w:tr>
        <w:tblPrEx>
          <w:tblW w:w="0" w:type="auto"/>
          <w:tblLook w:val="04A0"/>
        </w:tblPrEx>
        <w:trPr>
          <w:trHeight w:val="454"/>
        </w:trPr>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jc w:val="center"/>
            </w:pPr>
            <w:r>
              <w:rPr>
                <w:rFonts w:ascii="宋体" w:hAnsi="宋体" w:cs="宋体"/>
                <w:b/>
                <w:color w:val="000000"/>
                <w:sz w:val="24"/>
                <w:highlight w:val="white"/>
              </w:rPr>
              <w:t>收取情形</w:t>
            </w:r>
          </w:p>
        </w:tc>
        <w:tc>
          <w:tcPr>
            <w:tcW w:w="2933"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jc w:val="center"/>
              <w:rPr>
                <w:lang w:eastAsia="zh-CN"/>
              </w:rPr>
            </w:pPr>
            <w:r>
              <w:rPr>
                <w:rFonts w:ascii="宋体" w:hAnsi="宋体" w:cs="宋体"/>
                <w:b/>
                <w:color w:val="000000"/>
                <w:sz w:val="24"/>
                <w:highlight w:val="white"/>
                <w:lang w:eastAsia="zh-CN"/>
              </w:rPr>
              <w:t>持有期间年化收益率（R）</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jc w:val="center"/>
              <w:rPr>
                <w:lang w:eastAsia="zh-CN"/>
              </w:rPr>
            </w:pPr>
            <w:r>
              <w:rPr>
                <w:rFonts w:ascii="宋体" w:hAnsi="宋体" w:cs="宋体"/>
                <w:b/>
                <w:color w:val="000000"/>
                <w:sz w:val="24"/>
                <w:highlight w:val="white"/>
                <w:lang w:eastAsia="zh-CN"/>
              </w:rPr>
              <w:t>或有管理费</w:t>
            </w:r>
          </w:p>
          <w:p w:rsidR="007F5460">
            <w:pPr>
              <w:pBdr>
                <w:top w:val="nil"/>
                <w:left w:val="nil"/>
                <w:bottom w:val="nil"/>
                <w:right w:val="nil"/>
              </w:pBdr>
              <w:jc w:val="center"/>
              <w:rPr>
                <w:lang w:eastAsia="zh-CN"/>
              </w:rPr>
            </w:pPr>
            <w:r>
              <w:rPr>
                <w:rFonts w:ascii="宋体" w:hAnsi="宋体" w:cs="宋体"/>
                <w:b/>
                <w:color w:val="000000"/>
                <w:sz w:val="24"/>
                <w:highlight w:val="white"/>
                <w:lang w:eastAsia="zh-CN"/>
              </w:rPr>
              <w:t>（年费率）</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jc w:val="center"/>
              <w:rPr>
                <w:lang w:eastAsia="zh-CN"/>
              </w:rPr>
            </w:pPr>
            <w:r>
              <w:rPr>
                <w:rFonts w:ascii="宋体" w:hAnsi="宋体" w:cs="宋体"/>
                <w:b/>
                <w:color w:val="000000"/>
                <w:sz w:val="24"/>
                <w:highlight w:val="white"/>
                <w:lang w:eastAsia="zh-CN"/>
              </w:rPr>
              <w:t>超额管理费</w:t>
            </w:r>
          </w:p>
          <w:p w:rsidR="007F5460">
            <w:pPr>
              <w:pBdr>
                <w:top w:val="nil"/>
                <w:left w:val="nil"/>
                <w:bottom w:val="nil"/>
                <w:right w:val="nil"/>
              </w:pBdr>
              <w:jc w:val="center"/>
              <w:rPr>
                <w:lang w:eastAsia="zh-CN"/>
              </w:rPr>
            </w:pPr>
            <w:r>
              <w:rPr>
                <w:rFonts w:ascii="宋体" w:hAnsi="宋体" w:cs="宋体"/>
                <w:b/>
                <w:color w:val="000000"/>
                <w:sz w:val="24"/>
                <w:highlight w:val="white"/>
                <w:lang w:eastAsia="zh-CN"/>
              </w:rPr>
              <w:t>（年费率）</w:t>
            </w:r>
          </w:p>
        </w:tc>
      </w:tr>
      <w:tr>
        <w:tblPrEx>
          <w:tblW w:w="0" w:type="auto"/>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jc w:val="center"/>
            </w:pPr>
            <w:r>
              <w:rPr>
                <w:rFonts w:ascii="宋体" w:hAnsi="宋体" w:cs="宋体"/>
                <w:color w:val="000000"/>
                <w:sz w:val="24"/>
                <w:highlight w:val="white"/>
              </w:rPr>
              <w:t>情形一</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jc w:val="center"/>
            </w:pPr>
            <w:r>
              <w:rPr>
                <w:rFonts w:ascii="宋体" w:hAnsi="宋体" w:cs="宋体"/>
                <w:color w:val="000000"/>
                <w:sz w:val="24"/>
                <w:highlight w:val="white"/>
              </w:rPr>
              <w:t>R≤R</w:t>
            </w:r>
            <w:r>
              <w:rPr>
                <w:rFonts w:ascii="宋体" w:hAnsi="宋体" w:cs="宋体"/>
                <w:color w:val="000000"/>
                <w:sz w:val="24"/>
                <w:highlight w:val="white"/>
                <w:vertAlign w:val="subscript"/>
              </w:rPr>
              <w:t>b</w:t>
            </w:r>
            <w:r>
              <w:rPr>
                <w:rFonts w:ascii="宋体" w:hAnsi="宋体" w:cs="宋体"/>
                <w:color w:val="000000"/>
                <w:sz w:val="24"/>
                <w:highlight w:val="white"/>
              </w:rPr>
              <w:t>-3%</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jc w:val="center"/>
            </w:pPr>
            <w:r>
              <w:rPr>
                <w:rFonts w:ascii="宋体" w:hAnsi="宋体" w:cs="宋体"/>
                <w:color w:val="000000"/>
                <w:sz w:val="24"/>
                <w:highlight w:val="white"/>
              </w:rPr>
              <w:t>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jc w:val="center"/>
            </w:pPr>
            <w:r>
              <w:rPr>
                <w:rFonts w:ascii="宋体" w:hAnsi="宋体" w:cs="宋体"/>
                <w:color w:val="000000"/>
                <w:sz w:val="24"/>
                <w:highlight w:val="white"/>
              </w:rPr>
              <w:t>0</w:t>
            </w:r>
          </w:p>
        </w:tc>
      </w:tr>
      <w:tr>
        <w:tblPrEx>
          <w:tblW w:w="0" w:type="auto"/>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jc w:val="center"/>
            </w:pPr>
            <w:r>
              <w:rPr>
                <w:rFonts w:ascii="宋体" w:hAnsi="宋体" w:cs="宋体"/>
                <w:color w:val="000000"/>
                <w:sz w:val="24"/>
                <w:highlight w:val="white"/>
              </w:rPr>
              <w:t>情形二</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+6%且R＞0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jc w:val="center"/>
            </w:pPr>
            <w:r>
              <w:rPr>
                <w:rFonts w:ascii="宋体" w:hAnsi="宋体" w:cs="宋体"/>
                <w:color w:val="000000"/>
                <w:sz w:val="24"/>
                <w:highlight w:val="white"/>
              </w:rPr>
              <w:t>0.30%</w:t>
            </w:r>
          </w:p>
        </w:tc>
      </w:tr>
      <w:tr>
        <w:tblPrEx>
          <w:tblW w:w="0" w:type="auto"/>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jc w:val="center"/>
            </w:pPr>
            <w:r>
              <w:rPr>
                <w:rFonts w:ascii="宋体" w:hAnsi="宋体" w:cs="宋体"/>
                <w:color w:val="000000"/>
                <w:sz w:val="24"/>
                <w:highlight w:val="white"/>
              </w:rPr>
              <w:t>情形三</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spacing w:line="276" w:lineRule="auto"/>
              <w:jc w:val="center"/>
            </w:pPr>
            <w:r>
              <w:rPr>
                <w:rFonts w:ascii="宋体" w:hAnsi="宋体" w:cs="宋体"/>
                <w:color w:val="000000"/>
                <w:sz w:val="24"/>
                <w:highlight w:val="white"/>
              </w:rPr>
              <w:t>其他情形</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7F5460">
            <w:pPr>
              <w:pBdr>
                <w:top w:val="nil"/>
                <w:left w:val="nil"/>
                <w:bottom w:val="nil"/>
                <w:right w:val="nil"/>
              </w:pBdr>
              <w:jc w:val="center"/>
            </w:pPr>
            <w:r>
              <w:rPr>
                <w:rFonts w:ascii="宋体" w:hAnsi="宋体" w:cs="宋体"/>
                <w:color w:val="000000"/>
                <w:sz w:val="24"/>
                <w:highlight w:val="white"/>
              </w:rPr>
              <w:t>0</w:t>
            </w:r>
          </w:p>
        </w:tc>
      </w:tr>
    </w:tbl>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对于“情形二”，若扣除超额管理费后的持有期间年化收益率（R*）小于等于R</w:t>
      </w:r>
      <w:r>
        <w:rPr>
          <w:rFonts w:ascii="宋体" w:hAnsi="宋体" w:cs="宋体"/>
          <w:color w:val="000000"/>
          <w:spacing w:val="-2"/>
          <w:sz w:val="24"/>
          <w:highlight w:val="white"/>
          <w:vertAlign w:val="subscript"/>
          <w:lang w:eastAsia="zh-CN"/>
        </w:rPr>
        <w:t>b</w:t>
      </w:r>
      <w:r>
        <w:rPr>
          <w:rFonts w:ascii="宋体" w:hAnsi="宋体" w:cs="宋体"/>
          <w:color w:val="000000"/>
          <w:sz w:val="24"/>
          <w:highlight w:val="white"/>
          <w:lang w:eastAsia="zh-CN"/>
        </w:rPr>
        <w:t>+6%，或小于等于0时，为使得该笔份额在扣除超额管理费后的持有期间年化收益率仍满足本基金收取超额管理费的标准，此时将不收取超额管理费，仍按1.20%年费率（固定管理费率0.6%、或有管理费率0.6%）收取该笔份额的管理费。</w:t>
      </w:r>
    </w:p>
    <w:p w:rsidR="007F5460">
      <w:pPr>
        <w:spacing w:line="360" w:lineRule="auto"/>
        <w:ind w:firstLine="480" w:firstLineChars="200"/>
        <w:rPr>
          <w:sz w:val="24"/>
          <w:szCs w:val="24"/>
          <w:lang w:eastAsia="zh-CN"/>
        </w:rPr>
      </w:pPr>
      <w:r>
        <w:rPr>
          <w:rFonts w:ascii="宋体" w:hAnsi="宋体" w:cs="宋体"/>
          <w:color w:val="000000"/>
          <w:sz w:val="24"/>
          <w:highlight w:val="white"/>
          <w:lang w:eastAsia="zh-CN"/>
        </w:rPr>
        <w:t>每笔基金份额持有期间年化收益率（R）计算方法如下：</w:t>
      </w:r>
    </w:p>
    <w:p w:rsidR="007F5460">
      <w:pPr>
        <w:spacing w:line="360" w:lineRule="auto"/>
        <w:ind w:firstLine="480" w:firstLineChars="200"/>
        <w:rPr>
          <w:iCs/>
          <w:sz w:val="24"/>
          <w:szCs w:val="24"/>
        </w:rPr>
      </w:pPr>
      <w:r>
        <w:rPr>
          <w:noProof/>
          <w:sz w:val="24"/>
          <w:lang w:eastAsia="zh-CN"/>
        </w:rPr>
        <w:drawing>
          <wp:inline distT="0" distB="0" distL="0" distR="0">
            <wp:extent cx="1771650" cy="419100"/>
            <wp:effectExtent l="0" t="0" r="0" b="0"/>
            <wp:docPr id="1" name="图片 6" descr="D:\Users\chengcai\桌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47281" name="图片 6" descr="D:\Users\chengcai\桌面\1.jpg"/>
                    <pic:cNvPicPr>
                      <a:picLocks noChangeAspect="1"/>
                    </pic:cNvPicPr>
                  </pic:nvPicPr>
                  <pic:blipFill>
                    <a:blip xmlns:r="http://schemas.openxmlformats.org/officeDocument/2006/relationships" r:embed="rId7"/>
                    <a:stretch>
                      <a:fillRect/>
                    </a:stretch>
                  </pic:blipFill>
                  <pic:spPr bwMode="auto">
                    <a:xfrm>
                      <a:off x="0" y="0"/>
                      <a:ext cx="1771650" cy="419100"/>
                    </a:xfrm>
                    <a:prstGeom prst="rect">
                      <a:avLst/>
                    </a:prstGeom>
                    <a:noFill/>
                    <a:ln>
                      <a:noFill/>
                    </a:ln>
                  </pic:spPr>
                </pic:pic>
              </a:graphicData>
            </a:graphic>
          </wp:inline>
        </w:drawing>
      </w:r>
    </w:p>
    <w:p w:rsidR="007F5460">
      <w:pPr>
        <w:spacing w:line="360" w:lineRule="auto"/>
        <w:ind w:firstLine="480" w:firstLineChars="200"/>
        <w:rPr>
          <w:sz w:val="24"/>
          <w:szCs w:val="24"/>
          <w:lang w:eastAsia="zh-CN"/>
        </w:rPr>
      </w:pPr>
      <w:r>
        <w:rPr>
          <w:rFonts w:ascii="宋体" w:hAnsi="宋体" w:cs="宋体"/>
          <w:color w:val="000000"/>
          <w:sz w:val="24"/>
          <w:highlight w:val="white"/>
          <w:lang w:eastAsia="zh-CN"/>
        </w:rPr>
        <w:t>每笔基金份额扣除超额管理费后的持有期间年化收益率（R*）的计算方法如下：</w:t>
      </w:r>
    </w:p>
    <w:p w:rsidR="007F5460">
      <w:pPr>
        <w:spacing w:line="360" w:lineRule="auto"/>
        <w:ind w:firstLine="480" w:firstLineChars="200"/>
        <w:rPr>
          <w:bCs/>
          <w:sz w:val="24"/>
          <w:szCs w:val="24"/>
        </w:rPr>
      </w:pPr>
      <w:r>
        <w:rPr>
          <w:noProof/>
          <w:sz w:val="24"/>
          <w:lang w:eastAsia="zh-CN"/>
        </w:rPr>
        <w:drawing>
          <wp:inline distT="0" distB="0" distL="0" distR="0">
            <wp:extent cx="2609850" cy="438150"/>
            <wp:effectExtent l="0" t="0" r="0" b="0"/>
            <wp:docPr id="2" name="图片 7" descr="D:\Users\chengcai\桌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77250" name="图片 7" descr="D:\Users\chengcai\桌面\2.jpg"/>
                    <pic:cNvPicPr>
                      <a:picLocks noChangeAspect="1"/>
                    </pic:cNvPicPr>
                  </pic:nvPicPr>
                  <pic:blipFill>
                    <a:blip xmlns:r="http://schemas.openxmlformats.org/officeDocument/2006/relationships" r:embed="rId8"/>
                    <a:stretch>
                      <a:fillRect/>
                    </a:stretch>
                  </pic:blipFill>
                  <pic:spPr bwMode="auto">
                    <a:xfrm>
                      <a:off x="0" y="0"/>
                      <a:ext cx="2609848" cy="438149"/>
                    </a:xfrm>
                    <a:prstGeom prst="rect">
                      <a:avLst/>
                    </a:prstGeom>
                    <a:noFill/>
                    <a:ln>
                      <a:noFill/>
                    </a:ln>
                  </pic:spPr>
                </pic:pic>
              </a:graphicData>
            </a:graphic>
          </wp:inline>
        </w:drawing>
      </w:r>
    </w:p>
    <w:p w:rsidR="007F5460">
      <w:pPr>
        <w:pBdr>
          <w:top w:val="nil"/>
          <w:left w:val="nil"/>
          <w:bottom w:val="nil"/>
          <w:right w:val="nil"/>
        </w:pBdr>
        <w:spacing w:line="360" w:lineRule="auto"/>
        <w:ind w:firstLine="480" w:firstLineChars="200"/>
        <w:rPr>
          <w:lang w:eastAsia="zh-CN"/>
        </w:rPr>
      </w:pPr>
      <w:bookmarkStart w:id="12" w:name="_Hlk195865107"/>
      <w:bookmarkEnd w:id="12"/>
      <w:r>
        <w:rPr>
          <w:rFonts w:ascii="宋体" w:hAnsi="宋体" w:cs="宋体"/>
          <w:color w:val="000000"/>
          <w:sz w:val="24"/>
          <w:highlight w:val="white"/>
          <w:lang w:eastAsia="zh-CN"/>
        </w:rPr>
        <w:t>R为该笔基金份额持有期间年化收益率；R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为本基金业绩比较基准同期年化收益率；</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A为该笔基金份额赎回/转换转出申请日或基金合同终止情形发生日的基金份额累计净值；</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B为该笔基金份额认购/申购/转换转入申请日的基金份额累计净值，其中份额认购日的基金份额累计净值为1.0000元；</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C为该笔基金份额认购/申购/转换转入申请日的基金份额净值，其中份额认购日的基金份额净值为1.0000元；</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D为基金合同生效日（针对募集期内认购的基金份额）或该笔基金份额申购、转入确认日与赎回、转出确认日或基金合同终止情形发生日下一工作日的间隔天数；</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F为该笔基金份额的份额数；</w:t>
      </w:r>
    </w:p>
    <w:p w:rsidR="007F5460">
      <w:pPr>
        <w:pBdr>
          <w:top w:val="nil"/>
          <w:left w:val="nil"/>
          <w:bottom w:val="nil"/>
          <w:right w:val="nil"/>
        </w:pBdr>
        <w:spacing w:line="360" w:lineRule="auto"/>
        <w:ind w:firstLine="480" w:firstLineChars="200"/>
        <w:rPr>
          <w:lang w:eastAsia="zh-CN"/>
        </w:rPr>
      </w:pPr>
      <w:r>
        <w:rPr>
          <w:rFonts w:ascii="宋体" w:hAnsi="宋体" w:cs="宋体"/>
          <w:noProof/>
          <w:color w:val="000000"/>
          <w:sz w:val="24"/>
          <w:lang w:eastAsia="zh-CN"/>
        </w:rPr>
        <w:drawing>
          <wp:inline distT="0" distB="0" distL="0" distR="0">
            <wp:extent cx="183392" cy="140601"/>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05867" name="3.jpg"/>
                    <pic:cNvPicPr>
                      <a:picLocks noChangeAspect="1"/>
                    </pic:cNvPicPr>
                  </pic:nvPicPr>
                  <pic:blipFill>
                    <a:blip xmlns:r="http://schemas.openxmlformats.org/officeDocument/2006/relationships" r:embed="rId9"/>
                    <a:stretch>
                      <a:fillRect/>
                    </a:stretch>
                  </pic:blipFill>
                  <pic:spPr bwMode="auto">
                    <a:xfrm>
                      <a:off x="0" y="0"/>
                      <a:ext cx="191142" cy="146542"/>
                    </a:xfrm>
                    <a:prstGeom prst="rect">
                      <a:avLst/>
                    </a:prstGeom>
                  </pic:spPr>
                </pic:pic>
              </a:graphicData>
            </a:graphic>
          </wp:inline>
        </w:drawing>
      </w:r>
      <w:r>
        <w:rPr>
          <w:rFonts w:ascii="宋体" w:hAnsi="宋体" w:cs="宋体"/>
          <w:color w:val="000000"/>
          <w:sz w:val="24"/>
          <w:highlight w:val="white"/>
          <w:lang w:eastAsia="zh-CN"/>
        </w:rPr>
        <w:t>为该笔基金份额持有期间拟扣除的超额管理费。</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对于已经确认为管理人收入的或有管理费和超额管理费，由基金管理人与基金托管人核对一致后，基金托管人按照与基金管理人协商一致的方式于次月前5个工作日内支付。若遇法定节假日、休息日或不可抗力致使无法按时支付的，支付日期顺延。</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rsidR="007F5460">
      <w:pPr>
        <w:pBdr>
          <w:top w:val="nil"/>
          <w:left w:val="nil"/>
          <w:bottom w:val="nil"/>
          <w:right w:val="nil"/>
        </w:pBdr>
        <w:spacing w:line="360" w:lineRule="auto"/>
        <w:ind w:firstLine="480" w:firstLineChars="200"/>
        <w:rPr>
          <w:lang w:eastAsia="zh-CN"/>
        </w:rPr>
      </w:pPr>
      <w:r>
        <w:rPr>
          <w:rFonts w:ascii="宋体" w:hAnsi="宋体" w:cs="宋体"/>
          <w:color w:val="000000"/>
          <w:sz w:val="24"/>
          <w:highlight w:val="white"/>
          <w:lang w:eastAsia="zh-CN"/>
        </w:rPr>
        <w:t>确认为管理人收入的或有管理费和超额管理费金额、返还投资者的或有管理费金额以登记机构的计算结果为准。</w:t>
      </w:r>
    </w:p>
    <w:p w:rsidR="007F5460">
      <w:pPr>
        <w:pBdr>
          <w:top w:val="nil"/>
          <w:left w:val="nil"/>
          <w:bottom w:val="nil"/>
          <w:right w:val="nil"/>
        </w:pBdr>
        <w:spacing w:line="360" w:lineRule="auto"/>
        <w:ind w:firstLine="420"/>
        <w:rPr>
          <w:lang w:eastAsia="zh-CN"/>
        </w:rPr>
      </w:pPr>
      <w:r>
        <w:rPr>
          <w:rFonts w:ascii="宋体" w:hAnsi="宋体" w:cs="宋体"/>
          <w:color w:val="000000"/>
          <w:sz w:val="24"/>
          <w:highlight w:val="white"/>
          <w:lang w:eastAsia="zh-CN"/>
        </w:rPr>
        <w:t>本基金实施侧袋机制的，上述有关约定仅适用于主袋账户。</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11.2基金托管费的计提比例和计提方法</w:t>
      </w:r>
    </w:p>
    <w:p w:rsidR="007F5460">
      <w:pPr>
        <w:spacing w:line="360" w:lineRule="auto"/>
        <w:ind w:firstLine="480" w:firstLineChars="200"/>
        <w:rPr>
          <w:bCs/>
          <w:sz w:val="24"/>
          <w:lang w:eastAsia="zh-CN"/>
        </w:rPr>
      </w:pPr>
      <w:r>
        <w:rPr>
          <w:bCs/>
          <w:sz w:val="24"/>
          <w:highlight w:val="white"/>
          <w:lang w:eastAsia="zh-CN"/>
        </w:rPr>
        <w:t>本基金的托管费按前一日基金资产净值的</w:t>
      </w:r>
      <w:r>
        <w:rPr>
          <w:rFonts w:ascii="宋体" w:hAnsi="宋体" w:cs="宋体"/>
          <w:bCs/>
          <w:sz w:val="24"/>
          <w:highlight w:val="white"/>
          <w:lang w:eastAsia="zh-CN"/>
        </w:rPr>
        <w:t>0.20%</w:t>
      </w:r>
      <w:r>
        <w:rPr>
          <w:bCs/>
          <w:sz w:val="24"/>
          <w:highlight w:val="white"/>
          <w:lang w:eastAsia="zh-CN"/>
        </w:rPr>
        <w:t>年费率计提。托管费的计算方法如下：</w:t>
      </w:r>
    </w:p>
    <w:p w:rsidR="007F5460">
      <w:pPr>
        <w:spacing w:line="360" w:lineRule="auto"/>
        <w:ind w:firstLine="480" w:firstLineChars="200"/>
        <w:rPr>
          <w:bCs/>
          <w:sz w:val="24"/>
          <w:lang w:eastAsia="zh-CN"/>
        </w:rPr>
      </w:pPr>
      <w:r>
        <w:rPr>
          <w:rFonts w:ascii="宋体" w:hAnsi="宋体" w:cs="宋体"/>
          <w:bCs/>
          <w:sz w:val="24"/>
          <w:highlight w:val="white"/>
          <w:lang w:eastAsia="zh-CN"/>
        </w:rPr>
        <w:t>H</w:t>
      </w:r>
      <w:r>
        <w:rPr>
          <w:bCs/>
          <w:sz w:val="24"/>
          <w:highlight w:val="white"/>
          <w:lang w:eastAsia="zh-CN"/>
        </w:rPr>
        <w:t>＝</w:t>
      </w:r>
      <w:r>
        <w:rPr>
          <w:rFonts w:ascii="宋体" w:hAnsi="宋体" w:cs="宋体"/>
          <w:bCs/>
          <w:sz w:val="24"/>
          <w:highlight w:val="white"/>
          <w:lang w:eastAsia="zh-CN"/>
        </w:rPr>
        <w:t>E×0.20%÷</w:t>
      </w:r>
      <w:r>
        <w:rPr>
          <w:bCs/>
          <w:sz w:val="24"/>
          <w:highlight w:val="white"/>
          <w:lang w:eastAsia="zh-CN"/>
        </w:rPr>
        <w:t>当年天数</w:t>
      </w:r>
    </w:p>
    <w:p w:rsidR="007F5460">
      <w:pPr>
        <w:spacing w:line="360" w:lineRule="auto"/>
        <w:ind w:firstLine="480" w:firstLineChars="200"/>
        <w:rPr>
          <w:bCs/>
          <w:sz w:val="24"/>
          <w:lang w:eastAsia="zh-CN"/>
        </w:rPr>
      </w:pPr>
      <w:r>
        <w:rPr>
          <w:rFonts w:ascii="宋体" w:hAnsi="宋体" w:cs="宋体"/>
          <w:bCs/>
          <w:sz w:val="24"/>
          <w:highlight w:val="white"/>
          <w:lang w:eastAsia="zh-CN"/>
        </w:rPr>
        <w:t>H</w:t>
      </w:r>
      <w:r>
        <w:rPr>
          <w:bCs/>
          <w:sz w:val="24"/>
          <w:highlight w:val="white"/>
          <w:lang w:eastAsia="zh-CN"/>
        </w:rPr>
        <w:t>为每日应计提的基金托管费</w:t>
      </w:r>
    </w:p>
    <w:p w:rsidR="007F5460">
      <w:pPr>
        <w:spacing w:line="360" w:lineRule="auto"/>
        <w:ind w:firstLine="480" w:firstLineChars="200"/>
        <w:rPr>
          <w:bCs/>
          <w:sz w:val="24"/>
          <w:lang w:eastAsia="zh-CN"/>
        </w:rPr>
      </w:pPr>
      <w:r>
        <w:rPr>
          <w:rFonts w:ascii="宋体" w:hAnsi="宋体" w:cs="宋体"/>
          <w:bCs/>
          <w:sz w:val="24"/>
          <w:highlight w:val="white"/>
          <w:lang w:eastAsia="zh-CN"/>
        </w:rPr>
        <w:t>E</w:t>
      </w:r>
      <w:r>
        <w:rPr>
          <w:bCs/>
          <w:sz w:val="24"/>
          <w:highlight w:val="white"/>
          <w:lang w:eastAsia="zh-CN"/>
        </w:rPr>
        <w:t>为前一日的基金资产净值</w:t>
      </w:r>
    </w:p>
    <w:p w:rsidR="007F5460" w:rsidRPr="00142A68">
      <w:pPr>
        <w:spacing w:line="360" w:lineRule="auto"/>
        <w:ind w:firstLine="480" w:firstLineChars="200"/>
        <w:rPr>
          <w:rFonts w:hAnsi="Calibri"/>
          <w:bCs/>
          <w:sz w:val="24"/>
          <w:szCs w:val="22"/>
          <w:highlight w:val="white"/>
          <w:lang w:eastAsia="zh-CN"/>
        </w:rPr>
      </w:pPr>
      <w:r w:rsidRPr="00142A68">
        <w:rPr>
          <w:rFonts w:hint="eastAsia"/>
          <w:bCs/>
          <w:sz w:val="24"/>
          <w:highlight w:val="white"/>
          <w:lang w:eastAsia="zh-CN"/>
        </w:rPr>
        <w:t>基金托管费每日计提，逐日累计至每月月末，按月支付，由基金管理人与基金托管人核对一致后，基金托管人按照与基金管理人协商一致的方式于次月前</w:t>
      </w:r>
      <w:r w:rsidRPr="00142A68">
        <w:rPr>
          <w:rFonts w:ascii="Calibri" w:hAnsi="Calibri" w:cs="Calibri"/>
          <w:bCs/>
          <w:sz w:val="24"/>
          <w:highlight w:val="white"/>
          <w:lang w:eastAsia="zh-CN"/>
        </w:rPr>
        <w:t>5</w:t>
      </w:r>
      <w:r w:rsidRPr="00142A68">
        <w:rPr>
          <w:rFonts w:hint="eastAsia"/>
          <w:bCs/>
          <w:sz w:val="24"/>
          <w:highlight w:val="white"/>
          <w:lang w:eastAsia="zh-CN"/>
        </w:rPr>
        <w:t>个工作日内支取。若遇法定节假日、休息日或不可抗力致使无法按时支付的，支付日期顺延。</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11.3销售服务费的计提比例和计提方法</w:t>
      </w:r>
    </w:p>
    <w:p w:rsidR="007F5460">
      <w:pPr>
        <w:spacing w:line="360" w:lineRule="auto"/>
        <w:ind w:firstLine="480" w:firstLineChars="200"/>
        <w:rPr>
          <w:bCs/>
          <w:sz w:val="24"/>
          <w:lang w:eastAsia="zh-CN"/>
        </w:rPr>
      </w:pPr>
      <w:r>
        <w:rPr>
          <w:rFonts w:hint="eastAsia"/>
          <w:bCs/>
          <w:sz w:val="24"/>
          <w:highlight w:val="white"/>
          <w:lang w:eastAsia="zh-CN"/>
        </w:rPr>
        <w:t>本基金</w:t>
      </w:r>
      <w:r>
        <w:rPr>
          <w:rFonts w:ascii="宋体" w:hAnsi="宋体" w:cs="宋体" w:hint="eastAsia"/>
          <w:bCs/>
          <w:sz w:val="24"/>
          <w:highlight w:val="white"/>
          <w:lang w:eastAsia="zh-CN"/>
        </w:rPr>
        <w:t>A</w:t>
      </w:r>
      <w:r>
        <w:rPr>
          <w:rFonts w:hint="eastAsia"/>
          <w:bCs/>
          <w:sz w:val="24"/>
          <w:highlight w:val="white"/>
          <w:lang w:eastAsia="zh-CN"/>
        </w:rPr>
        <w:t>类基金份额不收取销售服务费，</w:t>
      </w:r>
      <w:r>
        <w:rPr>
          <w:rFonts w:ascii="宋体" w:hAnsi="宋体" w:cs="宋体" w:hint="eastAsia"/>
          <w:bCs/>
          <w:sz w:val="24"/>
          <w:highlight w:val="white"/>
          <w:lang w:eastAsia="zh-CN"/>
        </w:rPr>
        <w:t>C</w:t>
      </w:r>
      <w:r>
        <w:rPr>
          <w:rFonts w:hint="eastAsia"/>
          <w:bCs/>
          <w:sz w:val="24"/>
          <w:highlight w:val="white"/>
          <w:lang w:eastAsia="zh-CN"/>
        </w:rPr>
        <w:t>类基金份额的销售服务费年费率为</w:t>
      </w:r>
      <w:r>
        <w:rPr>
          <w:rFonts w:ascii="宋体" w:hAnsi="宋体" w:cs="宋体" w:hint="eastAsia"/>
          <w:bCs/>
          <w:sz w:val="24"/>
          <w:highlight w:val="white"/>
          <w:lang w:eastAsia="zh-CN"/>
        </w:rPr>
        <w:t>0.50%</w:t>
      </w:r>
      <w:r>
        <w:rPr>
          <w:rFonts w:hint="eastAsia"/>
          <w:bCs/>
          <w:sz w:val="24"/>
          <w:highlight w:val="white"/>
          <w:lang w:eastAsia="zh-CN"/>
        </w:rPr>
        <w:t>，按</w:t>
      </w:r>
      <w:r>
        <w:rPr>
          <w:rFonts w:ascii="宋体" w:hAnsi="宋体" w:cs="宋体" w:hint="eastAsia"/>
          <w:bCs/>
          <w:sz w:val="24"/>
          <w:highlight w:val="white"/>
          <w:lang w:eastAsia="zh-CN"/>
        </w:rPr>
        <w:t>C</w:t>
      </w:r>
      <w:r>
        <w:rPr>
          <w:rFonts w:hint="eastAsia"/>
          <w:bCs/>
          <w:sz w:val="24"/>
          <w:highlight w:val="white"/>
          <w:lang w:eastAsia="zh-CN"/>
        </w:rPr>
        <w:t>类基金份额前一日基金资产净值的</w:t>
      </w:r>
      <w:r>
        <w:rPr>
          <w:rFonts w:ascii="宋体" w:hAnsi="宋体" w:cs="宋体" w:hint="eastAsia"/>
          <w:bCs/>
          <w:sz w:val="24"/>
          <w:highlight w:val="white"/>
          <w:lang w:eastAsia="zh-CN"/>
        </w:rPr>
        <w:t>0.50%</w:t>
      </w:r>
      <w:r>
        <w:rPr>
          <w:rFonts w:hint="eastAsia"/>
          <w:bCs/>
          <w:sz w:val="24"/>
          <w:highlight w:val="white"/>
          <w:lang w:eastAsia="zh-CN"/>
        </w:rPr>
        <w:t>年费率计提。</w:t>
      </w:r>
    </w:p>
    <w:p w:rsidR="007F5460">
      <w:pPr>
        <w:spacing w:line="360" w:lineRule="auto"/>
        <w:ind w:firstLine="480" w:firstLineChars="200"/>
        <w:rPr>
          <w:bCs/>
          <w:sz w:val="24"/>
          <w:lang w:eastAsia="zh-CN"/>
        </w:rPr>
      </w:pPr>
      <w:r>
        <w:rPr>
          <w:rFonts w:hint="eastAsia"/>
          <w:bCs/>
          <w:sz w:val="24"/>
          <w:highlight w:val="white"/>
          <w:lang w:eastAsia="zh-CN"/>
        </w:rPr>
        <w:t>销售服务费的计算方法如下：</w:t>
      </w:r>
    </w:p>
    <w:p w:rsidR="007F5460">
      <w:pPr>
        <w:spacing w:line="360" w:lineRule="auto"/>
        <w:ind w:firstLine="480" w:firstLineChars="200"/>
        <w:rPr>
          <w:bCs/>
          <w:sz w:val="24"/>
          <w:lang w:eastAsia="zh-CN"/>
        </w:rPr>
      </w:pPr>
      <w:r>
        <w:rPr>
          <w:rFonts w:ascii="宋体" w:hAnsi="宋体" w:cs="宋体" w:hint="eastAsia"/>
          <w:bCs/>
          <w:sz w:val="24"/>
          <w:highlight w:val="white"/>
          <w:lang w:eastAsia="zh-CN"/>
        </w:rPr>
        <w:t>H</w:t>
      </w:r>
      <w:r>
        <w:rPr>
          <w:rFonts w:hint="eastAsia"/>
          <w:bCs/>
          <w:sz w:val="24"/>
          <w:highlight w:val="white"/>
          <w:lang w:eastAsia="zh-CN"/>
        </w:rPr>
        <w:t>＝</w:t>
      </w:r>
      <w:r>
        <w:rPr>
          <w:rFonts w:ascii="宋体" w:hAnsi="宋体" w:cs="宋体" w:hint="eastAsia"/>
          <w:bCs/>
          <w:sz w:val="24"/>
          <w:highlight w:val="white"/>
          <w:lang w:eastAsia="zh-CN"/>
        </w:rPr>
        <w:t>E</w:t>
      </w:r>
      <w:r>
        <w:rPr>
          <w:rFonts w:hint="eastAsia"/>
          <w:bCs/>
          <w:sz w:val="24"/>
          <w:highlight w:val="white"/>
          <w:lang w:eastAsia="zh-CN"/>
        </w:rPr>
        <w:t>×</w:t>
      </w:r>
      <w:r>
        <w:rPr>
          <w:rFonts w:ascii="宋体" w:hAnsi="宋体" w:cs="宋体" w:hint="eastAsia"/>
          <w:bCs/>
          <w:sz w:val="24"/>
          <w:highlight w:val="white"/>
          <w:lang w:eastAsia="zh-CN"/>
        </w:rPr>
        <w:t>0.50%</w:t>
      </w:r>
      <w:r>
        <w:rPr>
          <w:rFonts w:hint="eastAsia"/>
          <w:bCs/>
          <w:sz w:val="24"/>
          <w:highlight w:val="white"/>
          <w:lang w:eastAsia="zh-CN"/>
        </w:rPr>
        <w:t>÷当年天数</w:t>
      </w:r>
    </w:p>
    <w:p w:rsidR="007F5460">
      <w:pPr>
        <w:spacing w:line="360" w:lineRule="auto"/>
        <w:ind w:firstLine="480" w:firstLineChars="200"/>
        <w:rPr>
          <w:bCs/>
          <w:sz w:val="24"/>
          <w:lang w:eastAsia="zh-CN"/>
        </w:rPr>
      </w:pPr>
      <w:r>
        <w:rPr>
          <w:rFonts w:ascii="宋体" w:hAnsi="宋体" w:cs="宋体" w:hint="eastAsia"/>
          <w:bCs/>
          <w:sz w:val="24"/>
          <w:highlight w:val="white"/>
          <w:lang w:eastAsia="zh-CN"/>
        </w:rPr>
        <w:t xml:space="preserve">H </w:t>
      </w:r>
      <w:r>
        <w:rPr>
          <w:rFonts w:hint="eastAsia"/>
          <w:bCs/>
          <w:sz w:val="24"/>
          <w:highlight w:val="white"/>
          <w:lang w:eastAsia="zh-CN"/>
        </w:rPr>
        <w:t>为</w:t>
      </w:r>
      <w:r>
        <w:rPr>
          <w:rFonts w:ascii="宋体" w:hAnsi="宋体" w:cs="宋体" w:hint="eastAsia"/>
          <w:bCs/>
          <w:sz w:val="24"/>
          <w:highlight w:val="white"/>
          <w:lang w:eastAsia="zh-CN"/>
        </w:rPr>
        <w:t>C</w:t>
      </w:r>
      <w:r>
        <w:rPr>
          <w:rFonts w:hint="eastAsia"/>
          <w:bCs/>
          <w:sz w:val="24"/>
          <w:highlight w:val="white"/>
          <w:lang w:eastAsia="zh-CN"/>
        </w:rPr>
        <w:t>类基金份额每日应计提的销售服务费</w:t>
      </w:r>
    </w:p>
    <w:p w:rsidR="007F5460">
      <w:pPr>
        <w:spacing w:line="360" w:lineRule="auto"/>
        <w:ind w:firstLine="480" w:firstLineChars="200"/>
        <w:rPr>
          <w:bCs/>
          <w:sz w:val="24"/>
          <w:lang w:eastAsia="zh-CN"/>
        </w:rPr>
      </w:pPr>
      <w:r>
        <w:rPr>
          <w:rFonts w:ascii="宋体" w:hAnsi="宋体" w:cs="宋体" w:hint="eastAsia"/>
          <w:bCs/>
          <w:sz w:val="24"/>
          <w:highlight w:val="white"/>
          <w:lang w:eastAsia="zh-CN"/>
        </w:rPr>
        <w:t xml:space="preserve">E </w:t>
      </w:r>
      <w:r>
        <w:rPr>
          <w:rFonts w:hint="eastAsia"/>
          <w:bCs/>
          <w:sz w:val="24"/>
          <w:highlight w:val="white"/>
          <w:lang w:eastAsia="zh-CN"/>
        </w:rPr>
        <w:t>为</w:t>
      </w:r>
      <w:r>
        <w:rPr>
          <w:rFonts w:ascii="宋体" w:hAnsi="宋体" w:cs="宋体" w:hint="eastAsia"/>
          <w:bCs/>
          <w:sz w:val="24"/>
          <w:highlight w:val="white"/>
          <w:lang w:eastAsia="zh-CN"/>
        </w:rPr>
        <w:t>C</w:t>
      </w:r>
      <w:r>
        <w:rPr>
          <w:rFonts w:hint="eastAsia"/>
          <w:bCs/>
          <w:sz w:val="24"/>
          <w:highlight w:val="white"/>
          <w:lang w:eastAsia="zh-CN"/>
        </w:rPr>
        <w:t>类基金份额前一日的基金资产净值</w:t>
      </w:r>
    </w:p>
    <w:p w:rsidR="007F5460">
      <w:pPr>
        <w:pStyle w:val="BodyTextIndent2"/>
        <w:spacing w:before="0" w:after="0" w:line="520" w:lineRule="atLeast"/>
        <w:ind w:left="0" w:firstLine="480" w:firstLineChars="200"/>
        <w:rPr>
          <w:rFonts w:hAnsi="宋体"/>
          <w:szCs w:val="24"/>
          <w:lang w:eastAsia="zh-CN"/>
        </w:rPr>
      </w:pPr>
      <w:r>
        <w:rPr>
          <w:rFonts w:hint="eastAsia"/>
          <w:bCs/>
          <w:highlight w:val="white"/>
          <w:lang w:eastAsia="zh-CN"/>
        </w:rPr>
        <w:t>基金销售服务费每日计提，逐日累计至每月月末，按月支付，由基金管理人与基金托管人核对一致后，基金托管人按照与基金管理人协商一致的方式于次月前</w:t>
      </w:r>
      <w:r>
        <w:rPr>
          <w:bCs/>
          <w:highlight w:val="white"/>
          <w:lang w:eastAsia="zh-CN"/>
        </w:rPr>
        <w:t>5个工作日内支付。</w:t>
      </w:r>
      <w:r>
        <w:rPr>
          <w:rFonts w:hint="eastAsia"/>
          <w:bCs/>
          <w:highlight w:val="white"/>
          <w:lang w:eastAsia="zh-CN"/>
        </w:rPr>
        <w:t>若遇法定节假日、休息日或不可抗力致使无法按时支付的，支付日期顺延。</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11.4为基金财产及基金运作所开立账户的开户费和维护费、证券交易费用、基金合同生效后与基金相关的信息披露费用、基金份额持有人大会费用、基金合同生效后与基金相关的会计师费、律师费、仲裁费和诉讼费、基金的银行划款费、因投资内地与香港股票市场交易互联互通机制允许买卖的香港证券市场股票而产生的各项合理费用等根据有关法律法规、基金合同及相应协议的规定，由基金托管人按基金管理人的划款指令并根据费用实际支出金额支付，列入或摊入当期基金费用。</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11.5不列入基金费用的项目</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基金管理人与基金托管人因未履行或未完全履行义务导致的费用支出或基金财产的损失，以及处理与基金运作无关的事项发生的费用等不列入基金费用。基金合同生效前所发生的信息披露费、律师费、验资费和会计师费以及其他费用不从基金财产中支付。其他根据相关法律法规及中国证监会的有关规定不得列入基金费用的项目也不列入基金费用。</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11.6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rsidR="007F5460">
      <w:pPr>
        <w:pStyle w:val="BodyTextIndent2"/>
        <w:spacing w:before="0" w:after="0" w:line="520" w:lineRule="atLeast"/>
        <w:ind w:left="0" w:firstLine="480" w:firstLineChars="200"/>
        <w:rPr>
          <w:rFonts w:hAnsi="宋体"/>
          <w:szCs w:val="24"/>
          <w:lang w:eastAsia="zh-CN"/>
        </w:rPr>
      </w:pPr>
      <w:r>
        <w:rPr>
          <w:highlight w:val="white"/>
          <w:lang w:eastAsia="zh-CN"/>
        </w:rPr>
        <w:t>11.7 实施侧袋机制期间的基金费用 本基金实施侧袋机制的，与侧袋账户有关的费用可以从侧袋账户中列支，但应</w:t>
      </w:r>
      <w:r>
        <w:rPr>
          <w:highlight w:val="white"/>
          <w:lang w:eastAsia="zh-CN"/>
        </w:rPr>
        <w:t>待侧袋账户资产变现后方可列支，有关费用可酌情收取或减免，但不得收取管理费</w:t>
      </w:r>
      <w:r w:rsidR="009D4ADC">
        <w:rPr>
          <w:rFonts w:hAnsi="宋体" w:cs="宋体"/>
          <w:color w:val="000000"/>
          <w:highlight w:val="white"/>
          <w:lang w:eastAsia="zh-CN"/>
        </w:rPr>
        <w:t>（包含固定管理费、或有管理费和超额管理费）</w:t>
      </w:r>
      <w:r>
        <w:rPr>
          <w:highlight w:val="white"/>
          <w:lang w:eastAsia="zh-CN"/>
        </w:rPr>
        <w:t>，</w:t>
      </w:r>
      <w:r>
        <w:rPr>
          <w:highlight w:val="white"/>
          <w:lang w:eastAsia="zh-CN"/>
        </w:rPr>
        <w:t>详见招募说明书的规定。</w:t>
      </w:r>
    </w:p>
    <w:p w:rsidR="007F5460">
      <w:pPr>
        <w:pStyle w:val="BodyTextIndent2"/>
        <w:spacing w:before="0" w:after="0" w:line="520" w:lineRule="atLeast"/>
        <w:ind w:left="0" w:firstLine="480" w:firstLineChars="200"/>
        <w:rPr>
          <w:rFonts w:hAnsi="宋体"/>
          <w:szCs w:val="24"/>
          <w:lang w:eastAsia="zh-CN"/>
        </w:rPr>
      </w:pPr>
    </w:p>
    <w:p w:rsidR="007F5460">
      <w:pPr>
        <w:pStyle w:val="Heading1"/>
        <w:snapToGrid/>
        <w:spacing w:line="520" w:lineRule="atLeast"/>
        <w:ind w:firstLine="480" w:firstLineChars="200"/>
        <w:rPr>
          <w:bCs/>
          <w:color w:val="auto"/>
          <w:szCs w:val="24"/>
          <w:lang w:eastAsia="zh-CN"/>
        </w:rPr>
      </w:pPr>
      <w:bookmarkStart w:id="13" w:name="_Toc82511759"/>
      <w:r>
        <w:rPr>
          <w:rFonts w:hint="eastAsia"/>
          <w:bCs/>
          <w:color w:val="auto"/>
          <w:szCs w:val="24"/>
          <w:highlight w:val="white"/>
          <w:lang w:eastAsia="zh-CN"/>
        </w:rPr>
        <w:t>第十二条 基金份额持有人名册的保管</w:t>
      </w:r>
      <w:bookmarkEnd w:id="13"/>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12.1基金管理人和基金托管人须分别妥善保管基金份额持有人名册，基金份额持有人名册的内容必须包括基金份额持有人的名称和持有的基金份额。</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12.2基金份额持有人名册由基金的登记机构根据基金管理人的指令编制和保管，基金管理人和基金托管人应按照目前相关规则分别保管基金份额持有人名册。保管方式可以采用电子或文档的形式，保管期限为20年以上。</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12.3若基金管理人或基金托管人由于自身原因无法妥善保管基金份额持有人名册，应按有关法规规定各自承担相应的责任。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w:t>
      </w:r>
      <w:r>
        <w:rPr>
          <w:rFonts w:hAnsi="宋体"/>
          <w:szCs w:val="24"/>
          <w:highlight w:val="white"/>
          <w:lang w:eastAsia="zh-CN"/>
        </w:rPr>
        <w:t>2.4</w:t>
      </w:r>
      <w:r>
        <w:rPr>
          <w:rFonts w:hAnsi="宋体" w:hint="eastAsia"/>
          <w:szCs w:val="24"/>
          <w:highlight w:val="white"/>
          <w:lang w:eastAsia="zh-CN"/>
        </w:rPr>
        <w:t>对于每半年度最后一个工作日的基金份额持有人名册，基金管理人应在每半年年度结束后5个工作日内定期向基金托管人提供。对于基金募集期结束时的基金份额持有人名册、收益分配基准日的基金份额持有人名册以及基金份额持有人大会权益登记日的基金份额持有人名册，基金管理人应在相关名册生成后5个工作日内向基金托管人提供。</w:t>
      </w:r>
    </w:p>
    <w:p w:rsidR="007F5460">
      <w:pPr>
        <w:pStyle w:val="Heading1"/>
        <w:snapToGrid/>
        <w:spacing w:line="520" w:lineRule="atLeast"/>
        <w:ind w:firstLine="480" w:firstLineChars="200"/>
        <w:rPr>
          <w:bCs/>
          <w:color w:val="auto"/>
          <w:szCs w:val="24"/>
          <w:lang w:eastAsia="zh-CN"/>
        </w:rPr>
      </w:pPr>
      <w:bookmarkStart w:id="14" w:name="_Toc82511760"/>
      <w:r>
        <w:rPr>
          <w:rFonts w:hint="eastAsia"/>
          <w:bCs/>
          <w:color w:val="auto"/>
          <w:szCs w:val="24"/>
          <w:highlight w:val="white"/>
          <w:lang w:eastAsia="zh-CN"/>
        </w:rPr>
        <w:t>第十三条 基金有关文件和档案的保存</w:t>
      </w:r>
      <w:bookmarkEnd w:id="14"/>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13.1基金管理人、基金托管人按各自职责完整保存原始凭证、记账凭证、基金账册、交易记录和重要合同等，保存期限不少于20年，对相关信息负有保密义务，但本协议另有约定或根据有关法律法规规定或有权机关要求披露的除外。其中，基金管理人应保存基金财产管理业务活动的记录、账册、报表和其他相关资料，基金托管人应保存基金托管业务活动的记录、账册、报表和其他相关资料。</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13.2基金管理人签署重大合同文本后，应及时将合同文本正本送达基金托管人处。基金管理人应及时将与本基金账务处理、资金划拨等有关的合同、协议传真给基金托管人。</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13.3基金管理人或基金托管人变更后，未变更的一方有义务协助接任人接受基金的有关文件。</w:t>
      </w:r>
    </w:p>
    <w:p w:rsidR="007F5460">
      <w:pPr>
        <w:pStyle w:val="Heading1"/>
        <w:snapToGrid/>
        <w:spacing w:line="520" w:lineRule="atLeast"/>
        <w:ind w:firstLine="480" w:firstLineChars="200"/>
        <w:rPr>
          <w:bCs/>
          <w:color w:val="auto"/>
          <w:szCs w:val="24"/>
          <w:lang w:eastAsia="zh-CN"/>
        </w:rPr>
      </w:pPr>
      <w:bookmarkStart w:id="15" w:name="_Toc82511761"/>
      <w:r>
        <w:rPr>
          <w:rFonts w:hint="eastAsia"/>
          <w:bCs/>
          <w:color w:val="auto"/>
          <w:szCs w:val="24"/>
          <w:highlight w:val="white"/>
          <w:lang w:eastAsia="zh-CN"/>
        </w:rPr>
        <w:t>第十四条 基金管理人和基金托管人的更换</w:t>
      </w:r>
      <w:bookmarkEnd w:id="15"/>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14.1基金管理人的更换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14.1.1基金管理人的更换条件</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有下列情形之一的，基金管理人职责终止：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1）被依法取消基金管理资格；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2）被基金份额持有人大会解任；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3）依法解散、被依法撤销或被依法宣告破产；</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4）法律法规及中国证监会规定的和《基金合同》约定的其他情形。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14.1.2基金管理人的更换程序</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更换基金管理人必须依照如下程序进行：</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1）提名：新任基金管理人由基金托管人或由单独或合计持有10%以上（含10%）基金份额的基金份额持有人提名；</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3）临时基金管理人：新任基金管理人产生之前，由中国证监会指定临时基金管理人；</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4）备案：基金份额持有人大会更换基金管理人的决议须报中国证监会备案；</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5）公告：基金管理人更换后，由基金托管人在更换基金管理人的基金份额持有人大会决议生效后2日内在规定媒介公告；</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7）审计：基金管理人职责终止的，应当按照法律法规规定聘请会计师事务所对基金财产进行审计，并将审计结果予以公告，同时报中国证监会备案。审计费用从基金财产中列支；</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8</w:t>
      </w:r>
      <w:r>
        <w:rPr>
          <w:rFonts w:hAnsi="宋体" w:hint="eastAsia"/>
          <w:szCs w:val="24"/>
          <w:lang w:eastAsia="zh-CN"/>
        </w:rPr>
        <w:t>）</w:t>
      </w:r>
      <w:r>
        <w:rPr>
          <w:rFonts w:hAnsi="宋体" w:hint="eastAsia"/>
          <w:szCs w:val="24"/>
          <w:highlight w:val="white"/>
          <w:lang w:eastAsia="zh-CN"/>
        </w:rPr>
        <w:t>基金名称变更：基金管理人更换后，如果原任或新任基金管理人要求，应按其要求替换或删除基金名称中与原基金管理人有关的名称字样。</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14.2基金托管人的更换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14.2.1基金托管人的更换条件</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有下列情形之一的，基金托管人职责终止：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1）被依法取消基金托管资格；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2）被基金份额持有人大会解任；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3）依法解散、被依法撤销或被依法宣告破产；</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4）法律法规及中国证监会规定的和《基金合同》约定的其他情形。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14.2.2基金托管人的更换程序</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1）提名：新任基金托管人由基金管理人或由单独或合计持有10%以上（含10%）基金份额的基金份额持有人提名；</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3）临时基金托管人：新任基金托管人产生之前，由中国证监会指定临时基金托管人；</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4）备案：基金份额持有人大会更换基金托管人的决议须报中国证监会备案；</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5）公告：基金托管人更换后，由基金管理人在更换基金托管人的基金份额持有人大会决议生效后2日内在规定媒介公告；</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lang w:eastAsia="zh-CN"/>
        </w:rPr>
        <w:t>（</w:t>
      </w:r>
      <w:r>
        <w:rPr>
          <w:rFonts w:hAnsi="宋体" w:hint="eastAsia"/>
          <w:szCs w:val="24"/>
          <w:highlight w:val="white"/>
          <w:lang w:eastAsia="zh-CN"/>
        </w:rPr>
        <w:t>7）审计：基金托管人职责终止的，应当按照法律法规规定聘请会计师事务所对基金财产进行审计，并将审计结果予以公告，同时报中国证监会备案。审计费用从基金财产中列支。</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14.3基金管理人与基金托管人同时更换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14.3.1提名：如果基金管理人和基金托管人同时更换，由单独或合计持有基金总份额10%以上（含10%）的基金份额持有人提名新的基金管理人和基金托管人。</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14.3.2基金管理人和基金托管人的更换分别按上述程序进行。</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14.3.3公告：新任基金管理人和新任基金托管人应在更换基金管理人和基金托管人的基金份额持有人大会决议生效后2日内在规定媒介上联合公告。</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14.4新任或临时基金管理人接受基金管理业务或新任或临时基金托管人接受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基金合同的规定收取基金管理费或基金托管费。</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14.5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7F5460">
      <w:pPr>
        <w:pStyle w:val="Heading1"/>
        <w:snapToGrid/>
        <w:spacing w:line="520" w:lineRule="atLeast"/>
        <w:ind w:firstLine="480" w:firstLineChars="200"/>
        <w:rPr>
          <w:bCs/>
          <w:color w:val="auto"/>
          <w:szCs w:val="24"/>
          <w:lang w:eastAsia="zh-CN"/>
        </w:rPr>
      </w:pPr>
      <w:bookmarkStart w:id="16" w:name="_Toc82511762"/>
      <w:r>
        <w:rPr>
          <w:rFonts w:hint="eastAsia"/>
          <w:bCs/>
          <w:color w:val="auto"/>
          <w:szCs w:val="24"/>
          <w:highlight w:val="white"/>
          <w:lang w:eastAsia="zh-CN"/>
        </w:rPr>
        <w:t>第十五条 禁止行为</w:t>
      </w:r>
      <w:bookmarkEnd w:id="16"/>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15.1基金管理人、基金托管人禁止从事的行为，包括但不限于：</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15.1.1基金管理人、基金托管人将其固有财产或者他人财产混同于基金财产从事证券投资。</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15.1.2基金管理人不公平地对待其管理的不同基金财产，基金托管人不公平地对待其托管的不同基金财产。</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15.1.3基金管理人、基金托管人利用基金财产为基金份额持有人以外的第三人牟取利益。</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15.1.4基金管理人、基金托管人向基金份额持有人违规承诺收益或者承担损失。</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15.1.5基金管理人、基金托管人对他人泄</w:t>
      </w:r>
      <w:r w:rsidR="00B65278">
        <w:rPr>
          <w:rFonts w:hAnsi="宋体" w:hint="eastAsia"/>
          <w:szCs w:val="24"/>
          <w:highlight w:val="white"/>
          <w:lang w:eastAsia="zh-CN"/>
        </w:rPr>
        <w:t>露</w:t>
      </w:r>
      <w:r>
        <w:rPr>
          <w:rFonts w:hAnsi="宋体" w:hint="eastAsia"/>
          <w:szCs w:val="24"/>
          <w:highlight w:val="white"/>
          <w:lang w:eastAsia="zh-CN"/>
        </w:rPr>
        <w:t>基金运作和管理过程中任何尚未按法律法规规定的方式公开披露的信息。</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15.1.6基金管理人在没有充足资金的情况下向基金托管人发出投资指令和赎回、分红资金的划拨指令，或违规向基金托管人发出指令。</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15.1.7基金管理人、基金托管人在行政上、财务上不独立，其高级管理人员和其他从业人员相互兼职。</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15.1.8基金托管人私自动用或处分基金财产，根据基金管理人的合法指令、基金合同或本协议的规定进行处分的除外。</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15.1.9基金财产用于下列投资或者活动：</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（1）承销证券；</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（2）违反规定向他人贷款或者提供担保；</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（3）从事承担无限责任的投资；</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（4）向其基金管理人、基金托管人出资；</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（5）从事内幕交易、操纵证券交易价格及其他不正当的证券交易活动；</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（6）法律、行政法规和中国证监会规定禁止的其他活动。</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15.1.10法律法规或监管部门取消或变更上述禁止性规定，本基金可不受上述规定的限制或按变更后的规定执行。</w:t>
      </w:r>
    </w:p>
    <w:p w:rsidR="007F5460">
      <w:pPr>
        <w:pStyle w:val="Heading1"/>
        <w:snapToGrid/>
        <w:spacing w:line="520" w:lineRule="atLeast"/>
        <w:ind w:firstLine="480" w:firstLineChars="200"/>
        <w:rPr>
          <w:bCs/>
          <w:color w:val="auto"/>
          <w:szCs w:val="24"/>
          <w:lang w:eastAsia="zh-CN"/>
        </w:rPr>
      </w:pPr>
      <w:bookmarkStart w:id="17" w:name="_Toc82511763"/>
      <w:r>
        <w:rPr>
          <w:rFonts w:hint="eastAsia"/>
          <w:bCs/>
          <w:color w:val="auto"/>
          <w:szCs w:val="24"/>
          <w:highlight w:val="white"/>
          <w:lang w:eastAsia="zh-CN"/>
        </w:rPr>
        <w:t>第十六条 本协议的变更、终止与基金财产的清算</w:t>
      </w:r>
      <w:bookmarkEnd w:id="17"/>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16.1本协议的变更与终止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16.1.1本协议的变更程序</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本协议双方当事人经协商一致，可以对协议的内容进行变更，并另行签署书面协议予以明确。变更后的托管协议，其内容不得与基金合同的规定有任何冲突。</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16.1.2本协议终止的情形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发生以下情况，本协议终止：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（1）基金合同终止；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（2）基金托管人解散、依法被撤销、破产或由其他基金托管人接管基金资产；</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（3）基金管理人解散、依法被撤销、破产或由其他基金管理人接管基金管理权；</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（4）发生法律法规或基金合同规定的终止事项。</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16.2基金财产的清算</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16.2.1基金财产清算小组</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（1）自出现基金合同终止事由之日起30个工作日内成立清算小组，基金管理人组织基金财产清算小组并在中国证监会的监督下进行基金清算。</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（2）基金财产清算小组成员由基金管理人、基金托管人、注册会计师、律师以及中国证监会指定的人员组成。基金财产清算小组可以聘用必要的工作人员。</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（3）基金财产清算小组负责基金财产的保管、清理、估价、变现和分配。基金财产清算小组可以依法进行必要的民事活动。</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16.2.2基金财产清算程序</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（1）基金合同终止情形出现时，由基金财产清算小组统一接管基金；</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（2）对基金财产和债权债务进行清理和确认；</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（3）对基金财产进行估值和变现；</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（4）制作清算报告；</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（5）聘请会计师事务所对清算报告进行外部审计，聘请律师事务所对清算报告出具法律意见书；</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（6）将清算报告报中国证监会备案并公告；</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（7）对基金剩余财产进行分配。</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基金财产清算的期限为6个月，但因本基金所持证券的流动性受到限制而不能及时变现的，清算期限相应顺延。</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16.2.3清算费用</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清算费用是指基金财产清算小组在进行基金清算过程中发生的所有合理费用，清算费用由基金财产清算小组优先从基金财产中支付。</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16.2.4基金财产清算剩余资产的分配</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hAnsi="宋体" w:cs="宋体"/>
          <w:color w:val="000000"/>
          <w:highlight w:val="white"/>
          <w:lang w:eastAsia="zh-CN"/>
        </w:rPr>
        <w:t>分配金额需加上返还基金份额持有人的或有管理费（如有），并扣除超额管理费（如有）。</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16.2.5基金财产清算的公告</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16.2.6基金财产清算账册及文件的保存</w:t>
      </w:r>
    </w:p>
    <w:p w:rsidR="007F5460">
      <w:pPr>
        <w:pStyle w:val="BodyTextIndent2"/>
        <w:spacing w:before="0" w:after="0" w:line="520" w:lineRule="atLeast"/>
        <w:ind w:left="0" w:firstLine="480" w:firstLineChars="200"/>
        <w:rPr>
          <w:lang w:eastAsia="zh-CN"/>
        </w:rPr>
      </w:pPr>
      <w:r>
        <w:rPr>
          <w:rFonts w:hAnsi="宋体" w:hint="eastAsia"/>
          <w:szCs w:val="24"/>
          <w:highlight w:val="white"/>
          <w:lang w:eastAsia="zh-CN"/>
        </w:rPr>
        <w:t>基金财产清算账册及有关文件由基金托管人保存20年以上。</w:t>
      </w:r>
    </w:p>
    <w:p w:rsidR="007F5460">
      <w:pPr>
        <w:pStyle w:val="Heading1"/>
        <w:snapToGrid/>
        <w:spacing w:line="520" w:lineRule="atLeast"/>
        <w:ind w:firstLine="480" w:firstLineChars="200"/>
        <w:rPr>
          <w:bCs/>
          <w:color w:val="auto"/>
          <w:szCs w:val="24"/>
          <w:lang w:eastAsia="zh-CN"/>
        </w:rPr>
      </w:pPr>
      <w:bookmarkStart w:id="18" w:name="_Toc82511764"/>
      <w:r>
        <w:rPr>
          <w:rFonts w:hint="eastAsia"/>
          <w:bCs/>
          <w:color w:val="auto"/>
          <w:szCs w:val="24"/>
          <w:highlight w:val="white"/>
          <w:lang w:eastAsia="zh-CN"/>
        </w:rPr>
        <w:t>第十七条 违约责任</w:t>
      </w:r>
      <w:bookmarkEnd w:id="18"/>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17.1如果基金管理人或基金托管人不履行本协议或者履行本协议不符合约定的，应当承担违约责任。</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17.2因托管协议当事人违约给基金财产或者基金份额持有人造成损害的，应当分别对各自的行为依法承担赔偿责任，因共同行为给基金财产或者基金份额持有人造成损害的，应当承担连带赔偿责任。但是发生下列情况，当事人免责：</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sidR="00DA680D">
        <w:rPr>
          <w:rFonts w:hAnsi="宋体" w:hint="eastAsia"/>
          <w:szCs w:val="24"/>
          <w:highlight w:val="white"/>
          <w:lang w:eastAsia="zh-CN"/>
        </w:rPr>
        <w:t>1</w:t>
      </w:r>
      <w:r>
        <w:rPr>
          <w:rFonts w:hAnsi="宋体" w:hint="eastAsia"/>
          <w:szCs w:val="24"/>
          <w:highlight w:val="white"/>
          <w:lang w:eastAsia="zh-CN"/>
        </w:rPr>
        <w:t>）</w:t>
      </w:r>
      <w:r w:rsidR="00DA680D">
        <w:rPr>
          <w:rFonts w:hAnsi="宋体" w:hint="eastAsia"/>
          <w:szCs w:val="24"/>
          <w:highlight w:val="white"/>
          <w:lang w:eastAsia="zh-CN"/>
        </w:rPr>
        <w:t>不可抗力；</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sidR="00DA680D">
        <w:rPr>
          <w:rFonts w:hAnsi="宋体" w:hint="eastAsia"/>
          <w:szCs w:val="24"/>
          <w:highlight w:val="white"/>
          <w:lang w:eastAsia="zh-CN"/>
        </w:rPr>
        <w:t>2</w:t>
      </w:r>
      <w:r>
        <w:rPr>
          <w:rFonts w:hAnsi="宋体" w:hint="eastAsia"/>
          <w:szCs w:val="24"/>
          <w:highlight w:val="white"/>
          <w:lang w:eastAsia="zh-CN"/>
        </w:rPr>
        <w:t>）</w:t>
      </w:r>
      <w:r w:rsidR="00DA680D">
        <w:rPr>
          <w:rFonts w:hAnsi="宋体" w:hint="eastAsia"/>
          <w:szCs w:val="24"/>
          <w:highlight w:val="white"/>
          <w:lang w:eastAsia="zh-CN"/>
        </w:rPr>
        <w:t>基金管理人和/或基金托管人按照当时有效的法律法规或中国证监会的规定作为或不作为而造成的损失等；</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w:t>
      </w:r>
      <w:r w:rsidR="00DA680D">
        <w:rPr>
          <w:rFonts w:hAnsi="宋体" w:hint="eastAsia"/>
          <w:szCs w:val="24"/>
          <w:highlight w:val="white"/>
          <w:lang w:eastAsia="zh-CN"/>
        </w:rPr>
        <w:t>3</w:t>
      </w:r>
      <w:r>
        <w:rPr>
          <w:rFonts w:hAnsi="宋体" w:hint="eastAsia"/>
          <w:szCs w:val="24"/>
          <w:highlight w:val="white"/>
          <w:lang w:eastAsia="zh-CN"/>
        </w:rPr>
        <w:t>）</w:t>
      </w:r>
      <w:r w:rsidR="00DA680D">
        <w:rPr>
          <w:rFonts w:hAnsi="宋体" w:hint="eastAsia"/>
          <w:szCs w:val="24"/>
          <w:highlight w:val="white"/>
          <w:lang w:eastAsia="zh-CN"/>
        </w:rPr>
        <w:t>基金管理人由于按照基金合同规定的投资原则投资或不投资造成的损失等；</w:t>
      </w:r>
    </w:p>
    <w:p w:rsidR="007F5460">
      <w:pPr>
        <w:pStyle w:val="BodyTextIndent2"/>
        <w:spacing w:before="0" w:after="0" w:line="520" w:lineRule="atLeast"/>
        <w:ind w:left="0" w:firstLine="480" w:firstLineChars="200"/>
        <w:rPr>
          <w:rFonts w:hAnsi="宋体"/>
          <w:szCs w:val="24"/>
          <w:lang w:eastAsia="zh-CN"/>
        </w:rPr>
      </w:pPr>
      <w:r>
        <w:rPr>
          <w:rFonts w:hAnsi="宋体"/>
          <w:szCs w:val="24"/>
          <w:highlight w:val="white"/>
          <w:lang w:eastAsia="zh-CN"/>
        </w:rPr>
        <w:t>（</w:t>
      </w:r>
      <w:r>
        <w:rPr>
          <w:rFonts w:hAnsi="宋体" w:hint="eastAsia"/>
          <w:szCs w:val="24"/>
          <w:highlight w:val="white"/>
          <w:lang w:eastAsia="zh-CN"/>
        </w:rPr>
        <w:t>4</w:t>
      </w:r>
      <w:r>
        <w:rPr>
          <w:rFonts w:hAnsi="宋体"/>
          <w:szCs w:val="24"/>
          <w:highlight w:val="white"/>
          <w:lang w:eastAsia="zh-CN"/>
        </w:rPr>
        <w:t>）</w:t>
      </w:r>
      <w:r>
        <w:rPr>
          <w:rFonts w:hAnsi="宋体" w:hint="eastAsia"/>
          <w:szCs w:val="24"/>
          <w:highlight w:val="white"/>
          <w:lang w:eastAsia="zh-CN"/>
        </w:rPr>
        <w:t>计算机系统故障、网络故障、通讯故障、电力故障、计算机病毒攻击及其它非基金管理人及基金托管人原因造成的意外事故。</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17.3如果由于本协议一方当事人（以下简称“违约方”）的违约行为给基金财产或基金份额持有人造成损失，另一方当事人（以下简称“守约方”）有权利并且有义务代表基金对违约方进行追偿；如果由于违约方的违约行为导致守约方赔偿了该基金财产或基金份额持有人所遭受的损失，则守约方有权向违约方追索，违约方应赔偿和补偿守约方由此发生的所有成本、费用和支出，以及由此遭受的损失。</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17.4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17.5违约行为虽已发生，但本协议能够继续履行的，在最大限度地保护基金份额持有人利益的前提下，基金管理人和基金托管人应当继续履行本协议。</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17.6由于基金管理人、基金托管人不可控制的因素导致业务出现差错，基金管理人和基金托管人虽然已经采取必要、适当、合理的措施进行检查，但是未能发现错误的，由此造成基金财产或基金份额持有人损失，基金管理人和基金托管人免除赔偿责任。但是基金管理人和基金托管人应积极采取必要的措施减轻或消除由此造成的影响。</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17.7本协议所指损失均为直接损失。</w:t>
      </w:r>
    </w:p>
    <w:p w:rsidR="007F5460">
      <w:pPr>
        <w:pStyle w:val="Heading1"/>
        <w:snapToGrid/>
        <w:spacing w:line="520" w:lineRule="atLeast"/>
        <w:ind w:firstLine="480" w:firstLineChars="200"/>
        <w:rPr>
          <w:bCs/>
          <w:color w:val="auto"/>
          <w:szCs w:val="24"/>
          <w:lang w:eastAsia="zh-CN"/>
        </w:rPr>
      </w:pPr>
      <w:bookmarkStart w:id="19" w:name="_Toc82511765"/>
      <w:r>
        <w:rPr>
          <w:rFonts w:hint="eastAsia"/>
          <w:bCs/>
          <w:color w:val="auto"/>
          <w:szCs w:val="24"/>
          <w:highlight w:val="white"/>
          <w:lang w:eastAsia="zh-CN"/>
        </w:rPr>
        <w:t>第十八条 法律适用和争议解决</w:t>
      </w:r>
      <w:bookmarkEnd w:id="19"/>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本协议的效力、解释、变更、执行及争议的解决等均适用中华人民共和国法律，没有相关成文规定的，参照通用的商业惯例和（或）行业惯例。</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凡因本协议产生的及与本协议有关的争议，双方均应协商解决；协商不成的，任何一方均有权将争议提交中国国际经济贸易仲裁委员会，按照该会届时有效的仲裁规则进行仲裁。仲裁地点为北京市。仲裁裁决是终局的，对当事人均有约束力。除非仲裁裁决另有决定，仲裁费用由败诉方承担。</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争议处理期间，双方当事人应恪守基金管理人和基金托管人职责，继续忠实、勤勉、尽责地履行基金合同和本协议规定的义务，维护基金份额持有人的合法权益。</w:t>
      </w:r>
    </w:p>
    <w:p w:rsidR="007F5460">
      <w:pPr>
        <w:pStyle w:val="Heading1"/>
        <w:snapToGrid/>
        <w:spacing w:line="520" w:lineRule="atLeast"/>
        <w:ind w:firstLine="480" w:firstLineChars="200"/>
        <w:rPr>
          <w:bCs/>
          <w:color w:val="auto"/>
          <w:szCs w:val="24"/>
          <w:lang w:eastAsia="zh-CN"/>
        </w:rPr>
      </w:pPr>
      <w:bookmarkStart w:id="20" w:name="_Toc82511766"/>
      <w:r>
        <w:rPr>
          <w:rFonts w:hint="eastAsia"/>
          <w:bCs/>
          <w:color w:val="auto"/>
          <w:szCs w:val="24"/>
          <w:highlight w:val="white"/>
          <w:lang w:eastAsia="zh-CN"/>
        </w:rPr>
        <w:t>第十九条 本协议的效力</w:t>
      </w:r>
      <w:bookmarkEnd w:id="20"/>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19.1基金管理人在向中国证监会申请发售基金份额时提交的托管协议草案，应经托管协议当事人加盖公章或合同专用章以及双方法定代表人/负责人或授权代理人签章（签字或加盖名章），本协议当事人双方可能不时根据中国证监会的意见修改托管协议草案。本协议以中国证监会注册的最终文本为正式文本。</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19.2本协议自双方签订之日起成立，自基金合同生效之日起生效。本协议的有效期自其生效之日起至该基金财产清算结果报中国证监会备案并公告之日止。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19.3本协议自生效之日起对双方具有同等的法律约束力。</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19.4本协议正本一式三份，除上报有关监管机构一式一份外，基金管理人和基金托管人分别持有一份，每份具有同等的法律效力。</w:t>
      </w:r>
    </w:p>
    <w:p w:rsidR="007F5460">
      <w:pPr>
        <w:pStyle w:val="Heading1"/>
        <w:snapToGrid/>
        <w:spacing w:line="520" w:lineRule="atLeast"/>
        <w:ind w:firstLine="480" w:firstLineChars="200"/>
        <w:rPr>
          <w:bCs/>
          <w:color w:val="auto"/>
          <w:szCs w:val="24"/>
          <w:lang w:eastAsia="zh-CN"/>
        </w:rPr>
      </w:pPr>
      <w:bookmarkStart w:id="21" w:name="_Toc82511767"/>
      <w:r>
        <w:rPr>
          <w:rFonts w:hint="eastAsia"/>
          <w:bCs/>
          <w:color w:val="auto"/>
          <w:szCs w:val="24"/>
          <w:highlight w:val="white"/>
          <w:lang w:eastAsia="zh-CN"/>
        </w:rPr>
        <w:t>第二十条 本协议的签订</w:t>
      </w:r>
      <w:bookmarkEnd w:id="21"/>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20.1本协议经基金管理人和基金托管人认可后，由双方当事人在本协议上加盖公章或合同专用章，并由各自的法定代表人/负责人或授权代理人签章（签字或加盖名章），并注明本托管协议的签订地点和签订日期。</w:t>
      </w:r>
    </w:p>
    <w:p w:rsidR="007F5460">
      <w:pPr>
        <w:pStyle w:val="Heading1"/>
        <w:snapToGrid/>
        <w:spacing w:line="520" w:lineRule="atLeast"/>
        <w:ind w:firstLine="480" w:firstLineChars="200"/>
        <w:rPr>
          <w:bCs/>
          <w:color w:val="auto"/>
          <w:szCs w:val="24"/>
          <w:lang w:eastAsia="zh-CN"/>
        </w:rPr>
      </w:pPr>
      <w:bookmarkStart w:id="22" w:name="_Toc82511768"/>
      <w:r>
        <w:rPr>
          <w:rFonts w:hint="eastAsia"/>
          <w:bCs/>
          <w:color w:val="auto"/>
          <w:szCs w:val="24"/>
          <w:highlight w:val="white"/>
          <w:lang w:eastAsia="zh-CN"/>
        </w:rPr>
        <w:t>第二十一条 不可抗力</w:t>
      </w:r>
      <w:bookmarkEnd w:id="22"/>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21.1如果本协议任何一方因受不可抗力事件影响而未能履行其在本协议下的全部或部分义务，该义务的履行在不可抗力事件妨碍其履行期间应予中止。</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21.2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21.3不可抗力事件发生时，双方应立即通过友好协商决定如何执行本协议。不可抗力事件或其影响终止或消除后，双方须立即恢复履行各自在本协议项下的各项义务。</w:t>
      </w:r>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21.4本条所述的不可抗力事件是指不能预见、不能避免并不能克服的客观情况。</w:t>
      </w:r>
    </w:p>
    <w:p w:rsidR="007F5460">
      <w:pPr>
        <w:pStyle w:val="Heading1"/>
        <w:snapToGrid/>
        <w:spacing w:line="520" w:lineRule="atLeast"/>
        <w:ind w:firstLine="480" w:firstLineChars="200"/>
        <w:rPr>
          <w:bCs/>
          <w:color w:val="auto"/>
          <w:szCs w:val="24"/>
          <w:lang w:eastAsia="zh-CN"/>
        </w:rPr>
      </w:pPr>
      <w:bookmarkStart w:id="23" w:name="_Toc82511769"/>
      <w:r>
        <w:rPr>
          <w:rFonts w:hint="eastAsia"/>
          <w:bCs/>
          <w:color w:val="auto"/>
          <w:szCs w:val="24"/>
          <w:highlight w:val="white"/>
          <w:lang w:eastAsia="zh-CN"/>
        </w:rPr>
        <w:t>第二十二条 可分割性</w:t>
      </w:r>
      <w:bookmarkEnd w:id="23"/>
    </w:p>
    <w:p w:rsidR="007F5460">
      <w:pPr>
        <w:pStyle w:val="BodyTextIndent2"/>
        <w:spacing w:before="0" w:after="0" w:line="520" w:lineRule="atLeast"/>
        <w:ind w:left="0" w:firstLine="480" w:firstLineChars="200"/>
        <w:rPr>
          <w:rFonts w:hAnsi="宋体"/>
          <w:szCs w:val="24"/>
          <w:lang w:eastAsia="zh-CN"/>
        </w:rPr>
      </w:pPr>
      <w:r>
        <w:rPr>
          <w:rFonts w:hAnsi="宋体" w:hint="eastAsia"/>
          <w:szCs w:val="24"/>
          <w:highlight w:val="white"/>
          <w:lang w:eastAsia="zh-CN"/>
        </w:rPr>
        <w:t>22.1如果本协议任何约定依现行法律被确定为无效或无法实施，本协议的其他条款将继续有效。此种情况下，双方将积极协商解决并另行签署书面协议予以明确，且该协议应尽可能接近原规定和本协议相应的精神和宗旨。</w:t>
      </w:r>
    </w:p>
    <w:p w:rsidR="007F5460">
      <w:pPr>
        <w:spacing w:line="520" w:lineRule="atLeast"/>
        <w:rPr>
          <w:sz w:val="24"/>
          <w:szCs w:val="24"/>
          <w:lang w:eastAsia="zh-CN"/>
        </w:rPr>
      </w:pPr>
      <w:r>
        <w:rPr>
          <w:rFonts w:hint="eastAsia"/>
          <w:sz w:val="24"/>
          <w:szCs w:val="24"/>
          <w:highlight w:val="white"/>
          <w:lang w:eastAsia="zh-CN"/>
        </w:rPr>
        <w:t>（以下无正文）</w:t>
      </w:r>
      <w:r>
        <w:rPr>
          <w:rFonts w:ascii="宋体" w:hAnsi="宋体" w:cs="宋体"/>
          <w:sz w:val="24"/>
          <w:szCs w:val="24"/>
          <w:highlight w:val="white"/>
        </w:rPr>
        <w:t> </w:t>
      </w:r>
      <w:r>
        <w:rPr>
          <w:rFonts w:ascii="宋体" w:hAnsi="宋体" w:cs="宋体"/>
          <w:sz w:val="24"/>
          <w:szCs w:val="24"/>
          <w:highlight w:val="white"/>
          <w:lang w:eastAsia="zh-CN"/>
        </w:rPr>
        <w:t xml:space="preserve"> </w:t>
      </w:r>
    </w:p>
    <w:p w:rsidR="007F5460">
      <w:pPr>
        <w:spacing w:line="520" w:lineRule="atLeast"/>
        <w:rPr>
          <w:sz w:val="24"/>
          <w:szCs w:val="24"/>
          <w:lang w:eastAsia="zh-CN"/>
        </w:rPr>
      </w:pPr>
    </w:p>
    <w:p w:rsidR="007F5460">
      <w:pPr>
        <w:spacing w:line="520" w:lineRule="atLeast"/>
        <w:rPr>
          <w:sz w:val="24"/>
          <w:szCs w:val="24"/>
          <w:lang w:eastAsia="zh-CN"/>
        </w:rPr>
        <w:sectPr>
          <w:footerReference w:type="default" r:id="rId10"/>
          <w:pgSz w:w="11906" w:h="16838"/>
          <w:pgMar w:top="1440" w:right="1800" w:bottom="1440" w:left="1800" w:header="851" w:footer="992" w:gutter="0"/>
          <w:pgNumType w:start="1"/>
          <w:cols w:space="425"/>
          <w:docGrid w:type="lines" w:linePitch="312"/>
        </w:sectPr>
      </w:pPr>
    </w:p>
    <w:p w:rsidR="007F5460">
      <w:pPr>
        <w:spacing w:line="520" w:lineRule="atLeast"/>
        <w:rPr>
          <w:sz w:val="24"/>
          <w:szCs w:val="24"/>
          <w:lang w:eastAsia="zh-CN"/>
        </w:rPr>
      </w:pPr>
      <w:r>
        <w:rPr>
          <w:rFonts w:hint="eastAsia"/>
          <w:sz w:val="24"/>
          <w:szCs w:val="24"/>
          <w:highlight w:val="white"/>
          <w:lang w:eastAsia="zh-CN"/>
        </w:rPr>
        <w:t>本页无正文，为《</w:t>
      </w:r>
      <w:r>
        <w:rPr>
          <w:rFonts w:hint="eastAsia"/>
          <w:sz w:val="24"/>
          <w:szCs w:val="24"/>
          <w:lang w:eastAsia="zh-CN"/>
        </w:rPr>
        <w:t>易方达科技先锋混合型证券投资基金</w:t>
      </w:r>
      <w:r>
        <w:rPr>
          <w:rFonts w:hint="eastAsia"/>
          <w:sz w:val="24"/>
          <w:szCs w:val="24"/>
          <w:highlight w:val="white"/>
          <w:lang w:eastAsia="zh-CN"/>
        </w:rPr>
        <w:t>托管协议</w:t>
      </w:r>
      <w:r>
        <w:rPr>
          <w:rFonts w:hint="eastAsia"/>
          <w:sz w:val="24"/>
          <w:szCs w:val="24"/>
          <w:highlight w:val="white"/>
          <w:lang w:eastAsia="zh-CN"/>
        </w:rPr>
        <w:t>》的签字盖章页。</w:t>
      </w:r>
    </w:p>
    <w:p w:rsidR="007F5460">
      <w:pPr>
        <w:spacing w:line="520" w:lineRule="atLeast"/>
        <w:rPr>
          <w:sz w:val="24"/>
          <w:szCs w:val="24"/>
          <w:lang w:eastAsia="zh-CN"/>
        </w:rPr>
      </w:pPr>
    </w:p>
    <w:p w:rsidR="007F5460">
      <w:pPr>
        <w:spacing w:line="520" w:lineRule="atLeast"/>
        <w:rPr>
          <w:sz w:val="24"/>
          <w:szCs w:val="24"/>
          <w:lang w:eastAsia="zh-CN"/>
        </w:rPr>
      </w:pPr>
      <w:r>
        <w:rPr>
          <w:rFonts w:hint="eastAsia"/>
          <w:sz w:val="24"/>
          <w:szCs w:val="24"/>
          <w:highlight w:val="white"/>
          <w:lang w:eastAsia="zh-CN"/>
        </w:rPr>
        <w:t>《托管协议》当事人盖章及法定代表人或授权代表签字</w:t>
      </w:r>
      <w:r>
        <w:rPr>
          <w:rFonts w:ascii="宋体" w:hAnsi="宋体" w:cs="宋体" w:hint="eastAsia"/>
          <w:sz w:val="24"/>
          <w:szCs w:val="24"/>
          <w:highlight w:val="white"/>
          <w:lang w:eastAsia="zh-CN"/>
        </w:rPr>
        <w:t>/</w:t>
      </w:r>
      <w:r>
        <w:rPr>
          <w:rFonts w:hint="eastAsia"/>
          <w:sz w:val="24"/>
          <w:szCs w:val="24"/>
          <w:highlight w:val="white"/>
          <w:lang w:eastAsia="zh-CN"/>
        </w:rPr>
        <w:t>签章、签订地、签订日</w:t>
      </w:r>
    </w:p>
    <w:p w:rsidR="007F5460">
      <w:pPr>
        <w:spacing w:line="520" w:lineRule="atLeast"/>
        <w:rPr>
          <w:sz w:val="24"/>
          <w:szCs w:val="24"/>
          <w:lang w:eastAsia="zh-CN"/>
        </w:rPr>
      </w:pPr>
    </w:p>
    <w:p w:rsidR="007F5460">
      <w:pPr>
        <w:spacing w:line="520" w:lineRule="atLeast"/>
        <w:rPr>
          <w:sz w:val="24"/>
          <w:szCs w:val="24"/>
          <w:lang w:eastAsia="zh-CN"/>
        </w:rPr>
      </w:pPr>
    </w:p>
    <w:p w:rsidR="007F5460">
      <w:pPr>
        <w:spacing w:line="520" w:lineRule="atLeast"/>
        <w:rPr>
          <w:sz w:val="24"/>
          <w:szCs w:val="24"/>
          <w:lang w:eastAsia="zh-CN"/>
        </w:rPr>
      </w:pPr>
      <w:r>
        <w:rPr>
          <w:rFonts w:hint="eastAsia"/>
          <w:sz w:val="24"/>
          <w:szCs w:val="24"/>
          <w:highlight w:val="white"/>
          <w:lang w:eastAsia="zh-CN"/>
        </w:rPr>
        <w:t>基金管理人：易方达基金管理有限公司（章）</w:t>
      </w:r>
    </w:p>
    <w:p w:rsidR="007F5460">
      <w:pPr>
        <w:spacing w:line="520" w:lineRule="atLeast"/>
        <w:rPr>
          <w:sz w:val="24"/>
          <w:szCs w:val="24"/>
          <w:lang w:eastAsia="zh-CN"/>
        </w:rPr>
      </w:pPr>
    </w:p>
    <w:p w:rsidR="007F5460">
      <w:pPr>
        <w:spacing w:line="520" w:lineRule="atLeast"/>
        <w:rPr>
          <w:sz w:val="24"/>
          <w:szCs w:val="24"/>
          <w:lang w:eastAsia="zh-CN"/>
        </w:rPr>
      </w:pPr>
    </w:p>
    <w:p w:rsidR="007F5460">
      <w:pPr>
        <w:spacing w:line="520" w:lineRule="atLeast"/>
        <w:rPr>
          <w:sz w:val="24"/>
          <w:szCs w:val="24"/>
          <w:lang w:eastAsia="zh-CN"/>
        </w:rPr>
      </w:pPr>
    </w:p>
    <w:p w:rsidR="007F5460">
      <w:pPr>
        <w:spacing w:line="520" w:lineRule="atLeast"/>
        <w:rPr>
          <w:sz w:val="24"/>
          <w:szCs w:val="24"/>
          <w:lang w:eastAsia="zh-CN"/>
        </w:rPr>
      </w:pPr>
      <w:r>
        <w:rPr>
          <w:rFonts w:hint="eastAsia"/>
          <w:sz w:val="24"/>
          <w:szCs w:val="24"/>
          <w:highlight w:val="white"/>
          <w:lang w:eastAsia="zh-CN"/>
        </w:rPr>
        <w:t>法定代表人或授权代表（签字</w:t>
      </w:r>
      <w:r>
        <w:rPr>
          <w:rFonts w:ascii="宋体" w:hAnsi="宋体" w:cs="宋体" w:hint="eastAsia"/>
          <w:sz w:val="24"/>
          <w:szCs w:val="24"/>
          <w:highlight w:val="white"/>
          <w:lang w:eastAsia="zh-CN"/>
        </w:rPr>
        <w:t>/</w:t>
      </w:r>
      <w:r>
        <w:rPr>
          <w:rFonts w:hint="eastAsia"/>
          <w:sz w:val="24"/>
          <w:szCs w:val="24"/>
          <w:highlight w:val="white"/>
          <w:lang w:eastAsia="zh-CN"/>
        </w:rPr>
        <w:t>签章）：</w:t>
      </w:r>
    </w:p>
    <w:p w:rsidR="007F5460">
      <w:pPr>
        <w:spacing w:line="520" w:lineRule="atLeast"/>
        <w:rPr>
          <w:sz w:val="24"/>
          <w:szCs w:val="24"/>
          <w:lang w:eastAsia="zh-CN"/>
        </w:rPr>
      </w:pPr>
    </w:p>
    <w:p w:rsidR="007F5460">
      <w:pPr>
        <w:spacing w:line="520" w:lineRule="atLeast"/>
        <w:rPr>
          <w:sz w:val="24"/>
          <w:szCs w:val="24"/>
          <w:lang w:eastAsia="zh-CN"/>
        </w:rPr>
      </w:pPr>
    </w:p>
    <w:p w:rsidR="007F5460">
      <w:pPr>
        <w:spacing w:line="520" w:lineRule="atLeast"/>
        <w:rPr>
          <w:sz w:val="24"/>
          <w:szCs w:val="24"/>
          <w:lang w:eastAsia="zh-CN"/>
        </w:rPr>
      </w:pPr>
    </w:p>
    <w:p w:rsidR="007F5460">
      <w:pPr>
        <w:spacing w:line="520" w:lineRule="atLeast"/>
        <w:rPr>
          <w:sz w:val="24"/>
          <w:szCs w:val="24"/>
          <w:lang w:eastAsia="zh-CN"/>
        </w:rPr>
      </w:pPr>
      <w:r>
        <w:rPr>
          <w:rFonts w:hint="eastAsia"/>
          <w:sz w:val="24"/>
          <w:szCs w:val="24"/>
          <w:highlight w:val="white"/>
          <w:lang w:eastAsia="zh-CN"/>
        </w:rPr>
        <w:t>基金托管人：中信银行股份有限公司</w:t>
      </w:r>
      <w:r>
        <w:rPr>
          <w:rFonts w:ascii="宋体" w:hAnsi="宋体" w:cs="宋体" w:hint="eastAsia"/>
          <w:sz w:val="24"/>
          <w:szCs w:val="24"/>
          <w:highlight w:val="white"/>
          <w:lang w:eastAsia="zh-CN"/>
        </w:rPr>
        <w:t xml:space="preserve"> </w:t>
      </w:r>
      <w:r>
        <w:rPr>
          <w:rFonts w:hint="eastAsia"/>
          <w:sz w:val="24"/>
          <w:szCs w:val="24"/>
          <w:highlight w:val="white"/>
          <w:lang w:eastAsia="zh-CN"/>
        </w:rPr>
        <w:t>（章）</w:t>
      </w:r>
    </w:p>
    <w:p w:rsidR="007F5460">
      <w:pPr>
        <w:spacing w:line="520" w:lineRule="atLeast"/>
        <w:rPr>
          <w:sz w:val="24"/>
          <w:szCs w:val="24"/>
          <w:lang w:eastAsia="zh-CN"/>
        </w:rPr>
      </w:pPr>
    </w:p>
    <w:p w:rsidR="007F5460">
      <w:pPr>
        <w:spacing w:line="520" w:lineRule="atLeast"/>
        <w:rPr>
          <w:sz w:val="24"/>
          <w:szCs w:val="24"/>
          <w:lang w:eastAsia="zh-CN"/>
        </w:rPr>
      </w:pPr>
    </w:p>
    <w:p w:rsidR="007F5460">
      <w:pPr>
        <w:spacing w:line="520" w:lineRule="atLeast"/>
        <w:rPr>
          <w:sz w:val="24"/>
          <w:szCs w:val="24"/>
          <w:lang w:eastAsia="zh-CN"/>
        </w:rPr>
      </w:pPr>
    </w:p>
    <w:p w:rsidR="007F5460">
      <w:pPr>
        <w:spacing w:line="520" w:lineRule="atLeast"/>
        <w:rPr>
          <w:sz w:val="24"/>
          <w:szCs w:val="24"/>
          <w:lang w:eastAsia="zh-CN"/>
        </w:rPr>
      </w:pPr>
      <w:r>
        <w:rPr>
          <w:rFonts w:hint="eastAsia"/>
          <w:sz w:val="24"/>
          <w:szCs w:val="24"/>
          <w:highlight w:val="white"/>
          <w:lang w:eastAsia="zh-CN"/>
        </w:rPr>
        <w:t>法定代表人或授权代表（签字</w:t>
      </w:r>
      <w:r>
        <w:rPr>
          <w:rFonts w:ascii="宋体" w:hAnsi="宋体" w:cs="宋体" w:hint="eastAsia"/>
          <w:sz w:val="24"/>
          <w:szCs w:val="24"/>
          <w:highlight w:val="white"/>
          <w:lang w:eastAsia="zh-CN"/>
        </w:rPr>
        <w:t>/</w:t>
      </w:r>
      <w:r>
        <w:rPr>
          <w:rFonts w:hint="eastAsia"/>
          <w:sz w:val="24"/>
          <w:szCs w:val="24"/>
          <w:highlight w:val="white"/>
          <w:lang w:eastAsia="zh-CN"/>
        </w:rPr>
        <w:t>签章）：</w:t>
      </w:r>
    </w:p>
    <w:p w:rsidR="007F5460">
      <w:pPr>
        <w:spacing w:line="520" w:lineRule="atLeast"/>
        <w:rPr>
          <w:sz w:val="24"/>
          <w:szCs w:val="24"/>
          <w:lang w:eastAsia="zh-CN"/>
        </w:rPr>
      </w:pPr>
    </w:p>
    <w:p w:rsidR="007F5460">
      <w:pPr>
        <w:spacing w:line="520" w:lineRule="atLeast"/>
        <w:rPr>
          <w:sz w:val="24"/>
          <w:szCs w:val="24"/>
          <w:lang w:eastAsia="zh-CN"/>
        </w:rPr>
      </w:pPr>
    </w:p>
    <w:p w:rsidR="007F5460">
      <w:pPr>
        <w:spacing w:line="520" w:lineRule="atLeast"/>
        <w:rPr>
          <w:sz w:val="24"/>
          <w:szCs w:val="24"/>
          <w:lang w:eastAsia="zh-CN"/>
        </w:rPr>
      </w:pPr>
    </w:p>
    <w:p w:rsidR="007F5460">
      <w:pPr>
        <w:spacing w:line="520" w:lineRule="atLeast"/>
        <w:rPr>
          <w:sz w:val="24"/>
          <w:szCs w:val="24"/>
          <w:lang w:eastAsia="zh-CN"/>
        </w:rPr>
      </w:pPr>
      <w:r>
        <w:rPr>
          <w:rFonts w:hint="eastAsia"/>
          <w:sz w:val="24"/>
          <w:szCs w:val="24"/>
          <w:highlight w:val="white"/>
          <w:lang w:eastAsia="zh-CN"/>
        </w:rPr>
        <w:t>签订地点：</w:t>
      </w:r>
    </w:p>
    <w:p w:rsidR="007F5460">
      <w:pPr>
        <w:spacing w:line="520" w:lineRule="atLeast"/>
        <w:rPr>
          <w:sz w:val="24"/>
          <w:szCs w:val="24"/>
          <w:lang w:eastAsia="zh-CN"/>
        </w:rPr>
      </w:pPr>
      <w:r>
        <w:rPr>
          <w:rFonts w:hint="eastAsia"/>
          <w:sz w:val="24"/>
          <w:szCs w:val="24"/>
          <w:highlight w:val="white"/>
          <w:lang w:eastAsia="zh-CN"/>
        </w:rPr>
        <w:t>签订日：</w:t>
      </w:r>
      <w:r>
        <w:rPr>
          <w:rFonts w:ascii="宋体" w:hAnsi="宋体" w:cs="宋体" w:hint="eastAsia"/>
          <w:sz w:val="24"/>
          <w:szCs w:val="24"/>
          <w:highlight w:val="white"/>
          <w:lang w:eastAsia="zh-CN"/>
        </w:rPr>
        <w:t xml:space="preserve">    </w:t>
      </w:r>
      <w:r>
        <w:rPr>
          <w:rFonts w:hint="eastAsia"/>
          <w:sz w:val="24"/>
          <w:szCs w:val="24"/>
          <w:highlight w:val="white"/>
          <w:lang w:eastAsia="zh-CN"/>
        </w:rPr>
        <w:t>年</w:t>
      </w:r>
      <w:r>
        <w:rPr>
          <w:rFonts w:ascii="宋体" w:hAnsi="宋体" w:cs="宋体" w:hint="eastAsia"/>
          <w:sz w:val="24"/>
          <w:szCs w:val="24"/>
          <w:highlight w:val="white"/>
          <w:lang w:eastAsia="zh-CN"/>
        </w:rPr>
        <w:t xml:space="preserve">   </w:t>
      </w:r>
      <w:r>
        <w:rPr>
          <w:rFonts w:hint="eastAsia"/>
          <w:sz w:val="24"/>
          <w:szCs w:val="24"/>
          <w:highlight w:val="white"/>
          <w:lang w:eastAsia="zh-CN"/>
        </w:rPr>
        <w:t>月</w:t>
      </w:r>
      <w:r>
        <w:rPr>
          <w:rFonts w:ascii="宋体" w:hAnsi="宋体" w:cs="宋体" w:hint="eastAsia"/>
          <w:sz w:val="24"/>
          <w:szCs w:val="24"/>
          <w:highlight w:val="white"/>
          <w:lang w:eastAsia="zh-CN"/>
        </w:rPr>
        <w:t xml:space="preserve">   </w:t>
      </w:r>
      <w:r>
        <w:rPr>
          <w:rFonts w:hint="eastAsia"/>
          <w:sz w:val="24"/>
          <w:szCs w:val="24"/>
          <w:highlight w:val="white"/>
          <w:lang w:eastAsia="zh-CN"/>
        </w:rPr>
        <w:t>日</w:t>
      </w:r>
    </w:p>
    <w:p w:rsidR="007F5460">
      <w:pPr>
        <w:spacing w:line="520" w:lineRule="atLeast"/>
        <w:rPr>
          <w:sz w:val="24"/>
          <w:szCs w:val="24"/>
          <w:lang w:eastAsia="zh-CN"/>
        </w:rPr>
      </w:pPr>
    </w:p>
    <w:sectPr>
      <w:footerReference w:type="default" r:id="rId11"/>
      <w:pgSz w:w="11906" w:h="16838"/>
      <w:pgMar w:top="1440" w:right="1800" w:bottom="1440" w:left="1800"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460">
    <w:pPr>
      <w:pStyle w:val="Footer"/>
      <w:snapToGrid/>
      <w:jc w:val="center"/>
    </w:pPr>
  </w:p>
  <w:p w:rsidR="007F5460">
    <w:pPr>
      <w:pStyle w:val="Footer"/>
      <w:snapToGr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0949366"/>
      <w:placeholder>
        <w:docPart w:val="52cc21de7f814012ae13c1becf7e5e48"/>
      </w:placeholder>
      <w:docPartObj>
        <w:docPartGallery w:val="Page Numbers (Bottom of Page)"/>
        <w:docPartUnique/>
      </w:docPartObj>
    </w:sdtPr>
    <w:sdtContent>
      <w:p w:rsidR="007F5460">
        <w:pPr>
          <w:pStyle w:val="Footer"/>
          <w:snapToGrid/>
          <w:jc w:val="center"/>
        </w:pPr>
        <w:r>
          <w:fldChar w:fldCharType="begin"/>
        </w:r>
        <w:r>
          <w:rPr>
            <w:highlight w:val="white"/>
          </w:rPr>
          <w:instrText>PAGE   \* MERGEFORMAT</w:instrText>
        </w:r>
        <w:r>
          <w:fldChar w:fldCharType="separate"/>
        </w:r>
        <w:r w:rsidRPr="006E7114" w:rsidR="006E7114">
          <w:rPr>
            <w:noProof/>
            <w:highlight w:val="white"/>
            <w:lang w:val="zh-CN"/>
          </w:rPr>
          <w:t>48</w:t>
        </w:r>
        <w:r>
          <w:fldChar w:fldCharType="end"/>
        </w:r>
      </w:p>
    </w:sdtContent>
  </w:sdt>
  <w:p w:rsidR="007F5460">
    <w:pPr>
      <w:pStyle w:val="Footer"/>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460">
    <w:pPr>
      <w:pStyle w:val="Footer"/>
      <w:snapToGrid/>
      <w:jc w:val="center"/>
    </w:pPr>
  </w:p>
  <w:p w:rsidR="007F5460">
    <w:pPr>
      <w:pStyle w:val="Footer"/>
      <w:snapToGri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460">
    <w:r>
      <w:rPr>
        <w:highlight w:val="white"/>
      </w:rPr>
      <w:tab/>
    </w:r>
    <w:r>
      <w:rPr>
        <w:highlight w:val="white"/>
      </w:rP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characterSpacingControl w:val="compressPunctuation"/>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60"/>
    <w:rsid w:val="00142A68"/>
    <w:rsid w:val="0014750E"/>
    <w:rsid w:val="002C6482"/>
    <w:rsid w:val="0039413A"/>
    <w:rsid w:val="005C1D85"/>
    <w:rsid w:val="006E7114"/>
    <w:rsid w:val="007D6035"/>
    <w:rsid w:val="007F5460"/>
    <w:rsid w:val="00946CC4"/>
    <w:rsid w:val="00963C50"/>
    <w:rsid w:val="009D4ADC"/>
    <w:rsid w:val="00B61E11"/>
    <w:rsid w:val="00B65278"/>
    <w:rsid w:val="00B66FD7"/>
    <w:rsid w:val="00C15294"/>
    <w:rsid w:val="00D974DC"/>
    <w:rsid w:val="00DA680D"/>
    <w:rsid w:val="00E61387"/>
    <w:rsid w:val="00E8310B"/>
    <w:rsid w:val="00EA1870"/>
    <w:rsid w:val="00EC2CEF"/>
    <w:rsid w:val="00F270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87FD7DFF-5934-4177-9F09-3CC19B9D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sz w:val="21"/>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next w:val="Normal"/>
    <w:link w:val="1Char"/>
    <w:uiPriority w:val="9"/>
    <w:qFormat/>
    <w:pPr>
      <w:keepNext/>
      <w:keepLines/>
      <w:snapToGrid w:val="0"/>
      <w:spacing w:line="360" w:lineRule="auto"/>
      <w:ind w:firstLine="541"/>
      <w:outlineLvl w:val="0"/>
    </w:pPr>
    <w:rPr>
      <w:rFonts w:ascii="宋体" w:hAnsi="宋体" w:cs="Times New Roman"/>
      <w:b/>
      <w:color w:val="000000"/>
      <w:sz w:val="24"/>
      <w:szCs w:val="20"/>
    </w:rPr>
  </w:style>
  <w:style w:type="paragraph" w:styleId="Heading2">
    <w:name w:val="heading 2"/>
    <w:basedOn w:val="Normal"/>
    <w:next w:val="Normal"/>
    <w:link w:val="2Char"/>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rPr>
      <w:rFonts w:ascii="Arial" w:hAnsi="Arial" w:cs="Arial"/>
      <w:sz w:val="30"/>
      <w:szCs w:val="30"/>
    </w:rPr>
  </w:style>
  <w:style w:type="character" w:customStyle="1" w:styleId="4Char">
    <w:name w:val="标题 4 Char"/>
    <w:basedOn w:val="DefaultParagraphFont"/>
    <w:link w:val="Heading4"/>
    <w:uiPriority w:val="9"/>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rPr>
      <w:rFonts w:ascii="Arial" w:hAnsi="Arial" w:cs="Arial"/>
      <w:b/>
      <w:bCs/>
      <w:i/>
      <w:iCs/>
      <w:sz w:val="22"/>
      <w:szCs w:val="22"/>
    </w:rPr>
  </w:style>
  <w:style w:type="character" w:customStyle="1" w:styleId="8Char">
    <w:name w:val="标题 8 Char"/>
    <w:basedOn w:val="DefaultParagraphFont"/>
    <w:link w:val="Heading8"/>
    <w:uiPriority w:val="9"/>
    <w:rPr>
      <w:rFonts w:ascii="Arial" w:hAnsi="Arial" w:cs="Arial"/>
      <w:i/>
      <w:iCs/>
      <w:sz w:val="22"/>
      <w:szCs w:val="22"/>
    </w:rPr>
  </w:style>
  <w:style w:type="character" w:customStyle="1" w:styleId="9Char">
    <w:name w:val="标题 9 Char"/>
    <w:basedOn w:val="DefaultParagraphFont"/>
    <w:link w:val="Heading9"/>
    <w:uiPriority w:val="9"/>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Char"/>
    <w:uiPriority w:val="10"/>
    <w:qFormat/>
    <w:pPr>
      <w:spacing w:before="300" w:after="200"/>
      <w:contextualSpacing/>
    </w:pPr>
    <w:rPr>
      <w:sz w:val="48"/>
      <w:szCs w:val="48"/>
    </w:rPr>
  </w:style>
  <w:style w:type="character" w:customStyle="1" w:styleId="Char">
    <w:name w:val="标题 Char"/>
    <w:basedOn w:val="DefaultParagraphFont"/>
    <w:link w:val="Title"/>
    <w:uiPriority w:val="10"/>
    <w:rPr>
      <w:sz w:val="48"/>
      <w:szCs w:val="48"/>
    </w:rPr>
  </w:style>
  <w:style w:type="paragraph" w:styleId="Subtitle">
    <w:name w:val="Subtitle"/>
    <w:basedOn w:val="Normal"/>
    <w:next w:val="Normal"/>
    <w:link w:val="Char0"/>
    <w:uiPriority w:val="11"/>
    <w:qFormat/>
    <w:pPr>
      <w:spacing w:before="200" w:after="200"/>
    </w:pPr>
    <w:rPr>
      <w:sz w:val="24"/>
      <w:szCs w:val="24"/>
    </w:rPr>
  </w:style>
  <w:style w:type="character" w:customStyle="1" w:styleId="Char0">
    <w:name w:val="副标题 Char"/>
    <w:basedOn w:val="DefaultParagraphFont"/>
    <w:link w:val="Subtitle"/>
    <w:uiPriority w:val="11"/>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CBCBCB"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2F2F2"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BFBFB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FootnoteText">
    <w:name w:val="footnote text"/>
    <w:basedOn w:val="Normal"/>
    <w:link w:val="Char3"/>
    <w:uiPriority w:val="99"/>
    <w:semiHidden/>
    <w:unhideWhenUsed/>
    <w:pPr>
      <w:spacing w:after="40"/>
    </w:pPr>
    <w:rPr>
      <w:sz w:val="18"/>
    </w:rPr>
  </w:style>
  <w:style w:type="character" w:customStyle="1" w:styleId="Char3">
    <w:name w:val="脚注文本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Char4"/>
    <w:uiPriority w:val="99"/>
    <w:semiHidden/>
    <w:unhideWhenUsed/>
    <w:rPr>
      <w:sz w:val="20"/>
    </w:rPr>
  </w:style>
  <w:style w:type="character" w:customStyle="1" w:styleId="Char4">
    <w:name w:val="尾注文本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 w:type="paragraph" w:styleId="Header">
    <w:name w:val="header"/>
    <w:basedOn w:val="Normal"/>
    <w:link w:val="Char5"/>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DefaultParagraphFont"/>
    <w:link w:val="Header"/>
    <w:uiPriority w:val="99"/>
    <w:rPr>
      <w:sz w:val="18"/>
      <w:szCs w:val="18"/>
    </w:rPr>
  </w:style>
  <w:style w:type="paragraph" w:styleId="Footer">
    <w:name w:val="footer"/>
    <w:basedOn w:val="Normal"/>
    <w:link w:val="Char6"/>
    <w:uiPriority w:val="99"/>
    <w:unhideWhenUsed/>
    <w:pPr>
      <w:tabs>
        <w:tab w:val="center" w:pos="4153"/>
        <w:tab w:val="right" w:pos="8306"/>
      </w:tabs>
      <w:snapToGrid w:val="0"/>
      <w:jc w:val="left"/>
    </w:pPr>
    <w:rPr>
      <w:sz w:val="18"/>
      <w:szCs w:val="18"/>
    </w:rPr>
  </w:style>
  <w:style w:type="character" w:customStyle="1" w:styleId="Char6">
    <w:name w:val="页脚 Char"/>
    <w:basedOn w:val="DefaultParagraphFont"/>
    <w:link w:val="Footer"/>
    <w:uiPriority w:val="99"/>
    <w:rPr>
      <w:sz w:val="18"/>
      <w:szCs w:val="18"/>
    </w:rPr>
  </w:style>
  <w:style w:type="paragraph" w:styleId="BalloonText">
    <w:name w:val="Balloon Text"/>
    <w:basedOn w:val="Normal"/>
    <w:link w:val="Char7"/>
    <w:uiPriority w:val="99"/>
    <w:semiHidden/>
    <w:unhideWhenUsed/>
    <w:rPr>
      <w:sz w:val="18"/>
      <w:szCs w:val="18"/>
    </w:rPr>
  </w:style>
  <w:style w:type="character" w:customStyle="1" w:styleId="Char7">
    <w:name w:val="批注框文本 Char"/>
    <w:basedOn w:val="DefaultParagraphFont"/>
    <w:link w:val="BalloonText"/>
    <w:uiPriority w:val="99"/>
    <w:semiHidden/>
    <w:rPr>
      <w:sz w:val="18"/>
      <w:szCs w:val="18"/>
    </w:rPr>
  </w:style>
  <w:style w:type="paragraph" w:styleId="BodyTextIndent2">
    <w:name w:val="Body Text Indent 2"/>
    <w:basedOn w:val="Normal"/>
    <w:link w:val="2Char0"/>
    <w:qFormat/>
    <w:pPr>
      <w:spacing w:before="60" w:after="60"/>
      <w:ind w:left="479"/>
    </w:pPr>
    <w:rPr>
      <w:rFonts w:ascii="宋体" w:hAnsi="Times New Roman" w:cs="Times New Roman"/>
      <w:sz w:val="24"/>
      <w:szCs w:val="20"/>
    </w:rPr>
  </w:style>
  <w:style w:type="character" w:customStyle="1" w:styleId="2Char0">
    <w:name w:val="正文文本缩进 2 Char"/>
    <w:basedOn w:val="DefaultParagraphFont"/>
    <w:link w:val="BodyTextIndent2"/>
    <w:rPr>
      <w:rFonts w:ascii="宋体" w:eastAsia="宋体" w:hAnsi="Times New Roman" w:cs="Times New Roman"/>
      <w:sz w:val="24"/>
      <w:szCs w:val="20"/>
    </w:rPr>
  </w:style>
  <w:style w:type="character" w:customStyle="1" w:styleId="1Char">
    <w:name w:val="标题 1 Char"/>
    <w:basedOn w:val="DefaultParagraphFont"/>
    <w:link w:val="Heading1"/>
    <w:uiPriority w:val="9"/>
    <w:rPr>
      <w:rFonts w:ascii="宋体" w:eastAsia="宋体" w:hAnsi="宋体" w:cs="Times New Roman"/>
      <w:b/>
      <w:color w:val="000000"/>
      <w:sz w:val="24"/>
      <w:szCs w:val="20"/>
    </w:rPr>
  </w:style>
  <w:style w:type="paragraph" w:styleId="TOCHeading">
    <w:name w:val="TOC Heading"/>
    <w:basedOn w:val="Heading1"/>
    <w:next w:val="Normal"/>
    <w:uiPriority w:val="39"/>
    <w:unhideWhenUsed/>
    <w:qFormat/>
    <w:pPr>
      <w:widowControl/>
      <w:snapToGrid/>
      <w:spacing w:before="240" w:line="259" w:lineRule="auto"/>
      <w:ind w:firstLine="0"/>
      <w:jc w:val="left"/>
      <w:outlineLvl w:val="9"/>
    </w:pPr>
    <w:rPr>
      <w:rFonts w:ascii="Calibri Light" w:hAnsi="Calibri Light" w:cs="Calibri Light"/>
      <w:b w:val="0"/>
      <w:color w:val="365F91" w:themeColor="accent1" w:themeShade="BF"/>
      <w:sz w:val="32"/>
      <w:szCs w:val="32"/>
    </w:rPr>
  </w:style>
  <w:style w:type="paragraph" w:styleId="TOC1">
    <w:name w:val="toc 1"/>
    <w:basedOn w:val="Normal"/>
    <w:next w:val="Normal"/>
    <w:uiPriority w:val="39"/>
    <w:unhideWhenUsed/>
    <w:pPr>
      <w:tabs>
        <w:tab w:val="right" w:leader="dot" w:pos="8296"/>
      </w:tabs>
      <w:spacing w:line="360" w:lineRule="auto"/>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har8"/>
    <w:uiPriority w:val="99"/>
    <w:semiHidden/>
    <w:unhideWhenUsed/>
    <w:pPr>
      <w:jc w:val="left"/>
    </w:pPr>
  </w:style>
  <w:style w:type="character" w:customStyle="1" w:styleId="Char8">
    <w:name w:val="批注文字 Char"/>
    <w:basedOn w:val="DefaultParagraphFont"/>
    <w:link w:val="CommentText"/>
    <w:uiPriority w:val="99"/>
    <w:semiHidden/>
  </w:style>
  <w:style w:type="paragraph" w:styleId="CommentSubject">
    <w:name w:val="annotation subject"/>
    <w:basedOn w:val="CommentText"/>
    <w:next w:val="CommentText"/>
    <w:link w:val="Char9"/>
    <w:uiPriority w:val="99"/>
    <w:semiHidden/>
    <w:unhideWhenUsed/>
    <w:rPr>
      <w:b/>
      <w:bCs/>
    </w:rPr>
  </w:style>
  <w:style w:type="character" w:customStyle="1" w:styleId="Char9">
    <w:name w:val="批注主题 Char"/>
    <w:basedOn w:val="Char8"/>
    <w:link w:val="CommentSubject"/>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image" Target="media/image3.jpe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2cc21de7f814012ae13c1becf7e5e48"/>
        <w:category>
          <w:name w:val="(Empty Category)"/>
          <w:gallery w:val="any"/>
        </w:category>
        <w:behaviors>
          <w:behavior w:val="content"/>
        </w:behaviors>
        <w:guid w:val="{DD89FEC1-7066-4412-A966-D20832035B46}"/>
      </w:docPartPr>
      <w:docPartBody>
        <w:p w:rsidR="00C15294">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compressPunctuation"/>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94"/>
    <w:rsid w:val="004307BF"/>
    <w:rsid w:val="004664DF"/>
    <w:rsid w:val="006C4522"/>
    <w:rsid w:val="0078361F"/>
    <w:rsid w:val="00790292"/>
    <w:rsid w:val="00C15294"/>
    <w:rsid w:val="00E277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1Char"/>
    <w:uiPriority w:val="9"/>
    <w:qFormat/>
    <w:pPr>
      <w:keepNext/>
      <w:keepLines/>
      <w:spacing w:before="480" w:after="200"/>
      <w:outlineLvl w:val="0"/>
    </w:pPr>
    <w:rPr>
      <w:sz w:val="40"/>
      <w:szCs w:val="40"/>
    </w:rPr>
  </w:style>
  <w:style w:type="paragraph" w:styleId="Heading2">
    <w:name w:val="heading 2"/>
    <w:basedOn w:val="Normal"/>
    <w:next w:val="Normal"/>
    <w:link w:val="2Char"/>
    <w:uiPriority w:val="9"/>
    <w:unhideWhenUsed/>
    <w:qFormat/>
    <w:pPr>
      <w:keepNext/>
      <w:keepLines/>
      <w:spacing w:before="360" w:after="200"/>
      <w:outlineLvl w:val="1"/>
    </w:pPr>
    <w:rPr>
      <w:sz w:val="34"/>
    </w:rPr>
  </w:style>
  <w:style w:type="paragraph" w:styleId="Heading3">
    <w:name w:val="heading 3"/>
    <w:basedOn w:val="Normal"/>
    <w:next w:val="Normal"/>
    <w:link w:val="3Char"/>
    <w:uiPriority w:val="9"/>
    <w:unhideWhenUsed/>
    <w:qFormat/>
    <w:pPr>
      <w:keepNext/>
      <w:keepLines/>
      <w:spacing w:before="320" w:after="200"/>
      <w:outlineLvl w:val="2"/>
    </w:pPr>
    <w:rPr>
      <w:sz w:val="30"/>
      <w:szCs w:val="30"/>
    </w:rPr>
  </w:style>
  <w:style w:type="paragraph" w:styleId="Heading4">
    <w:name w:val="heading 4"/>
    <w:basedOn w:val="Normal"/>
    <w:next w:val="Normal"/>
    <w:link w:val="4Char"/>
    <w:uiPriority w:val="9"/>
    <w:unhideWhenUsed/>
    <w:qFormat/>
    <w:pPr>
      <w:keepNext/>
      <w:keepLines/>
      <w:spacing w:before="320" w:after="200"/>
      <w:outlineLvl w:val="3"/>
    </w:pPr>
    <w:rPr>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b/>
      <w:bCs/>
    </w:rPr>
  </w:style>
  <w:style w:type="paragraph" w:styleId="Heading7">
    <w:name w:val="heading 7"/>
    <w:basedOn w:val="Normal"/>
    <w:next w:val="Normal"/>
    <w:link w:val="7Char"/>
    <w:uiPriority w:val="9"/>
    <w:unhideWhenUsed/>
    <w:qFormat/>
    <w:pPr>
      <w:keepNext/>
      <w:keepLines/>
      <w:spacing w:before="320" w:after="200"/>
      <w:outlineLvl w:val="6"/>
    </w:pPr>
    <w:rPr>
      <w:b/>
      <w:bCs/>
      <w:i/>
      <w:iCs/>
    </w:rPr>
  </w:style>
  <w:style w:type="paragraph" w:styleId="Heading8">
    <w:name w:val="heading 8"/>
    <w:basedOn w:val="Normal"/>
    <w:next w:val="Normal"/>
    <w:link w:val="8Char"/>
    <w:uiPriority w:val="9"/>
    <w:unhideWhenUsed/>
    <w:qFormat/>
    <w:pPr>
      <w:keepNext/>
      <w:keepLines/>
      <w:spacing w:before="320" w:after="200"/>
      <w:outlineLvl w:val="7"/>
    </w:pPr>
    <w:rPr>
      <w:i/>
      <w:iCs/>
    </w:rPr>
  </w:style>
  <w:style w:type="paragraph" w:styleId="Heading9">
    <w:name w:val="heading 9"/>
    <w:basedOn w:val="Normal"/>
    <w:next w:val="Normal"/>
    <w:link w:val="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Pr>
      <w:rFonts w:ascii="Arial" w:hAnsi="Arial" w:cs="Arial"/>
      <w:sz w:val="40"/>
      <w:szCs w:val="40"/>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rPr>
      <w:rFonts w:ascii="Arial" w:hAnsi="Arial" w:cs="Arial"/>
      <w:sz w:val="30"/>
      <w:szCs w:val="30"/>
    </w:rPr>
  </w:style>
  <w:style w:type="character" w:customStyle="1" w:styleId="4Char">
    <w:name w:val="标题 4 Char"/>
    <w:basedOn w:val="DefaultParagraphFont"/>
    <w:link w:val="Heading4"/>
    <w:uiPriority w:val="9"/>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rPr>
      <w:rFonts w:ascii="Arial" w:hAnsi="Arial" w:cs="Arial"/>
      <w:b/>
      <w:bCs/>
      <w:i/>
      <w:iCs/>
      <w:sz w:val="22"/>
      <w:szCs w:val="22"/>
    </w:rPr>
  </w:style>
  <w:style w:type="character" w:customStyle="1" w:styleId="8Char">
    <w:name w:val="标题 8 Char"/>
    <w:basedOn w:val="DefaultParagraphFont"/>
    <w:link w:val="Heading8"/>
    <w:uiPriority w:val="9"/>
    <w:rPr>
      <w:rFonts w:ascii="Arial" w:hAnsi="Arial" w:cs="Arial"/>
      <w:i/>
      <w:iCs/>
      <w:sz w:val="22"/>
      <w:szCs w:val="22"/>
    </w:rPr>
  </w:style>
  <w:style w:type="character" w:customStyle="1" w:styleId="9Char">
    <w:name w:val="标题 9 Char"/>
    <w:basedOn w:val="DefaultParagraphFont"/>
    <w:link w:val="Heading9"/>
    <w:uiPriority w:val="9"/>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Char"/>
    <w:uiPriority w:val="10"/>
    <w:qFormat/>
    <w:pPr>
      <w:spacing w:before="300" w:after="200"/>
      <w:contextualSpacing/>
    </w:pPr>
    <w:rPr>
      <w:sz w:val="48"/>
      <w:szCs w:val="48"/>
    </w:rPr>
  </w:style>
  <w:style w:type="character" w:customStyle="1" w:styleId="Char">
    <w:name w:val="标题 Char"/>
    <w:basedOn w:val="DefaultParagraphFont"/>
    <w:link w:val="Title"/>
    <w:uiPriority w:val="10"/>
    <w:rPr>
      <w:sz w:val="48"/>
      <w:szCs w:val="48"/>
    </w:rPr>
  </w:style>
  <w:style w:type="paragraph" w:styleId="Subtitle">
    <w:name w:val="Subtitle"/>
    <w:basedOn w:val="Normal"/>
    <w:next w:val="Normal"/>
    <w:link w:val="Char0"/>
    <w:uiPriority w:val="11"/>
    <w:qFormat/>
    <w:pPr>
      <w:spacing w:before="200" w:after="200"/>
    </w:pPr>
    <w:rPr>
      <w:sz w:val="24"/>
      <w:szCs w:val="24"/>
    </w:rPr>
  </w:style>
  <w:style w:type="character" w:customStyle="1" w:styleId="Char0">
    <w:name w:val="副标题 Char"/>
    <w:basedOn w:val="DefaultParagraphFont"/>
    <w:link w:val="Subtitle"/>
    <w:uiPriority w:val="11"/>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rPr>
      <w:i/>
    </w:rPr>
  </w:style>
  <w:style w:type="paragraph" w:styleId="Header">
    <w:name w:val="header"/>
    <w:basedOn w:val="Normal"/>
    <w:link w:val="Char3"/>
    <w:uiPriority w:val="99"/>
    <w:unhideWhenUsed/>
    <w:pPr>
      <w:tabs>
        <w:tab w:val="center" w:pos="7143"/>
        <w:tab w:val="right" w:pos="14287"/>
      </w:tabs>
    </w:pPr>
  </w:style>
  <w:style w:type="character" w:customStyle="1" w:styleId="Char3">
    <w:name w:val="页眉 Char"/>
    <w:basedOn w:val="DefaultParagraphFont"/>
    <w:link w:val="Header"/>
    <w:uiPriority w:val="99"/>
  </w:style>
  <w:style w:type="paragraph" w:styleId="Footer">
    <w:name w:val="footer"/>
    <w:basedOn w:val="Normal"/>
    <w:link w:val="Char4"/>
    <w:uiPriority w:val="99"/>
    <w:unhideWhenUsed/>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har4">
    <w:name w:val="页脚 Char"/>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CBCBCB"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2F2F2"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BFBFB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Char5"/>
    <w:uiPriority w:val="99"/>
    <w:semiHidden/>
    <w:unhideWhenUsed/>
    <w:pPr>
      <w:spacing w:after="40"/>
    </w:pPr>
    <w:rPr>
      <w:sz w:val="18"/>
    </w:rPr>
  </w:style>
  <w:style w:type="character" w:customStyle="1" w:styleId="Char5">
    <w:name w:val="脚注文本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Char6"/>
    <w:uiPriority w:val="99"/>
    <w:semiHidden/>
    <w:unhideWhenUsed/>
    <w:rPr>
      <w:sz w:val="20"/>
    </w:rPr>
  </w:style>
  <w:style w:type="character" w:customStyle="1" w:styleId="Char6">
    <w:name w:val="尾注文本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otalTime>0</TotalTime>
  <Pages>50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