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44D77">
      <w:pPr>
        <w:jc w:val="center"/>
        <w:rPr>
          <w:b/>
          <w:sz w:val="32"/>
        </w:rPr>
      </w:pPr>
      <w:bookmarkStart w:id="0" w:name="_Toc466788853"/>
      <w:bookmarkStart w:id="1" w:name="_Toc48703888"/>
      <w:bookmarkStart w:id="2" w:name="_Toc523829994"/>
      <w:bookmarkStart w:id="3" w:name="_Toc22454436"/>
      <w:bookmarkStart w:id="4" w:name="_Toc466788855"/>
      <w:bookmarkStart w:id="5" w:name="_Toc523829996"/>
      <w:bookmarkStart w:id="6" w:name="_Toc48703898"/>
      <w:bookmarkStart w:id="7" w:name="_Toc523829999"/>
      <w:bookmarkStart w:id="8" w:name="_Toc466788858"/>
      <w:bookmarkStart w:id="9" w:name="_Toc48703908"/>
      <w:bookmarkStart w:id="10" w:name="_Toc88373425"/>
    </w:p>
    <w:p w14:paraId="2599ED14">
      <w:pPr>
        <w:jc w:val="center"/>
        <w:rPr>
          <w:b/>
          <w:sz w:val="32"/>
        </w:rPr>
      </w:pPr>
    </w:p>
    <w:p w14:paraId="3C32AC56">
      <w:pPr>
        <w:jc w:val="center"/>
        <w:rPr>
          <w:b/>
          <w:sz w:val="32"/>
        </w:rPr>
      </w:pPr>
    </w:p>
    <w:p w14:paraId="16F068AC">
      <w:pPr>
        <w:jc w:val="center"/>
        <w:rPr>
          <w:b/>
          <w:sz w:val="32"/>
        </w:rPr>
      </w:pPr>
      <w:r>
        <w:rPr>
          <w:rFonts w:ascii="宋体" w:hAnsi="宋体"/>
        </w:rPr>
        <w:drawing>
          <wp:inline distT="0" distB="0" distL="114300" distR="114300">
            <wp:extent cx="4924425" cy="86106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1"/>
                    <a:stretch>
                      <a:fillRect/>
                    </a:stretch>
                  </pic:blipFill>
                  <pic:spPr>
                    <a:xfrm>
                      <a:off x="0" y="0"/>
                      <a:ext cx="4924425" cy="861060"/>
                    </a:xfrm>
                    <a:prstGeom prst="rect">
                      <a:avLst/>
                    </a:prstGeom>
                    <a:noFill/>
                    <a:ln>
                      <a:noFill/>
                    </a:ln>
                  </pic:spPr>
                </pic:pic>
              </a:graphicData>
            </a:graphic>
          </wp:inline>
        </w:drawing>
      </w:r>
    </w:p>
    <w:p w14:paraId="513B8226">
      <w:pPr>
        <w:jc w:val="center"/>
        <w:rPr>
          <w:b/>
          <w:sz w:val="52"/>
          <w:szCs w:val="52"/>
        </w:rPr>
      </w:pPr>
    </w:p>
    <w:p w14:paraId="1414E1AC">
      <w:pPr>
        <w:jc w:val="center"/>
        <w:rPr>
          <w:rFonts w:ascii="宋体" w:hAnsi="宋体"/>
          <w:b/>
          <w:sz w:val="48"/>
          <w:szCs w:val="48"/>
        </w:rPr>
      </w:pPr>
      <w:r>
        <w:rPr>
          <w:rFonts w:hint="eastAsia" w:ascii="宋体" w:hAnsi="宋体"/>
          <w:b/>
          <w:sz w:val="48"/>
          <w:szCs w:val="48"/>
        </w:rPr>
        <w:t>财通资管中证500指数增强型证券投资基金托管协议</w:t>
      </w:r>
    </w:p>
    <w:p w14:paraId="1F38F194">
      <w:pPr>
        <w:jc w:val="center"/>
        <w:rPr>
          <w:rFonts w:ascii="黑体" w:eastAsia="黑体"/>
          <w:sz w:val="30"/>
          <w:szCs w:val="30"/>
        </w:rPr>
      </w:pPr>
    </w:p>
    <w:p w14:paraId="03D49FE2">
      <w:pPr>
        <w:jc w:val="center"/>
        <w:rPr>
          <w:rFonts w:ascii="黑体" w:eastAsia="黑体"/>
          <w:b/>
          <w:sz w:val="30"/>
          <w:szCs w:val="30"/>
        </w:rPr>
      </w:pPr>
    </w:p>
    <w:p w14:paraId="6125D134">
      <w:pPr>
        <w:jc w:val="center"/>
        <w:rPr>
          <w:b/>
          <w:sz w:val="32"/>
        </w:rPr>
      </w:pPr>
    </w:p>
    <w:p w14:paraId="0991D3CA">
      <w:pPr>
        <w:rPr>
          <w:rFonts w:ascii="宋体"/>
          <w:sz w:val="30"/>
        </w:rPr>
      </w:pPr>
    </w:p>
    <w:p w14:paraId="31960EDB">
      <w:pPr>
        <w:rPr>
          <w:rFonts w:ascii="宋体"/>
          <w:sz w:val="30"/>
        </w:rPr>
      </w:pPr>
    </w:p>
    <w:p w14:paraId="6CCF216D">
      <w:pPr>
        <w:rPr>
          <w:rFonts w:ascii="宋体"/>
          <w:sz w:val="30"/>
        </w:rPr>
      </w:pPr>
    </w:p>
    <w:p w14:paraId="75F7F289">
      <w:pPr>
        <w:rPr>
          <w:rFonts w:ascii="宋体"/>
          <w:sz w:val="30"/>
        </w:rPr>
      </w:pPr>
    </w:p>
    <w:p w14:paraId="73058F8D">
      <w:pPr>
        <w:spacing w:line="360" w:lineRule="auto"/>
        <w:jc w:val="center"/>
        <w:rPr>
          <w:rFonts w:ascii="宋体" w:hAnsi="宋体"/>
          <w:b/>
          <w:sz w:val="36"/>
          <w:szCs w:val="36"/>
        </w:rPr>
      </w:pPr>
      <w:bookmarkStart w:id="11" w:name="_Toc140002332"/>
      <w:bookmarkStart w:id="12" w:name="_Toc125361069"/>
      <w:r>
        <w:rPr>
          <w:rFonts w:hint="eastAsia" w:ascii="宋体" w:hAnsi="宋体"/>
          <w:b/>
          <w:sz w:val="36"/>
          <w:szCs w:val="36"/>
        </w:rPr>
        <w:t>基金管理人：财通证券资产管理有限公司</w:t>
      </w:r>
      <w:bookmarkEnd w:id="11"/>
      <w:bookmarkEnd w:id="12"/>
    </w:p>
    <w:p w14:paraId="647CD121">
      <w:pPr>
        <w:spacing w:line="360" w:lineRule="auto"/>
        <w:jc w:val="center"/>
        <w:rPr>
          <w:rFonts w:ascii="宋体" w:hAnsi="宋体"/>
          <w:b/>
          <w:sz w:val="36"/>
          <w:szCs w:val="36"/>
        </w:rPr>
      </w:pPr>
      <w:bookmarkStart w:id="13" w:name="_Toc140002333"/>
      <w:bookmarkStart w:id="14" w:name="_Toc125361070"/>
      <w:r>
        <w:rPr>
          <w:rFonts w:hint="eastAsia" w:ascii="宋体" w:hAnsi="宋体"/>
          <w:b/>
          <w:sz w:val="36"/>
          <w:szCs w:val="36"/>
        </w:rPr>
        <w:t>基金托管人：中信银行股份有限公司</w:t>
      </w:r>
      <w:bookmarkEnd w:id="13"/>
      <w:bookmarkEnd w:id="14"/>
    </w:p>
    <w:p w14:paraId="5D8592E1">
      <w:pPr>
        <w:spacing w:line="360" w:lineRule="auto"/>
        <w:rPr>
          <w:rFonts w:ascii="宋体" w:hAnsi="宋体"/>
          <w:b/>
          <w:sz w:val="36"/>
          <w:szCs w:val="36"/>
        </w:rPr>
      </w:pPr>
    </w:p>
    <w:p w14:paraId="0DC20A2E">
      <w:pPr>
        <w:spacing w:line="360" w:lineRule="auto"/>
        <w:jc w:val="center"/>
        <w:rPr>
          <w:rFonts w:ascii="宋体" w:hAnsi="宋体"/>
          <w:b/>
          <w:sz w:val="36"/>
          <w:szCs w:val="36"/>
        </w:rPr>
        <w:sectPr>
          <w:headerReference r:id="rId3" w:type="default"/>
          <w:footerReference r:id="rId4" w:type="default"/>
          <w:footerReference r:id="rId5" w:type="even"/>
          <w:pgSz w:w="11906" w:h="16838"/>
          <w:pgMar w:top="1440" w:right="1800" w:bottom="1440" w:left="1800" w:header="851" w:footer="992" w:gutter="0"/>
          <w:pgNumType w:start="0"/>
          <w:cols w:space="720" w:num="1"/>
          <w:titlePg/>
          <w:docGrid w:type="lines" w:linePitch="312" w:charSpace="0"/>
        </w:sectPr>
      </w:pPr>
    </w:p>
    <w:p w14:paraId="5E435C83">
      <w:pPr>
        <w:spacing w:line="500" w:lineRule="atLeast"/>
        <w:jc w:val="center"/>
        <w:outlineLvl w:val="0"/>
        <w:rPr>
          <w:rFonts w:ascii="黑体" w:hAnsi="宋体" w:eastAsia="黑体"/>
          <w:b/>
          <w:sz w:val="30"/>
          <w:szCs w:val="30"/>
        </w:rPr>
      </w:pPr>
      <w:bookmarkStart w:id="15" w:name="_Toc140002335"/>
      <w:bookmarkStart w:id="16" w:name="_Toc125361072"/>
      <w:r>
        <w:rPr>
          <w:rFonts w:hint="eastAsia" w:ascii="黑体" w:hAnsi="宋体" w:eastAsia="黑体"/>
          <w:b/>
          <w:sz w:val="30"/>
          <w:szCs w:val="30"/>
        </w:rPr>
        <w:t>目  录</w:t>
      </w:r>
      <w:bookmarkEnd w:id="15"/>
      <w:bookmarkEnd w:id="16"/>
    </w:p>
    <w:p w14:paraId="64F06D4E">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w:instrText>
      </w:r>
      <w:r>
        <w:rPr>
          <w:rFonts w:hint="eastAsia"/>
        </w:rPr>
        <w:instrText xml:space="preserve">TOC \o "1-1" \h \z \u</w:instrText>
      </w:r>
      <w:r>
        <w:instrText xml:space="preserve"> </w:instrText>
      </w:r>
      <w:r>
        <w:fldChar w:fldCharType="separate"/>
      </w:r>
      <w:r>
        <w:fldChar w:fldCharType="begin"/>
      </w:r>
      <w:r>
        <w:instrText xml:space="preserve"> HYPERLINK \l "_Toc140002336" </w:instrText>
      </w:r>
      <w:r>
        <w:fldChar w:fldCharType="separate"/>
      </w:r>
      <w:r>
        <w:rPr>
          <w:rStyle w:val="19"/>
          <w:rFonts w:hint="eastAsia" w:ascii="宋体" w:hAnsi="宋体"/>
          <w:color w:val="auto"/>
        </w:rPr>
        <w:t>一、 基金托管协议当事人</w:t>
      </w:r>
      <w:r>
        <w:tab/>
      </w:r>
      <w:r>
        <w:fldChar w:fldCharType="begin"/>
      </w:r>
      <w:r>
        <w:instrText xml:space="preserve"> PAGEREF _Toc140002336 \h </w:instrText>
      </w:r>
      <w:r>
        <w:fldChar w:fldCharType="separate"/>
      </w:r>
      <w:r>
        <w:t>1</w:t>
      </w:r>
      <w:r>
        <w:fldChar w:fldCharType="end"/>
      </w:r>
      <w:r>
        <w:fldChar w:fldCharType="end"/>
      </w:r>
    </w:p>
    <w:p w14:paraId="69CF167C">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"_Toc140002337" </w:instrText>
      </w:r>
      <w:r>
        <w:fldChar w:fldCharType="separate"/>
      </w:r>
      <w:r>
        <w:rPr>
          <w:rStyle w:val="19"/>
          <w:rFonts w:hint="eastAsia" w:ascii="宋体" w:hAnsi="宋体"/>
          <w:color w:val="auto"/>
        </w:rPr>
        <w:t>二、 基金托管协议的依据、目的和原则</w:t>
      </w:r>
      <w:r>
        <w:tab/>
      </w:r>
      <w:r>
        <w:fldChar w:fldCharType="begin"/>
      </w:r>
      <w:r>
        <w:instrText xml:space="preserve"> PAGEREF _Toc140002337 \h </w:instrText>
      </w:r>
      <w:r>
        <w:fldChar w:fldCharType="separate"/>
      </w:r>
      <w:r>
        <w:t>1</w:t>
      </w:r>
      <w:r>
        <w:fldChar w:fldCharType="end"/>
      </w:r>
      <w:r>
        <w:fldChar w:fldCharType="end"/>
      </w:r>
    </w:p>
    <w:p w14:paraId="608468D8">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"_Toc140002338" </w:instrText>
      </w:r>
      <w:r>
        <w:fldChar w:fldCharType="separate"/>
      </w:r>
      <w:r>
        <w:rPr>
          <w:rStyle w:val="19"/>
          <w:rFonts w:hint="eastAsia" w:ascii="宋体" w:hAnsi="宋体"/>
          <w:color w:val="auto"/>
        </w:rPr>
        <w:t>三、 基金托管人对基金管理人</w:t>
      </w:r>
      <w:bookmarkStart w:id="17" w:name="_Hlt482171800"/>
      <w:r>
        <w:rPr>
          <w:rStyle w:val="19"/>
          <w:rFonts w:hint="eastAsia" w:ascii="宋体" w:hAnsi="宋体"/>
          <w:color w:val="auto"/>
        </w:rPr>
        <w:t>的</w:t>
      </w:r>
      <w:bookmarkEnd w:id="17"/>
      <w:r>
        <w:rPr>
          <w:rStyle w:val="19"/>
          <w:rFonts w:hint="eastAsia" w:ascii="宋体" w:hAnsi="宋体"/>
          <w:color w:val="auto"/>
        </w:rPr>
        <w:t>业务监督和核查</w:t>
      </w:r>
      <w:r>
        <w:tab/>
      </w:r>
      <w:r>
        <w:fldChar w:fldCharType="begin"/>
      </w:r>
      <w:r>
        <w:instrText xml:space="preserve"> PAGEREF _Toc140002338 \h </w:instrText>
      </w:r>
      <w:r>
        <w:fldChar w:fldCharType="separate"/>
      </w:r>
      <w:r>
        <w:t>2</w:t>
      </w:r>
      <w:r>
        <w:fldChar w:fldCharType="end"/>
      </w:r>
      <w:r>
        <w:fldChar w:fldCharType="end"/>
      </w:r>
    </w:p>
    <w:p w14:paraId="52E99C39">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"_Toc140002339" </w:instrText>
      </w:r>
      <w:r>
        <w:fldChar w:fldCharType="separate"/>
      </w:r>
      <w:r>
        <w:rPr>
          <w:rStyle w:val="19"/>
          <w:rFonts w:hint="eastAsia" w:ascii="宋体" w:hAnsi="宋体"/>
          <w:color w:val="auto"/>
        </w:rPr>
        <w:t>四、 基金管理人对基金托管人的业务核查</w:t>
      </w:r>
      <w:r>
        <w:tab/>
      </w:r>
      <w:r>
        <w:fldChar w:fldCharType="begin"/>
      </w:r>
      <w:r>
        <w:instrText xml:space="preserve"> PAGEREF _Toc140002339 \h </w:instrText>
      </w:r>
      <w:r>
        <w:fldChar w:fldCharType="separate"/>
      </w:r>
      <w:r>
        <w:t>10</w:t>
      </w:r>
      <w:r>
        <w:fldChar w:fldCharType="end"/>
      </w:r>
      <w:r>
        <w:fldChar w:fldCharType="end"/>
      </w:r>
    </w:p>
    <w:p w14:paraId="064327F7">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"_Toc140002340" </w:instrText>
      </w:r>
      <w:r>
        <w:fldChar w:fldCharType="separate"/>
      </w:r>
      <w:r>
        <w:rPr>
          <w:rStyle w:val="19"/>
          <w:rFonts w:hint="eastAsia" w:ascii="宋体" w:hAnsi="宋体"/>
          <w:color w:val="auto"/>
        </w:rPr>
        <w:t>五、 基金财产保管</w:t>
      </w:r>
      <w:r>
        <w:tab/>
      </w:r>
      <w:r>
        <w:fldChar w:fldCharType="begin"/>
      </w:r>
      <w:r>
        <w:instrText xml:space="preserve"> PAGEREF _Toc140002340 \h </w:instrText>
      </w:r>
      <w:r>
        <w:fldChar w:fldCharType="separate"/>
      </w:r>
      <w:r>
        <w:t>11</w:t>
      </w:r>
      <w:r>
        <w:fldChar w:fldCharType="end"/>
      </w:r>
      <w:r>
        <w:fldChar w:fldCharType="end"/>
      </w:r>
    </w:p>
    <w:p w14:paraId="02D586AF">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"_Toc140002341" </w:instrText>
      </w:r>
      <w:r>
        <w:fldChar w:fldCharType="separate"/>
      </w:r>
      <w:r>
        <w:rPr>
          <w:rStyle w:val="19"/>
          <w:rFonts w:hint="eastAsia" w:ascii="宋体" w:hAnsi="宋体"/>
          <w:color w:val="auto"/>
        </w:rPr>
        <w:t>六、 指令的发</w:t>
      </w:r>
      <w:bookmarkStart w:id="18" w:name="_Hlt297733191"/>
      <w:r>
        <w:rPr>
          <w:rStyle w:val="19"/>
          <w:rFonts w:hint="eastAsia" w:ascii="宋体" w:hAnsi="宋体"/>
          <w:color w:val="auto"/>
        </w:rPr>
        <w:t>送</w:t>
      </w:r>
      <w:bookmarkEnd w:id="18"/>
      <w:r>
        <w:rPr>
          <w:rStyle w:val="19"/>
          <w:rFonts w:hint="eastAsia" w:ascii="宋体" w:hAnsi="宋体"/>
          <w:color w:val="auto"/>
        </w:rPr>
        <w:t>、确认和执行</w:t>
      </w:r>
      <w:r>
        <w:tab/>
      </w:r>
      <w:r>
        <w:fldChar w:fldCharType="begin"/>
      </w:r>
      <w:r>
        <w:instrText xml:space="preserve"> PAGEREF _Toc140002341 \h </w:instrText>
      </w:r>
      <w:r>
        <w:fldChar w:fldCharType="separate"/>
      </w:r>
      <w:r>
        <w:t>15</w:t>
      </w:r>
      <w:r>
        <w:fldChar w:fldCharType="end"/>
      </w:r>
      <w:r>
        <w:fldChar w:fldCharType="end"/>
      </w:r>
    </w:p>
    <w:p w14:paraId="20CDF8E5">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"_Toc140002342" </w:instrText>
      </w:r>
      <w:r>
        <w:fldChar w:fldCharType="separate"/>
      </w:r>
      <w:r>
        <w:rPr>
          <w:rStyle w:val="19"/>
          <w:rFonts w:hint="eastAsia" w:ascii="宋体" w:hAnsi="宋体"/>
          <w:color w:val="auto"/>
        </w:rPr>
        <w:t>七、 交易及清算交收安排</w:t>
      </w:r>
      <w:r>
        <w:tab/>
      </w:r>
      <w:r>
        <w:fldChar w:fldCharType="begin"/>
      </w:r>
      <w:r>
        <w:instrText xml:space="preserve"> PAGEREF _Toc140002342 \h </w:instrText>
      </w:r>
      <w:r>
        <w:fldChar w:fldCharType="separate"/>
      </w:r>
      <w:r>
        <w:t>18</w:t>
      </w:r>
      <w:r>
        <w:fldChar w:fldCharType="end"/>
      </w:r>
      <w:r>
        <w:fldChar w:fldCharType="end"/>
      </w:r>
    </w:p>
    <w:p w14:paraId="769F050E">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"_Toc140002343" </w:instrText>
      </w:r>
      <w:r>
        <w:fldChar w:fldCharType="separate"/>
      </w:r>
      <w:r>
        <w:rPr>
          <w:rStyle w:val="19"/>
          <w:rFonts w:hint="eastAsia" w:ascii="宋体" w:hAnsi="宋体"/>
          <w:color w:val="auto"/>
        </w:rPr>
        <w:t>八、 基金资产</w:t>
      </w:r>
      <w:bookmarkStart w:id="19" w:name="_Hlt496864792"/>
      <w:bookmarkStart w:id="20" w:name="_Hlt496864793"/>
      <w:r>
        <w:rPr>
          <w:rStyle w:val="19"/>
          <w:rFonts w:hint="eastAsia" w:ascii="宋体" w:hAnsi="宋体"/>
          <w:color w:val="auto"/>
        </w:rPr>
        <w:t>净</w:t>
      </w:r>
      <w:bookmarkEnd w:id="19"/>
      <w:bookmarkEnd w:id="20"/>
      <w:r>
        <w:rPr>
          <w:rStyle w:val="19"/>
          <w:rFonts w:hint="eastAsia" w:ascii="宋体" w:hAnsi="宋体"/>
          <w:color w:val="auto"/>
        </w:rPr>
        <w:t>值计算和会</w:t>
      </w:r>
      <w:bookmarkStart w:id="21" w:name="_Hlt193098038"/>
      <w:r>
        <w:rPr>
          <w:rStyle w:val="19"/>
          <w:rFonts w:hint="eastAsia" w:ascii="宋体" w:hAnsi="宋体"/>
          <w:color w:val="auto"/>
        </w:rPr>
        <w:t>计</w:t>
      </w:r>
      <w:bookmarkEnd w:id="21"/>
      <w:r>
        <w:rPr>
          <w:rStyle w:val="19"/>
          <w:rFonts w:hint="eastAsia" w:ascii="宋体" w:hAnsi="宋体"/>
          <w:color w:val="auto"/>
        </w:rPr>
        <w:t>核算</w:t>
      </w:r>
      <w:r>
        <w:tab/>
      </w:r>
      <w:r>
        <w:fldChar w:fldCharType="begin"/>
      </w:r>
      <w:r>
        <w:instrText xml:space="preserve"> PAGEREF _Toc140002343 \h </w:instrText>
      </w:r>
      <w:r>
        <w:fldChar w:fldCharType="separate"/>
      </w:r>
      <w:r>
        <w:t>21</w:t>
      </w:r>
      <w:r>
        <w:fldChar w:fldCharType="end"/>
      </w:r>
      <w:r>
        <w:fldChar w:fldCharType="end"/>
      </w:r>
    </w:p>
    <w:p w14:paraId="4383ED5A">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"_Toc140002344" </w:instrText>
      </w:r>
      <w:r>
        <w:fldChar w:fldCharType="separate"/>
      </w:r>
      <w:r>
        <w:rPr>
          <w:rStyle w:val="19"/>
          <w:rFonts w:hint="eastAsia" w:ascii="宋体" w:hAnsi="宋体"/>
          <w:color w:val="auto"/>
        </w:rPr>
        <w:t>九、 基金收益分配</w:t>
      </w:r>
      <w:r>
        <w:tab/>
      </w:r>
      <w:r>
        <w:fldChar w:fldCharType="begin"/>
      </w:r>
      <w:r>
        <w:instrText xml:space="preserve"> PAGEREF _Toc140002344 \h </w:instrText>
      </w:r>
      <w:r>
        <w:fldChar w:fldCharType="separate"/>
      </w:r>
      <w:r>
        <w:t>23</w:t>
      </w:r>
      <w:r>
        <w:fldChar w:fldCharType="end"/>
      </w:r>
      <w:r>
        <w:fldChar w:fldCharType="end"/>
      </w:r>
    </w:p>
    <w:p w14:paraId="055A33FD">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"_Toc140002345" </w:instrText>
      </w:r>
      <w:r>
        <w:fldChar w:fldCharType="separate"/>
      </w:r>
      <w:r>
        <w:rPr>
          <w:rStyle w:val="19"/>
          <w:rFonts w:hint="eastAsia" w:ascii="宋体" w:hAnsi="宋体"/>
          <w:color w:val="auto"/>
        </w:rPr>
        <w:t>十、 信息披</w:t>
      </w:r>
      <w:bookmarkStart w:id="22" w:name="_Hlt128561106"/>
      <w:bookmarkStart w:id="23" w:name="_Hlt128561105"/>
      <w:r>
        <w:rPr>
          <w:rStyle w:val="19"/>
          <w:rFonts w:hint="eastAsia" w:ascii="宋体" w:hAnsi="宋体"/>
          <w:color w:val="auto"/>
        </w:rPr>
        <w:t>露</w:t>
      </w:r>
      <w:bookmarkEnd w:id="22"/>
      <w:bookmarkEnd w:id="23"/>
      <w:r>
        <w:tab/>
      </w:r>
      <w:r>
        <w:fldChar w:fldCharType="begin"/>
      </w:r>
      <w:r>
        <w:instrText xml:space="preserve"> PAGEREF _Toc140002345 \h </w:instrText>
      </w:r>
      <w:r>
        <w:fldChar w:fldCharType="separate"/>
      </w:r>
      <w:r>
        <w:t>23</w:t>
      </w:r>
      <w:r>
        <w:fldChar w:fldCharType="end"/>
      </w:r>
      <w:r>
        <w:fldChar w:fldCharType="end"/>
      </w:r>
    </w:p>
    <w:p w14:paraId="7E6929D3">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"_Toc140002346" </w:instrText>
      </w:r>
      <w:r>
        <w:fldChar w:fldCharType="separate"/>
      </w:r>
      <w:r>
        <w:rPr>
          <w:rStyle w:val="19"/>
          <w:rFonts w:hint="eastAsia" w:ascii="宋体" w:hAnsi="宋体"/>
          <w:color w:val="auto"/>
        </w:rPr>
        <w:t>十一、 基金费用</w:t>
      </w:r>
      <w:r>
        <w:tab/>
      </w:r>
      <w:r>
        <w:fldChar w:fldCharType="begin"/>
      </w:r>
      <w:r>
        <w:instrText xml:space="preserve"> PAGEREF _Toc140002346 \h </w:instrText>
      </w:r>
      <w:r>
        <w:fldChar w:fldCharType="separate"/>
      </w:r>
      <w:r>
        <w:t>25</w:t>
      </w:r>
      <w:r>
        <w:fldChar w:fldCharType="end"/>
      </w:r>
      <w:r>
        <w:fldChar w:fldCharType="end"/>
      </w:r>
    </w:p>
    <w:p w14:paraId="28ACF75A">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"_Toc140002347" </w:instrText>
      </w:r>
      <w:r>
        <w:fldChar w:fldCharType="separate"/>
      </w:r>
      <w:r>
        <w:rPr>
          <w:rStyle w:val="19"/>
          <w:rFonts w:hint="eastAsia" w:ascii="宋体" w:hAnsi="宋体"/>
          <w:color w:val="auto"/>
        </w:rPr>
        <w:t>十二、 基金份额持有人名册的保管</w:t>
      </w:r>
      <w:r>
        <w:tab/>
      </w:r>
      <w:r>
        <w:fldChar w:fldCharType="begin"/>
      </w:r>
      <w:r>
        <w:instrText xml:space="preserve"> PAGEREF _Toc140002347 \h </w:instrText>
      </w:r>
      <w:r>
        <w:fldChar w:fldCharType="separate"/>
      </w:r>
      <w:r>
        <w:t>25</w:t>
      </w:r>
      <w:r>
        <w:fldChar w:fldCharType="end"/>
      </w:r>
      <w:r>
        <w:fldChar w:fldCharType="end"/>
      </w:r>
    </w:p>
    <w:p w14:paraId="035555F9">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"_Toc140002348" </w:instrText>
      </w:r>
      <w:r>
        <w:fldChar w:fldCharType="separate"/>
      </w:r>
      <w:r>
        <w:rPr>
          <w:rStyle w:val="19"/>
          <w:rFonts w:hint="eastAsia" w:ascii="宋体" w:hAnsi="宋体"/>
          <w:color w:val="auto"/>
        </w:rPr>
        <w:t>十三、 基金有关文件和档案的保存</w:t>
      </w:r>
      <w:r>
        <w:tab/>
      </w:r>
      <w:r>
        <w:fldChar w:fldCharType="begin"/>
      </w:r>
      <w:r>
        <w:instrText xml:space="preserve"> PAGEREF _Toc140002348 \h </w:instrText>
      </w:r>
      <w:r>
        <w:fldChar w:fldCharType="separate"/>
      </w:r>
      <w:r>
        <w:t>26</w:t>
      </w:r>
      <w:r>
        <w:fldChar w:fldCharType="end"/>
      </w:r>
      <w:r>
        <w:fldChar w:fldCharType="end"/>
      </w:r>
    </w:p>
    <w:p w14:paraId="79407D91">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"_Toc140002349" </w:instrText>
      </w:r>
      <w:r>
        <w:fldChar w:fldCharType="separate"/>
      </w:r>
      <w:r>
        <w:rPr>
          <w:rStyle w:val="19"/>
          <w:rFonts w:hint="eastAsia" w:ascii="宋体" w:hAnsi="宋体"/>
          <w:color w:val="auto"/>
        </w:rPr>
        <w:t>十四、 基金管理人和基金托管人的更换</w:t>
      </w:r>
      <w:r>
        <w:tab/>
      </w:r>
      <w:r>
        <w:fldChar w:fldCharType="begin"/>
      </w:r>
      <w:r>
        <w:instrText xml:space="preserve"> PAGEREF _Toc140002349 \h </w:instrText>
      </w:r>
      <w:r>
        <w:fldChar w:fldCharType="separate"/>
      </w:r>
      <w:r>
        <w:t>27</w:t>
      </w:r>
      <w:r>
        <w:fldChar w:fldCharType="end"/>
      </w:r>
      <w:r>
        <w:fldChar w:fldCharType="end"/>
      </w:r>
    </w:p>
    <w:p w14:paraId="7EBB37CA">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"_Toc140002350" </w:instrText>
      </w:r>
      <w:r>
        <w:fldChar w:fldCharType="separate"/>
      </w:r>
      <w:r>
        <w:rPr>
          <w:rStyle w:val="19"/>
          <w:rFonts w:hint="eastAsia" w:ascii="宋体" w:hAnsi="宋体"/>
          <w:color w:val="auto"/>
        </w:rPr>
        <w:t>十五、 禁止行</w:t>
      </w:r>
      <w:bookmarkStart w:id="24" w:name="_Hlt297731995"/>
      <w:r>
        <w:rPr>
          <w:rStyle w:val="19"/>
          <w:rFonts w:hint="eastAsia" w:ascii="宋体" w:hAnsi="宋体"/>
          <w:color w:val="auto"/>
        </w:rPr>
        <w:t>为</w:t>
      </w:r>
      <w:bookmarkEnd w:id="24"/>
      <w:r>
        <w:tab/>
      </w:r>
      <w:r>
        <w:fldChar w:fldCharType="begin"/>
      </w:r>
      <w:r>
        <w:instrText xml:space="preserve"> PAGEREF _Toc140002350 \h </w:instrText>
      </w:r>
      <w:r>
        <w:fldChar w:fldCharType="separate"/>
      </w:r>
      <w:r>
        <w:t>29</w:t>
      </w:r>
      <w:r>
        <w:fldChar w:fldCharType="end"/>
      </w:r>
      <w:r>
        <w:fldChar w:fldCharType="end"/>
      </w:r>
    </w:p>
    <w:p w14:paraId="62CFD8C7">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"_Toc140002351" </w:instrText>
      </w:r>
      <w:r>
        <w:fldChar w:fldCharType="separate"/>
      </w:r>
      <w:r>
        <w:rPr>
          <w:rStyle w:val="19"/>
          <w:rFonts w:hint="eastAsia" w:ascii="宋体" w:hAnsi="宋体"/>
          <w:color w:val="auto"/>
        </w:rPr>
        <w:t>十六、 基金托管协议的变更、终止与基金财产的清算</w:t>
      </w:r>
      <w:r>
        <w:tab/>
      </w:r>
      <w:r>
        <w:fldChar w:fldCharType="begin"/>
      </w:r>
      <w:r>
        <w:instrText xml:space="preserve"> PAGEREF _Toc140002351 \h </w:instrText>
      </w:r>
      <w:r>
        <w:fldChar w:fldCharType="separate"/>
      </w:r>
      <w:r>
        <w:t>30</w:t>
      </w:r>
      <w:r>
        <w:fldChar w:fldCharType="end"/>
      </w:r>
      <w:r>
        <w:fldChar w:fldCharType="end"/>
      </w:r>
    </w:p>
    <w:p w14:paraId="18FDB75C">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"_Toc140002352" </w:instrText>
      </w:r>
      <w:r>
        <w:fldChar w:fldCharType="separate"/>
      </w:r>
      <w:r>
        <w:rPr>
          <w:rStyle w:val="19"/>
          <w:rFonts w:hint="eastAsia" w:ascii="宋体" w:hAnsi="宋体"/>
          <w:color w:val="auto"/>
        </w:rPr>
        <w:t>十七、 违约责任</w:t>
      </w:r>
      <w:r>
        <w:tab/>
      </w:r>
      <w:r>
        <w:fldChar w:fldCharType="begin"/>
      </w:r>
      <w:r>
        <w:instrText xml:space="preserve"> PAGEREF _Toc140002352 \h </w:instrText>
      </w:r>
      <w:r>
        <w:fldChar w:fldCharType="separate"/>
      </w:r>
      <w:r>
        <w:t>31</w:t>
      </w:r>
      <w:r>
        <w:fldChar w:fldCharType="end"/>
      </w:r>
      <w:r>
        <w:fldChar w:fldCharType="end"/>
      </w:r>
    </w:p>
    <w:p w14:paraId="7FA80AD6">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"_Toc140002353" </w:instrText>
      </w:r>
      <w:r>
        <w:fldChar w:fldCharType="separate"/>
      </w:r>
      <w:r>
        <w:rPr>
          <w:rStyle w:val="19"/>
          <w:rFonts w:hint="eastAsia" w:ascii="宋体" w:hAnsi="宋体"/>
          <w:color w:val="auto"/>
        </w:rPr>
        <w:t>十八、 争议解决方式</w:t>
      </w:r>
      <w:r>
        <w:tab/>
      </w:r>
      <w:r>
        <w:fldChar w:fldCharType="begin"/>
      </w:r>
      <w:r>
        <w:instrText xml:space="preserve"> PAGEREF _Toc140002353 \h </w:instrText>
      </w:r>
      <w:r>
        <w:fldChar w:fldCharType="separate"/>
      </w:r>
      <w:r>
        <w:t>32</w:t>
      </w:r>
      <w:r>
        <w:fldChar w:fldCharType="end"/>
      </w:r>
      <w:r>
        <w:fldChar w:fldCharType="end"/>
      </w:r>
    </w:p>
    <w:p w14:paraId="516E6A35">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"_Toc140002354" </w:instrText>
      </w:r>
      <w:r>
        <w:fldChar w:fldCharType="separate"/>
      </w:r>
      <w:r>
        <w:rPr>
          <w:rStyle w:val="19"/>
          <w:rFonts w:hint="eastAsia" w:ascii="宋体" w:hAnsi="宋体"/>
          <w:color w:val="auto"/>
        </w:rPr>
        <w:t>十九、 基金托管协议的效力</w:t>
      </w:r>
      <w:r>
        <w:tab/>
      </w:r>
      <w:r>
        <w:fldChar w:fldCharType="begin"/>
      </w:r>
      <w:r>
        <w:instrText xml:space="preserve"> PAGEREF _Toc140002354 \h </w:instrText>
      </w:r>
      <w:r>
        <w:fldChar w:fldCharType="separate"/>
      </w:r>
      <w:r>
        <w:t>32</w:t>
      </w:r>
      <w:r>
        <w:fldChar w:fldCharType="end"/>
      </w:r>
      <w:r>
        <w:fldChar w:fldCharType="end"/>
      </w:r>
    </w:p>
    <w:p w14:paraId="0D721438">
      <w:pPr>
        <w:pStyle w:val="11"/>
        <w:tabs>
          <w:tab w:val="right" w:pos="8296"/>
        </w:tabs>
        <w:adjustRightInd w:val="0"/>
        <w:spacing w:before="100" w:beforeAutospacing="1" w:after="100" w:afterAutospacing="1"/>
        <w:rPr>
          <w:rFonts w:ascii="Times New Roman" w:hAnsi="Times New Roman" w:cs="Times New Roman"/>
          <w:b w:val="0"/>
          <w:bCs w:val="0"/>
          <w:caps w:val="0"/>
          <w:sz w:val="21"/>
        </w:rPr>
      </w:pPr>
      <w:r>
        <w:fldChar w:fldCharType="begin"/>
      </w:r>
      <w:r>
        <w:instrText xml:space="preserve"> HYPERLINK \l "_Toc140002355" </w:instrText>
      </w:r>
      <w:r>
        <w:fldChar w:fldCharType="separate"/>
      </w:r>
      <w:r>
        <w:rPr>
          <w:rStyle w:val="19"/>
          <w:rFonts w:hint="eastAsia" w:ascii="宋体" w:hAnsi="宋体"/>
          <w:color w:val="auto"/>
        </w:rPr>
        <w:t>二十、 基金托管协议的签订</w:t>
      </w:r>
      <w:r>
        <w:tab/>
      </w:r>
      <w:r>
        <w:fldChar w:fldCharType="begin"/>
      </w:r>
      <w:r>
        <w:instrText xml:space="preserve"> PAGEREF _Toc140002355 \h </w:instrText>
      </w:r>
      <w:r>
        <w:fldChar w:fldCharType="separate"/>
      </w:r>
      <w:r>
        <w:t>32</w:t>
      </w:r>
      <w:r>
        <w:fldChar w:fldCharType="end"/>
      </w:r>
      <w:r>
        <w:fldChar w:fldCharType="end"/>
      </w:r>
    </w:p>
    <w:p w14:paraId="7B311773">
      <w:r>
        <w:fldChar w:fldCharType="end"/>
      </w:r>
    </w:p>
    <w:p w14:paraId="4920032F">
      <w:pPr>
        <w:sectPr>
          <w:headerReference r:id="rId6" w:type="first"/>
          <w:pgSz w:w="11906" w:h="16838"/>
          <w:pgMar w:top="1440" w:right="1800" w:bottom="1440" w:left="1800" w:header="851" w:footer="992" w:gutter="0"/>
          <w:pgNumType w:start="0"/>
          <w:cols w:space="720" w:num="1"/>
          <w:titlePg/>
          <w:docGrid w:type="lines" w:linePitch="312" w:charSpace="0"/>
        </w:sectPr>
      </w:pPr>
    </w:p>
    <w:p w14:paraId="407E76D1">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25" w:name="_Toc140002336"/>
      <w:bookmarkStart w:id="26" w:name="_Toc22454432"/>
      <w:bookmarkStart w:id="27" w:name="_Toc124749936"/>
      <w:bookmarkStart w:id="28" w:name="_Toc123626167"/>
      <w:bookmarkStart w:id="29" w:name="_Toc523829992"/>
      <w:bookmarkStart w:id="30" w:name="_Toc125361073"/>
      <w:bookmarkStart w:id="31" w:name="_Toc48703884"/>
      <w:bookmarkStart w:id="32" w:name="_Toc124749225"/>
      <w:r>
        <w:rPr>
          <w:rFonts w:hint="eastAsia" w:ascii="宋体" w:hAnsi="宋体" w:cs="Arial"/>
          <w:sz w:val="30"/>
        </w:rPr>
        <w:t>基金托管协议当事人</w:t>
      </w:r>
      <w:bookmarkEnd w:id="25"/>
      <w:bookmarkEnd w:id="26"/>
      <w:bookmarkEnd w:id="27"/>
      <w:bookmarkEnd w:id="28"/>
      <w:bookmarkEnd w:id="29"/>
      <w:bookmarkEnd w:id="30"/>
      <w:bookmarkEnd w:id="31"/>
      <w:bookmarkEnd w:id="32"/>
    </w:p>
    <w:p w14:paraId="2E97BC24">
      <w:pPr>
        <w:pStyle w:val="3"/>
        <w:keepNext w:val="0"/>
        <w:keepLines w:val="0"/>
        <w:autoSpaceDE w:val="0"/>
        <w:autoSpaceDN w:val="0"/>
        <w:adjustRightInd w:val="0"/>
        <w:spacing w:before="0" w:after="0" w:line="360" w:lineRule="auto"/>
        <w:ind w:firstLine="470" w:firstLineChars="196"/>
        <w:textAlignment w:val="baseline"/>
        <w:rPr>
          <w:rFonts w:ascii="宋体" w:hAnsi="宋体" w:eastAsia="宋体" w:cs="Arial"/>
          <w:b w:val="0"/>
          <w:kern w:val="0"/>
          <w:sz w:val="24"/>
          <w:szCs w:val="24"/>
        </w:rPr>
      </w:pPr>
      <w:bookmarkStart w:id="33" w:name="_Toc48703885"/>
      <w:bookmarkStart w:id="34" w:name="_Toc22454433"/>
      <w:r>
        <w:rPr>
          <w:rFonts w:hint="eastAsia" w:ascii="宋体" w:hAnsi="宋体" w:eastAsia="宋体" w:cs="Arial"/>
          <w:b w:val="0"/>
          <w:kern w:val="0"/>
          <w:sz w:val="24"/>
          <w:szCs w:val="24"/>
        </w:rPr>
        <w:t>（一）基金管理人</w:t>
      </w:r>
      <w:bookmarkEnd w:id="33"/>
      <w:bookmarkEnd w:id="34"/>
    </w:p>
    <w:p w14:paraId="6B917F30">
      <w:pPr>
        <w:spacing w:line="360" w:lineRule="auto"/>
        <w:ind w:firstLine="480" w:firstLineChars="200"/>
        <w:rPr>
          <w:rFonts w:ascii="宋体" w:hAnsi="宋体"/>
          <w:sz w:val="24"/>
        </w:rPr>
      </w:pPr>
      <w:bookmarkStart w:id="35" w:name="_Toc48703886"/>
      <w:bookmarkStart w:id="36" w:name="_Toc22454434"/>
      <w:r>
        <w:rPr>
          <w:rFonts w:hint="eastAsia" w:ascii="宋体" w:hAnsi="宋体"/>
          <w:sz w:val="24"/>
        </w:rPr>
        <w:t>名称：财通证券资产管理有限公司</w:t>
      </w:r>
    </w:p>
    <w:p w14:paraId="5E04CB82">
      <w:pPr>
        <w:spacing w:line="360" w:lineRule="auto"/>
        <w:ind w:firstLine="480" w:firstLineChars="200"/>
        <w:rPr>
          <w:rFonts w:ascii="宋体" w:hAnsi="宋体"/>
          <w:sz w:val="24"/>
        </w:rPr>
      </w:pPr>
      <w:r>
        <w:rPr>
          <w:rFonts w:hint="eastAsia" w:ascii="宋体" w:hAnsi="宋体"/>
          <w:sz w:val="24"/>
        </w:rPr>
        <w:t>住所：浙江省杭州市上城区白云路26号143室</w:t>
      </w:r>
    </w:p>
    <w:p w14:paraId="5972EEAF">
      <w:pPr>
        <w:spacing w:line="360" w:lineRule="auto"/>
        <w:ind w:firstLine="480" w:firstLineChars="200"/>
        <w:rPr>
          <w:rFonts w:ascii="宋体" w:hAnsi="宋体"/>
          <w:sz w:val="24"/>
        </w:rPr>
      </w:pPr>
      <w:r>
        <w:rPr>
          <w:rFonts w:hint="eastAsia" w:ascii="宋体" w:hAnsi="宋体"/>
          <w:sz w:val="24"/>
        </w:rPr>
        <w:t>法定代表人：马晓立</w:t>
      </w:r>
    </w:p>
    <w:p w14:paraId="33146279">
      <w:pPr>
        <w:spacing w:line="360" w:lineRule="auto"/>
        <w:ind w:firstLine="480" w:firstLineChars="200"/>
        <w:rPr>
          <w:rFonts w:ascii="宋体" w:hAnsi="宋体"/>
          <w:sz w:val="24"/>
        </w:rPr>
      </w:pPr>
      <w:r>
        <w:rPr>
          <w:rFonts w:hint="eastAsia" w:ascii="宋体" w:hAnsi="宋体"/>
          <w:sz w:val="24"/>
        </w:rPr>
        <w:t>成立时间：2014年12月15日</w:t>
      </w:r>
    </w:p>
    <w:p w14:paraId="15B33E7B">
      <w:pPr>
        <w:spacing w:line="360" w:lineRule="auto"/>
        <w:ind w:firstLine="480" w:firstLineChars="200"/>
        <w:rPr>
          <w:rFonts w:ascii="宋体" w:hAnsi="宋体"/>
          <w:sz w:val="24"/>
        </w:rPr>
      </w:pPr>
      <w:r>
        <w:rPr>
          <w:rFonts w:hint="eastAsia" w:ascii="宋体" w:hAnsi="宋体"/>
          <w:sz w:val="24"/>
        </w:rPr>
        <w:t>批准设立机关及批准设立文号：中国证监会《关于核准财通证券股份有限公司设立资产管理子公司的批复》（证监许可[2014]1177号）</w:t>
      </w:r>
    </w:p>
    <w:p w14:paraId="28673BC6">
      <w:pPr>
        <w:spacing w:line="360" w:lineRule="auto"/>
        <w:ind w:firstLine="480" w:firstLineChars="200"/>
        <w:rPr>
          <w:rFonts w:ascii="宋体" w:hAnsi="宋体"/>
          <w:sz w:val="24"/>
        </w:rPr>
      </w:pPr>
      <w:r>
        <w:rPr>
          <w:rFonts w:hint="eastAsia" w:ascii="宋体" w:hAnsi="宋体"/>
          <w:sz w:val="24"/>
        </w:rPr>
        <w:t>注册资本：人民币</w:t>
      </w:r>
      <w:r>
        <w:rPr>
          <w:rFonts w:ascii="宋体" w:hAnsi="宋体"/>
          <w:sz w:val="24"/>
        </w:rPr>
        <w:t>5</w:t>
      </w:r>
      <w:r>
        <w:rPr>
          <w:rFonts w:hint="eastAsia" w:ascii="宋体" w:hAnsi="宋体"/>
          <w:sz w:val="24"/>
        </w:rPr>
        <w:t>亿元</w:t>
      </w:r>
    </w:p>
    <w:p w14:paraId="62762913">
      <w:pPr>
        <w:spacing w:line="360" w:lineRule="auto"/>
        <w:ind w:firstLine="480" w:firstLineChars="200"/>
        <w:rPr>
          <w:rFonts w:ascii="宋体" w:hAnsi="宋体"/>
          <w:sz w:val="24"/>
        </w:rPr>
      </w:pPr>
      <w:r>
        <w:rPr>
          <w:rFonts w:hint="eastAsia" w:ascii="宋体" w:hAnsi="宋体"/>
          <w:sz w:val="24"/>
        </w:rPr>
        <w:t>组织形式：有限责任公司</w:t>
      </w:r>
    </w:p>
    <w:p w14:paraId="734536C7">
      <w:pPr>
        <w:spacing w:line="360" w:lineRule="auto"/>
        <w:ind w:firstLine="480" w:firstLineChars="200"/>
        <w:rPr>
          <w:rFonts w:ascii="宋体" w:hAnsi="宋体"/>
          <w:sz w:val="24"/>
        </w:rPr>
      </w:pPr>
      <w:r>
        <w:rPr>
          <w:rFonts w:hint="eastAsia" w:ascii="宋体" w:hAnsi="宋体"/>
          <w:sz w:val="24"/>
        </w:rPr>
        <w:t>经营范围：证券资产管理业务，公开募集证券投资基金管理业务。（依法须经批准的项目，经相关部门批准后方可开展经营活动）</w:t>
      </w:r>
    </w:p>
    <w:p w14:paraId="360015F2">
      <w:pPr>
        <w:spacing w:line="360" w:lineRule="auto"/>
        <w:ind w:firstLine="480" w:firstLineChars="200"/>
        <w:rPr>
          <w:rFonts w:ascii="宋体" w:hAnsi="宋体"/>
          <w:sz w:val="24"/>
        </w:rPr>
      </w:pPr>
      <w:r>
        <w:rPr>
          <w:rFonts w:hint="eastAsia" w:ascii="宋体" w:hAnsi="宋体"/>
          <w:sz w:val="24"/>
        </w:rPr>
        <w:t>存续期间：持续经营</w:t>
      </w:r>
    </w:p>
    <w:p w14:paraId="4B303A24">
      <w:pPr>
        <w:pStyle w:val="3"/>
        <w:keepNext w:val="0"/>
        <w:keepLines w:val="0"/>
        <w:autoSpaceDE w:val="0"/>
        <w:autoSpaceDN w:val="0"/>
        <w:adjustRightInd w:val="0"/>
        <w:spacing w:before="0" w:after="0" w:line="360" w:lineRule="auto"/>
        <w:ind w:firstLine="470" w:firstLineChars="196"/>
        <w:textAlignment w:val="baseline"/>
        <w:rPr>
          <w:rFonts w:ascii="宋体" w:hAnsi="宋体" w:eastAsia="宋体" w:cs="Arial"/>
          <w:b w:val="0"/>
          <w:kern w:val="0"/>
          <w:sz w:val="24"/>
          <w:szCs w:val="24"/>
        </w:rPr>
      </w:pPr>
      <w:r>
        <w:rPr>
          <w:rFonts w:hint="eastAsia" w:ascii="宋体" w:hAnsi="宋体" w:eastAsia="宋体" w:cs="Arial"/>
          <w:b w:val="0"/>
          <w:kern w:val="0"/>
          <w:sz w:val="24"/>
          <w:szCs w:val="24"/>
        </w:rPr>
        <w:t>（二）基金托管人</w:t>
      </w:r>
      <w:bookmarkEnd w:id="35"/>
      <w:bookmarkEnd w:id="36"/>
    </w:p>
    <w:p w14:paraId="4F6B8E8A">
      <w:pPr>
        <w:spacing w:line="360" w:lineRule="auto"/>
        <w:ind w:firstLine="480" w:firstLineChars="200"/>
        <w:rPr>
          <w:rFonts w:ascii="宋体" w:hAnsi="宋体"/>
          <w:sz w:val="24"/>
        </w:rPr>
      </w:pPr>
      <w:r>
        <w:rPr>
          <w:rFonts w:hint="eastAsia" w:ascii="宋体" w:hAnsi="宋体"/>
          <w:sz w:val="24"/>
        </w:rPr>
        <w:t>名称：中信银行股份有限公司</w:t>
      </w:r>
    </w:p>
    <w:p w14:paraId="18917D90">
      <w:pPr>
        <w:spacing w:line="360" w:lineRule="auto"/>
        <w:ind w:firstLine="480" w:firstLineChars="200"/>
        <w:rPr>
          <w:rFonts w:ascii="宋体" w:hAnsi="宋体"/>
          <w:sz w:val="24"/>
        </w:rPr>
      </w:pPr>
      <w:r>
        <w:rPr>
          <w:rFonts w:hint="eastAsia" w:ascii="宋体" w:hAnsi="宋体"/>
          <w:sz w:val="24"/>
        </w:rPr>
        <w:t>住所：北京市朝阳区光华路10号院1号楼6-30层、32-42层</w:t>
      </w:r>
    </w:p>
    <w:p w14:paraId="1272B06C">
      <w:pPr>
        <w:spacing w:line="360" w:lineRule="auto"/>
        <w:ind w:firstLine="480" w:firstLineChars="200"/>
        <w:rPr>
          <w:rFonts w:ascii="宋体" w:hAnsi="宋体"/>
          <w:sz w:val="24"/>
        </w:rPr>
      </w:pPr>
      <w:r>
        <w:rPr>
          <w:rFonts w:hint="eastAsia" w:ascii="宋体" w:hAnsi="宋体"/>
          <w:sz w:val="24"/>
        </w:rPr>
        <w:t>法定代表人：方合英</w:t>
      </w:r>
    </w:p>
    <w:p w14:paraId="20C5A1F6">
      <w:pPr>
        <w:spacing w:line="360" w:lineRule="auto"/>
        <w:ind w:firstLine="480" w:firstLineChars="200"/>
        <w:rPr>
          <w:rFonts w:ascii="宋体" w:hAnsi="宋体"/>
          <w:sz w:val="24"/>
        </w:rPr>
      </w:pPr>
      <w:r>
        <w:rPr>
          <w:rFonts w:hint="eastAsia" w:ascii="宋体" w:hAnsi="宋体"/>
          <w:sz w:val="24"/>
        </w:rPr>
        <w:t>成立时间：1987年4月20日</w:t>
      </w:r>
    </w:p>
    <w:p w14:paraId="07F17015">
      <w:pPr>
        <w:spacing w:line="360" w:lineRule="auto"/>
        <w:ind w:firstLine="480" w:firstLineChars="200"/>
        <w:rPr>
          <w:rFonts w:ascii="宋体" w:hAnsi="宋体"/>
          <w:sz w:val="24"/>
        </w:rPr>
      </w:pPr>
      <w:r>
        <w:rPr>
          <w:rFonts w:hint="eastAsia" w:ascii="宋体" w:hAnsi="宋体"/>
          <w:sz w:val="24"/>
        </w:rPr>
        <w:t>批准设立文号：国办函[1987]14号</w:t>
      </w:r>
    </w:p>
    <w:p w14:paraId="6AD6E0CB">
      <w:pPr>
        <w:spacing w:line="360" w:lineRule="auto"/>
        <w:ind w:firstLine="480" w:firstLineChars="200"/>
        <w:rPr>
          <w:rFonts w:ascii="宋体" w:hAnsi="宋体"/>
          <w:sz w:val="24"/>
        </w:rPr>
      </w:pPr>
      <w:r>
        <w:rPr>
          <w:rFonts w:hint="eastAsia" w:ascii="宋体" w:hAnsi="宋体"/>
          <w:sz w:val="24"/>
        </w:rPr>
        <w:t>基金托管业务批准文号：证监基金字[2004]125号</w:t>
      </w:r>
    </w:p>
    <w:p w14:paraId="0D9E2F53">
      <w:pPr>
        <w:spacing w:line="360" w:lineRule="auto"/>
        <w:ind w:firstLine="480" w:firstLineChars="200"/>
        <w:rPr>
          <w:rFonts w:ascii="宋体" w:hAnsi="宋体"/>
          <w:sz w:val="24"/>
        </w:rPr>
      </w:pPr>
      <w:r>
        <w:rPr>
          <w:rFonts w:hint="eastAsia" w:ascii="宋体" w:hAnsi="宋体"/>
          <w:sz w:val="24"/>
        </w:rPr>
        <w:t>组织形式：股份有限公司</w:t>
      </w:r>
    </w:p>
    <w:p w14:paraId="312C5E6B">
      <w:pPr>
        <w:spacing w:line="360" w:lineRule="auto"/>
        <w:ind w:firstLine="480" w:firstLineChars="200"/>
        <w:rPr>
          <w:rFonts w:ascii="宋体" w:hAnsi="宋体"/>
          <w:sz w:val="24"/>
        </w:rPr>
      </w:pPr>
      <w:r>
        <w:rPr>
          <w:rFonts w:hint="eastAsia" w:ascii="宋体" w:hAnsi="宋体"/>
          <w:sz w:val="24"/>
        </w:rPr>
        <w:t>注册资本：4893479.6573万元人民币</w:t>
      </w:r>
    </w:p>
    <w:p w14:paraId="2BC1E3BC">
      <w:pPr>
        <w:spacing w:line="360" w:lineRule="auto"/>
        <w:ind w:firstLine="480" w:firstLineChars="200"/>
        <w:rPr>
          <w:rFonts w:ascii="宋体" w:hAnsi="宋体"/>
          <w:sz w:val="24"/>
        </w:rPr>
      </w:pPr>
      <w:r>
        <w:rPr>
          <w:rFonts w:hint="eastAsia" w:ascii="宋体" w:hAnsi="宋体"/>
          <w:sz w:val="24"/>
        </w:rPr>
        <w:t>存续期间：持续经营</w:t>
      </w:r>
    </w:p>
    <w:p w14:paraId="78AB4890">
      <w:pPr>
        <w:spacing w:line="360" w:lineRule="auto"/>
        <w:ind w:firstLine="480" w:firstLineChars="200"/>
        <w:rPr>
          <w:rFonts w:ascii="宋体" w:hAnsi="宋体"/>
          <w:sz w:val="24"/>
        </w:rPr>
      </w:pPr>
    </w:p>
    <w:p w14:paraId="294EDE8B">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37" w:name="_Toc466788852"/>
      <w:bookmarkStart w:id="38" w:name="_Toc48703887"/>
      <w:bookmarkStart w:id="39" w:name="_Toc523829993"/>
      <w:bookmarkStart w:id="40" w:name="_Toc140002337"/>
      <w:bookmarkStart w:id="41" w:name="_Toc124749937"/>
      <w:bookmarkStart w:id="42" w:name="_Toc125361074"/>
      <w:bookmarkStart w:id="43" w:name="_Toc22454435"/>
      <w:bookmarkStart w:id="44" w:name="_Toc123626168"/>
      <w:bookmarkStart w:id="45" w:name="_Toc124749226"/>
      <w:r>
        <w:rPr>
          <w:rFonts w:hint="eastAsia" w:ascii="宋体" w:hAnsi="宋体" w:cs="Arial"/>
          <w:sz w:val="30"/>
        </w:rPr>
        <w:t>基金托管协议的依据、目的和原则</w:t>
      </w:r>
      <w:bookmarkEnd w:id="37"/>
      <w:bookmarkEnd w:id="38"/>
      <w:bookmarkEnd w:id="39"/>
      <w:bookmarkEnd w:id="40"/>
      <w:bookmarkEnd w:id="41"/>
      <w:bookmarkEnd w:id="42"/>
      <w:bookmarkEnd w:id="43"/>
      <w:bookmarkEnd w:id="44"/>
      <w:bookmarkEnd w:id="45"/>
    </w:p>
    <w:p w14:paraId="5D774944">
      <w:pPr>
        <w:spacing w:line="360" w:lineRule="auto"/>
        <w:ind w:firstLine="480" w:firstLineChars="200"/>
        <w:rPr>
          <w:rFonts w:ascii="宋体" w:hAnsi="宋体"/>
          <w:sz w:val="24"/>
        </w:rPr>
      </w:pPr>
      <w:r>
        <w:rPr>
          <w:rFonts w:hint="eastAsia" w:ascii="宋体" w:hAnsi="宋体"/>
          <w:sz w:val="24"/>
        </w:rPr>
        <w:t>订立本协议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7号〈托管协议的内容与格式〉》、《公开募集开放式证券投资基金流动性风险管理规定》（以下简称《流动性风险管理规定》）、</w:t>
      </w:r>
      <w:r>
        <w:rPr>
          <w:rFonts w:hint="eastAsia"/>
          <w:bCs/>
          <w:sz w:val="24"/>
        </w:rPr>
        <w:t>《公开募集证券投资基金运作指引第3号——指数基金指引》（以下简称《指数基金指引》）</w:t>
      </w:r>
      <w:r>
        <w:rPr>
          <w:rFonts w:hint="eastAsia" w:ascii="宋体" w:hAnsi="宋体"/>
          <w:sz w:val="24"/>
        </w:rPr>
        <w:t>、《财通资管中证500指数增强型证券投资基金基金合同》（以下简称《基金合同》）及其他有关规定。</w:t>
      </w:r>
    </w:p>
    <w:p w14:paraId="22B97132">
      <w:pPr>
        <w:spacing w:line="360" w:lineRule="auto"/>
        <w:ind w:firstLine="480" w:firstLineChars="200"/>
        <w:rPr>
          <w:rFonts w:ascii="宋体" w:hAnsi="宋体"/>
          <w:sz w:val="24"/>
        </w:rPr>
      </w:pPr>
      <w:r>
        <w:rPr>
          <w:rFonts w:hint="eastAsia" w:ascii="宋体" w:hAnsi="宋体"/>
          <w:sz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3872B334">
      <w:pPr>
        <w:spacing w:line="360" w:lineRule="auto"/>
        <w:ind w:firstLine="480" w:firstLineChars="200"/>
        <w:rPr>
          <w:rFonts w:ascii="宋体" w:hAnsi="宋体"/>
          <w:sz w:val="24"/>
        </w:rPr>
      </w:pPr>
      <w:r>
        <w:rPr>
          <w:rFonts w:hint="eastAsia" w:ascii="宋体" w:hAnsi="宋体"/>
          <w:sz w:val="24"/>
        </w:rPr>
        <w:t>基金管理人和基金托管人本着平等自愿、诚实信用、充分保护基金份额持有人合法权益的原则，经协商一致，签订本协议。</w:t>
      </w:r>
    </w:p>
    <w:p w14:paraId="1A4C8D09">
      <w:pPr>
        <w:spacing w:after="120" w:line="360" w:lineRule="auto"/>
        <w:ind w:firstLine="480" w:firstLineChars="200"/>
        <w:rPr>
          <w:rFonts w:ascii="宋体" w:hAnsi="宋体"/>
          <w:sz w:val="24"/>
        </w:rPr>
      </w:pPr>
      <w:r>
        <w:rPr>
          <w:rFonts w:hint="eastAsia" w:ascii="宋体" w:hAnsi="宋体"/>
          <w:sz w:val="24"/>
        </w:rPr>
        <w:t>除非本协议另有约定，本协议所使用的词语或简称与其在《基金合同》的释义部分具有相同含义。</w:t>
      </w:r>
    </w:p>
    <w:bookmarkEnd w:id="0"/>
    <w:bookmarkEnd w:id="1"/>
    <w:bookmarkEnd w:id="2"/>
    <w:bookmarkEnd w:id="3"/>
    <w:p w14:paraId="70FF68AF">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46" w:name="_Toc124749938"/>
      <w:bookmarkStart w:id="47" w:name="_Toc124749227"/>
      <w:bookmarkStart w:id="48" w:name="_Toc140002338"/>
      <w:bookmarkStart w:id="49" w:name="_Toc125361075"/>
      <w:r>
        <w:rPr>
          <w:rFonts w:hint="eastAsia" w:ascii="宋体" w:hAnsi="宋体" w:cs="Arial"/>
          <w:sz w:val="30"/>
        </w:rPr>
        <w:t>基金托管人对基金管理人的业务监督和核查</w:t>
      </w:r>
      <w:bookmarkEnd w:id="46"/>
      <w:bookmarkEnd w:id="47"/>
      <w:bookmarkEnd w:id="48"/>
      <w:bookmarkEnd w:id="49"/>
    </w:p>
    <w:p w14:paraId="652029DC">
      <w:pPr>
        <w:pStyle w:val="3"/>
        <w:keepNext w:val="0"/>
        <w:keepLines w:val="0"/>
        <w:autoSpaceDE w:val="0"/>
        <w:autoSpaceDN w:val="0"/>
        <w:adjustRightInd w:val="0"/>
        <w:spacing w:before="0" w:after="0" w:line="490" w:lineRule="exact"/>
        <w:ind w:firstLine="480" w:firstLineChars="200"/>
        <w:textAlignment w:val="baseline"/>
        <w:rPr>
          <w:rFonts w:ascii="宋体" w:hAnsi="宋体" w:eastAsia="宋体"/>
          <w:b w:val="0"/>
          <w:sz w:val="24"/>
          <w:szCs w:val="21"/>
        </w:rPr>
      </w:pPr>
      <w:r>
        <w:rPr>
          <w:rFonts w:hint="eastAsia" w:ascii="宋体" w:hAnsi="宋体" w:eastAsia="宋体"/>
          <w:b w:val="0"/>
          <w:sz w:val="24"/>
          <w:szCs w:val="21"/>
        </w:rPr>
        <w:t>（一）基金托管人对基金管理人的投资行为行使监督权</w:t>
      </w:r>
    </w:p>
    <w:p w14:paraId="03D852E7">
      <w:pPr>
        <w:spacing w:line="490" w:lineRule="exact"/>
        <w:ind w:firstLine="480" w:firstLineChars="200"/>
        <w:rPr>
          <w:rFonts w:ascii="宋体" w:hAnsi="宋体"/>
          <w:sz w:val="24"/>
        </w:rPr>
      </w:pPr>
      <w:r>
        <w:rPr>
          <w:rFonts w:hint="eastAsia" w:ascii="宋体" w:hAnsi="宋体"/>
          <w:sz w:val="24"/>
        </w:rPr>
        <w:t>1、基金托管人根据有关法律法规的规定和《基金合同》的约定，对下述基金投资范围、投资对象进行监督。</w:t>
      </w:r>
    </w:p>
    <w:p w14:paraId="42B546DF">
      <w:pPr>
        <w:spacing w:line="490" w:lineRule="exact"/>
        <w:ind w:firstLine="480" w:firstLineChars="200"/>
        <w:rPr>
          <w:rFonts w:ascii="宋体" w:hAnsi="宋体"/>
          <w:sz w:val="24"/>
        </w:rPr>
      </w:pPr>
      <w:r>
        <w:rPr>
          <w:rFonts w:hint="eastAsia" w:ascii="宋体" w:hAnsi="宋体"/>
          <w:sz w:val="24"/>
        </w:rPr>
        <w:t>本基金的投资范围为具有良好流动性的金融工具，以标的指数成份股及其备选成份股（含存托凭证，下同）为主要投资对象。为更好地实现投资目标，本基金还可投资于非成份股（包括主板、创业板、科创板以及其他经中国证监会允许发行上市的股票、存托凭证）、港股通标的股票、债券（包括国债、央行票据、金融债券、企业债券、公司债券、中期票据、短期融资券、超短期融资券、公开发行的次级债券、政府支持机构债券、政府支持债券、地方政府债券、可转换债券、可交换债券等）、资产支持证券、债券回购、银行存款（包括协议存款、定期存款、通知存款及其他银行存款）、同业存单、货币市场工具、股指期货、国债期货、股票期权以及法律法规或中国证监会允许基金投资的其他金融工具（但须符合中国证监会相关规定）。</w:t>
      </w:r>
    </w:p>
    <w:p w14:paraId="3A83D6AC">
      <w:pPr>
        <w:spacing w:line="490" w:lineRule="exact"/>
        <w:ind w:firstLine="480" w:firstLineChars="200"/>
        <w:rPr>
          <w:rFonts w:ascii="宋体" w:hAnsi="宋体"/>
          <w:sz w:val="24"/>
        </w:rPr>
      </w:pPr>
      <w:r>
        <w:rPr>
          <w:rFonts w:hint="eastAsia" w:ascii="宋体" w:hAnsi="宋体"/>
          <w:sz w:val="24"/>
        </w:rPr>
        <w:t>本基金可根据法律法规的规定参与融资、转融通证券出借业务。</w:t>
      </w:r>
    </w:p>
    <w:p w14:paraId="19AB8B30">
      <w:pPr>
        <w:spacing w:line="490" w:lineRule="exact"/>
        <w:ind w:firstLine="480" w:firstLineChars="200"/>
        <w:rPr>
          <w:rFonts w:ascii="宋体" w:hAnsi="宋体"/>
          <w:sz w:val="24"/>
        </w:rPr>
      </w:pPr>
      <w:r>
        <w:rPr>
          <w:rFonts w:hint="eastAsia" w:ascii="宋体" w:hAnsi="宋体"/>
          <w:sz w:val="24"/>
        </w:rPr>
        <w:t>如法律法规或监管机构以后允许基金投资其他品种，基金管理人在履行适当程序后，可以将其纳入投资范围。</w:t>
      </w:r>
    </w:p>
    <w:p w14:paraId="798019D7">
      <w:pPr>
        <w:spacing w:line="490" w:lineRule="exact"/>
        <w:ind w:firstLine="480" w:firstLineChars="200"/>
        <w:rPr>
          <w:rFonts w:ascii="宋体" w:hAnsi="宋体"/>
          <w:sz w:val="24"/>
        </w:rPr>
      </w:pPr>
      <w:r>
        <w:rPr>
          <w:rFonts w:hint="eastAsia" w:ascii="宋体" w:hAnsi="宋体"/>
          <w:sz w:val="24"/>
        </w:rPr>
        <w:t>2、基金托管人根据有关法律法规的规定及《基金合同》的约定对下述基金投融资比例进行监督：</w:t>
      </w:r>
    </w:p>
    <w:p w14:paraId="04130D3A">
      <w:pPr>
        <w:spacing w:line="490" w:lineRule="exact"/>
        <w:ind w:firstLine="480" w:firstLineChars="200"/>
        <w:rPr>
          <w:rFonts w:ascii="宋体" w:hAnsi="宋体"/>
          <w:sz w:val="24"/>
        </w:rPr>
      </w:pPr>
      <w:r>
        <w:rPr>
          <w:rFonts w:hint="eastAsia" w:ascii="宋体" w:hAnsi="宋体"/>
          <w:sz w:val="24"/>
        </w:rPr>
        <w:t>基金的投资组合比例为：本基金投资于股票资产的比例不低于基金资产的80%，其中投资于标的指数成份股及其备选成份股的资产不低于非现金基金资产的80%，投资于港股通标的股票不超过股票资产的50%；每个交易日日终在扣除股指期货、国债期货、股票期权合约需缴纳的交易保证金后，本基金持有的现金或者到期日在一年以内的政府债券不低于基金资产净值的5%，其中现金不包括结算备付金、存出保证金、应收申购款等。</w:t>
      </w:r>
    </w:p>
    <w:p w14:paraId="72D5BE83">
      <w:pPr>
        <w:spacing w:line="490" w:lineRule="exact"/>
        <w:ind w:firstLine="480" w:firstLineChars="200"/>
        <w:rPr>
          <w:rFonts w:ascii="宋体" w:hAnsi="宋体"/>
          <w:sz w:val="24"/>
        </w:rPr>
      </w:pPr>
      <w:r>
        <w:rPr>
          <w:rFonts w:hint="eastAsia" w:ascii="宋体" w:hAnsi="宋体"/>
          <w:sz w:val="24"/>
        </w:rPr>
        <w:t>如果法律法规或监管机构变更投资品种的投资比例限制，基金管理人在履行适当程序后，可以调整上述投资品种的投资比例。</w:t>
      </w:r>
    </w:p>
    <w:p w14:paraId="67FF7FD4">
      <w:pPr>
        <w:spacing w:line="490" w:lineRule="exact"/>
        <w:ind w:firstLine="480" w:firstLineChars="200"/>
        <w:rPr>
          <w:rFonts w:ascii="宋体" w:hAnsi="宋体"/>
          <w:sz w:val="24"/>
        </w:rPr>
      </w:pPr>
      <w:r>
        <w:rPr>
          <w:rFonts w:hint="eastAsia" w:ascii="宋体" w:hAnsi="宋体"/>
          <w:sz w:val="24"/>
        </w:rPr>
        <w:t>根据法律法规的规定及《基金合同》的约定，本基金投资组合遵循以下投资限制：</w:t>
      </w:r>
    </w:p>
    <w:p w14:paraId="23CB9CC4">
      <w:pPr>
        <w:spacing w:line="490" w:lineRule="exact"/>
        <w:ind w:firstLine="480" w:firstLineChars="200"/>
        <w:rPr>
          <w:rFonts w:ascii="宋体" w:hAnsi="宋体"/>
          <w:sz w:val="24"/>
        </w:rPr>
      </w:pPr>
      <w:r>
        <w:rPr>
          <w:rFonts w:hint="eastAsia" w:ascii="宋体" w:hAnsi="宋体"/>
          <w:sz w:val="24"/>
        </w:rPr>
        <w:t>（1）本基金投资于股票资产的比例不低于基金资产的80%，其中投资于标的指数成份股及其备选成份股的资产不低于非现金基金资产的80%，投资于港股通标的股票不超过股票资产的50%；</w:t>
      </w:r>
    </w:p>
    <w:p w14:paraId="22FF51A3">
      <w:pPr>
        <w:spacing w:line="490" w:lineRule="exact"/>
        <w:ind w:firstLine="480" w:firstLineChars="200"/>
        <w:rPr>
          <w:rFonts w:ascii="宋体" w:hAnsi="宋体"/>
          <w:sz w:val="24"/>
        </w:rPr>
      </w:pPr>
      <w:r>
        <w:rPr>
          <w:rFonts w:hint="eastAsia" w:ascii="宋体" w:hAnsi="宋体"/>
          <w:sz w:val="24"/>
        </w:rPr>
        <w:t xml:space="preserve">（2）每个交易日日终在扣除股指期货、国债期货、股票期权合约需缴纳的交易保证金后，本基金持有现金或到期日在一年以内的政府债券的投资比例不低于基金资产净值的5%，其中现金不包括结算备付金、存出保证金、应收申购款等； </w:t>
      </w:r>
    </w:p>
    <w:p w14:paraId="281D17BA">
      <w:pPr>
        <w:spacing w:line="490" w:lineRule="exact"/>
        <w:ind w:firstLine="480" w:firstLineChars="200"/>
        <w:rPr>
          <w:rFonts w:ascii="宋体" w:hAnsi="宋体"/>
          <w:sz w:val="24"/>
        </w:rPr>
      </w:pPr>
      <w:r>
        <w:rPr>
          <w:rFonts w:hint="eastAsia" w:ascii="宋体" w:hAnsi="宋体"/>
          <w:sz w:val="24"/>
        </w:rPr>
        <w:t>（3）本基金持有一家公司发行的证券（同一家公司在境内和香港同时上市的A+H股合计计算），其市值不超过基金资产净值的10%，完全按照有关指数的构成比例进行证券投资的基金品种可以不受此条款规定的比例限制；</w:t>
      </w:r>
    </w:p>
    <w:p w14:paraId="1252FC09">
      <w:pPr>
        <w:spacing w:line="490" w:lineRule="exact"/>
        <w:ind w:firstLine="480" w:firstLineChars="200"/>
        <w:rPr>
          <w:rFonts w:ascii="宋体" w:hAnsi="宋体"/>
          <w:sz w:val="24"/>
        </w:rPr>
      </w:pPr>
      <w:r>
        <w:rPr>
          <w:rFonts w:hint="eastAsia" w:ascii="宋体" w:hAnsi="宋体"/>
          <w:sz w:val="24"/>
        </w:rPr>
        <w:t>（4）本基金管理人管理的全部基金持有一家公司发行的证券（同一家公司在境内和香港同时上市的A+H股合计计算），不超过该证券的10%，完全按照有关指数的构成比例进行证券投资的基金品种可以不受此条款规定的比例限制；</w:t>
      </w:r>
    </w:p>
    <w:p w14:paraId="012BADD2">
      <w:pPr>
        <w:spacing w:line="490" w:lineRule="exact"/>
        <w:ind w:firstLine="480" w:firstLineChars="200"/>
        <w:rPr>
          <w:rFonts w:ascii="宋体" w:hAnsi="宋体"/>
          <w:sz w:val="24"/>
        </w:rPr>
      </w:pPr>
      <w:r>
        <w:rPr>
          <w:rFonts w:hint="eastAsia" w:ascii="宋体" w:hAnsi="宋体"/>
          <w:sz w:val="24"/>
        </w:rPr>
        <w:t>（5）本基金投资于同一原始权益人的各类资产支持证券的比例，不得超过基金资产净值的10%；</w:t>
      </w:r>
    </w:p>
    <w:p w14:paraId="639E8403">
      <w:pPr>
        <w:spacing w:line="490" w:lineRule="exact"/>
        <w:ind w:firstLine="480" w:firstLineChars="200"/>
        <w:rPr>
          <w:rFonts w:ascii="宋体" w:hAnsi="宋体"/>
          <w:sz w:val="24"/>
        </w:rPr>
      </w:pPr>
      <w:r>
        <w:rPr>
          <w:rFonts w:hint="eastAsia" w:ascii="宋体" w:hAnsi="宋体"/>
          <w:sz w:val="24"/>
        </w:rPr>
        <w:t>（6）本基金持有的全部资产支持证券，其市值不得超过基金资产净值的20%；</w:t>
      </w:r>
    </w:p>
    <w:p w14:paraId="5932C013">
      <w:pPr>
        <w:spacing w:line="490" w:lineRule="exact"/>
        <w:ind w:firstLine="480" w:firstLineChars="200"/>
        <w:rPr>
          <w:rFonts w:ascii="宋体" w:hAnsi="宋体"/>
          <w:sz w:val="24"/>
        </w:rPr>
      </w:pPr>
      <w:r>
        <w:rPr>
          <w:rFonts w:hint="eastAsia" w:ascii="宋体" w:hAnsi="宋体"/>
          <w:sz w:val="24"/>
        </w:rPr>
        <w:t>（7）本基金持有的同一（指同一信用级别）资产支持证券的比例，不得超过该资产支持证券规模的10%；</w:t>
      </w:r>
    </w:p>
    <w:p w14:paraId="383E78BA">
      <w:pPr>
        <w:spacing w:line="490" w:lineRule="exact"/>
        <w:ind w:firstLine="480" w:firstLineChars="200"/>
        <w:rPr>
          <w:rFonts w:ascii="宋体" w:hAnsi="宋体"/>
          <w:sz w:val="24"/>
        </w:rPr>
      </w:pPr>
      <w:r>
        <w:rPr>
          <w:rFonts w:hint="eastAsia" w:ascii="宋体" w:hAnsi="宋体"/>
          <w:sz w:val="24"/>
        </w:rPr>
        <w:t>（8）本基金管理人管理的全部基金投资于同一原始权益人的各类资产支持证券，不得超过其各类资产支持证券合计规模的10%；</w:t>
      </w:r>
    </w:p>
    <w:p w14:paraId="5E8B79EA">
      <w:pPr>
        <w:spacing w:line="490" w:lineRule="exact"/>
        <w:ind w:firstLine="480" w:firstLineChars="200"/>
        <w:rPr>
          <w:rFonts w:ascii="宋体" w:hAnsi="宋体"/>
          <w:sz w:val="24"/>
        </w:rPr>
      </w:pPr>
      <w:r>
        <w:rPr>
          <w:rFonts w:hint="eastAsia" w:ascii="宋体" w:hAnsi="宋体"/>
          <w:sz w:val="24"/>
        </w:rPr>
        <w:t>（9）本基金应投资于信用级别评级为BBB以上（含BBB）的资产支持证券。基金持有资产支持证券期间，如果其信用等级下降、不再符合投资标准，应在评级报告发布之日起3个月内予以全部卖出；</w:t>
      </w:r>
    </w:p>
    <w:p w14:paraId="5AE6FF20">
      <w:pPr>
        <w:spacing w:line="490" w:lineRule="exact"/>
        <w:ind w:firstLine="480" w:firstLineChars="200"/>
        <w:rPr>
          <w:rFonts w:ascii="宋体" w:hAnsi="宋体"/>
          <w:sz w:val="24"/>
        </w:rPr>
      </w:pPr>
      <w:r>
        <w:rPr>
          <w:rFonts w:hint="eastAsia" w:ascii="宋体" w:hAnsi="宋体"/>
          <w:sz w:val="24"/>
        </w:rPr>
        <w:t>（10）基金财产参与股票发行申购，本基金所申报的金额不超过本基金的总资产，本基金所申报的股票数量不超过拟发行股票公司本次发行股票的总量；</w:t>
      </w:r>
    </w:p>
    <w:p w14:paraId="5AE665EF">
      <w:pPr>
        <w:spacing w:line="490" w:lineRule="exact"/>
        <w:ind w:firstLine="480" w:firstLineChars="200"/>
        <w:rPr>
          <w:rFonts w:ascii="宋体" w:hAnsi="宋体"/>
          <w:sz w:val="24"/>
        </w:rPr>
      </w:pPr>
      <w:r>
        <w:rPr>
          <w:rFonts w:hint="eastAsia" w:ascii="宋体" w:hAnsi="宋体"/>
          <w:sz w:val="24"/>
        </w:rPr>
        <w:t>（11）本基金总资产不得超过基金净资产的140%；</w:t>
      </w:r>
    </w:p>
    <w:p w14:paraId="085D5837">
      <w:pPr>
        <w:spacing w:line="490" w:lineRule="exact"/>
        <w:ind w:firstLine="480" w:firstLineChars="200"/>
        <w:rPr>
          <w:rFonts w:ascii="宋体" w:hAnsi="宋体"/>
          <w:sz w:val="24"/>
        </w:rPr>
      </w:pPr>
      <w:r>
        <w:rPr>
          <w:rFonts w:hint="eastAsia" w:ascii="宋体" w:hAnsi="宋体"/>
          <w:sz w:val="24"/>
        </w:rPr>
        <w:t>（12）本基金参与股指期货、国债期货交易，应遵循下列限制：</w:t>
      </w:r>
    </w:p>
    <w:p w14:paraId="2AD2B916">
      <w:pPr>
        <w:spacing w:line="490" w:lineRule="exact"/>
        <w:ind w:firstLine="480" w:firstLineChars="200"/>
        <w:rPr>
          <w:rFonts w:ascii="宋体" w:hAnsi="宋体"/>
          <w:sz w:val="24"/>
        </w:rPr>
      </w:pPr>
      <w:r>
        <w:rPr>
          <w:rFonts w:hint="eastAsia" w:ascii="宋体" w:hAnsi="宋体"/>
          <w:sz w:val="24"/>
        </w:rPr>
        <w:t>1）基金在任何交易日日终，持有的买入股指期货合约价值，不得超过基金资产净值的10%；</w:t>
      </w:r>
    </w:p>
    <w:p w14:paraId="38428109">
      <w:pPr>
        <w:spacing w:line="490" w:lineRule="exact"/>
        <w:ind w:firstLine="480" w:firstLineChars="200"/>
        <w:rPr>
          <w:rFonts w:ascii="宋体" w:hAnsi="宋体"/>
          <w:sz w:val="24"/>
        </w:rPr>
      </w:pPr>
      <w:r>
        <w:rPr>
          <w:rFonts w:hint="eastAsia" w:ascii="宋体" w:hAnsi="宋体"/>
          <w:sz w:val="24"/>
        </w:rPr>
        <w:t>2）基金在任何交易日日终，持有的卖出股指期货合约价值不得超过基金持有的股票总市值的20%；</w:t>
      </w:r>
    </w:p>
    <w:p w14:paraId="79F49D64">
      <w:pPr>
        <w:spacing w:line="490" w:lineRule="exact"/>
        <w:ind w:firstLine="480" w:firstLineChars="200"/>
        <w:rPr>
          <w:rFonts w:ascii="宋体" w:hAnsi="宋体"/>
          <w:sz w:val="24"/>
        </w:rPr>
      </w:pPr>
      <w:r>
        <w:rPr>
          <w:rFonts w:hint="eastAsia" w:ascii="宋体" w:hAnsi="宋体"/>
          <w:sz w:val="24"/>
        </w:rPr>
        <w:t>3）基金在任何交易日内交易（不包括平仓）的股指期货合约的成交金额不得超过上一交易日基金资产净值的20%；基金所持有的股票市值和买入、卖出股指期货合约价值，合计（轧差计算）应当符合基金合同关于股票投资比例的有关约定；</w:t>
      </w:r>
    </w:p>
    <w:p w14:paraId="6849AA91">
      <w:pPr>
        <w:spacing w:line="490" w:lineRule="exact"/>
        <w:ind w:firstLine="480" w:firstLineChars="200"/>
        <w:rPr>
          <w:rFonts w:ascii="宋体" w:hAnsi="宋体"/>
          <w:sz w:val="24"/>
        </w:rPr>
      </w:pPr>
      <w:r>
        <w:rPr>
          <w:rFonts w:hint="eastAsia" w:ascii="宋体" w:hAnsi="宋体"/>
          <w:sz w:val="24"/>
        </w:rPr>
        <w:t>4）基金在任何交易日日终，持有的买入国债期货合约价值，不得超过基金资产净值的15%；</w:t>
      </w:r>
    </w:p>
    <w:p w14:paraId="34643D9C">
      <w:pPr>
        <w:spacing w:line="490" w:lineRule="exact"/>
        <w:ind w:firstLine="480" w:firstLineChars="200"/>
        <w:rPr>
          <w:rFonts w:ascii="宋体" w:hAnsi="宋体"/>
          <w:sz w:val="24"/>
        </w:rPr>
      </w:pPr>
      <w:r>
        <w:rPr>
          <w:rFonts w:hint="eastAsia" w:ascii="宋体" w:hAnsi="宋体"/>
          <w:sz w:val="24"/>
        </w:rPr>
        <w:t>5）基金在任何交易日日终，持有的卖出国债期货合约价值不得超过基金持有的债券总市值的30%；</w:t>
      </w:r>
    </w:p>
    <w:p w14:paraId="1CDF404B">
      <w:pPr>
        <w:spacing w:line="490" w:lineRule="exact"/>
        <w:ind w:firstLine="480" w:firstLineChars="200"/>
        <w:rPr>
          <w:rFonts w:ascii="宋体" w:hAnsi="宋体"/>
          <w:sz w:val="24"/>
        </w:rPr>
      </w:pPr>
      <w:r>
        <w:rPr>
          <w:rFonts w:hint="eastAsia" w:ascii="宋体" w:hAnsi="宋体"/>
          <w:sz w:val="24"/>
        </w:rPr>
        <w:t>6）基金在任何交易日内交易（不包括平仓）的国债期货合约的成交金额不得超过上一交易日基金资产净值的30%；基金所持有的债券（不含到期日在一年以内的政府债券）市值和买入、卖出国债期货合约价值，合计（轧差计算）应当符合基金合同关于债券投资比例的有关约定；</w:t>
      </w:r>
    </w:p>
    <w:p w14:paraId="244560B6">
      <w:pPr>
        <w:spacing w:line="490" w:lineRule="exact"/>
        <w:ind w:firstLine="480" w:firstLineChars="200"/>
        <w:rPr>
          <w:rFonts w:ascii="宋体" w:hAnsi="宋体"/>
          <w:sz w:val="24"/>
        </w:rPr>
      </w:pPr>
      <w:r>
        <w:rPr>
          <w:rFonts w:hint="eastAsia" w:ascii="宋体" w:hAnsi="宋体"/>
          <w:sz w:val="24"/>
        </w:rPr>
        <w:t>7）在任何交易日日终，本基金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54790518">
      <w:pPr>
        <w:spacing w:line="490" w:lineRule="exact"/>
        <w:ind w:firstLine="480" w:firstLineChars="200"/>
        <w:rPr>
          <w:rFonts w:ascii="宋体" w:hAnsi="宋体"/>
          <w:sz w:val="24"/>
        </w:rPr>
      </w:pPr>
      <w:r>
        <w:rPr>
          <w:rFonts w:hint="eastAsia" w:ascii="宋体" w:hAnsi="宋体"/>
          <w:sz w:val="24"/>
        </w:rPr>
        <w:t>（13）本基金参与股票期权交易，应遵循下列限制：</w:t>
      </w:r>
    </w:p>
    <w:p w14:paraId="314025DF">
      <w:pPr>
        <w:spacing w:line="490" w:lineRule="exact"/>
        <w:ind w:firstLine="480" w:firstLineChars="200"/>
        <w:rPr>
          <w:rFonts w:ascii="宋体" w:hAnsi="宋体"/>
          <w:sz w:val="24"/>
        </w:rPr>
      </w:pPr>
      <w:r>
        <w:rPr>
          <w:rFonts w:hint="eastAsia" w:ascii="宋体" w:hAnsi="宋体"/>
          <w:sz w:val="24"/>
        </w:rPr>
        <w:t>1）因未平仓的股票期权合约支付和收取的权利金总额不得超过基金资产净值的10%；</w:t>
      </w:r>
    </w:p>
    <w:p w14:paraId="4A82EF7D">
      <w:pPr>
        <w:spacing w:line="490" w:lineRule="exact"/>
        <w:ind w:firstLine="480" w:firstLineChars="200"/>
        <w:rPr>
          <w:rFonts w:ascii="宋体" w:hAnsi="宋体"/>
          <w:sz w:val="24"/>
        </w:rPr>
      </w:pPr>
      <w:r>
        <w:rPr>
          <w:rFonts w:hint="eastAsia" w:ascii="宋体" w:hAnsi="宋体"/>
          <w:sz w:val="24"/>
        </w:rPr>
        <w:t>2）开仓卖出认购期权的，应持有足额标的证券；开仓卖出认沽期权的，应持有合约行权所需的全额现金或交易所规则认可的可冲抵股票期权保证金的现金等价物；</w:t>
      </w:r>
    </w:p>
    <w:p w14:paraId="155C488F">
      <w:pPr>
        <w:spacing w:line="490" w:lineRule="exact"/>
        <w:ind w:firstLine="480" w:firstLineChars="200"/>
        <w:rPr>
          <w:rFonts w:ascii="宋体" w:hAnsi="宋体"/>
          <w:sz w:val="24"/>
        </w:rPr>
      </w:pPr>
      <w:r>
        <w:rPr>
          <w:rFonts w:hint="eastAsia" w:ascii="宋体" w:hAnsi="宋体"/>
          <w:sz w:val="24"/>
        </w:rPr>
        <w:t>3）未平仓的期权合约面值不得超过基金资产净值的20%。其中，合约面值按照行权价乘以合约乘数计算；</w:t>
      </w:r>
    </w:p>
    <w:p w14:paraId="0A080193">
      <w:pPr>
        <w:spacing w:line="490" w:lineRule="exact"/>
        <w:ind w:firstLine="480" w:firstLineChars="200"/>
        <w:rPr>
          <w:rFonts w:ascii="宋体" w:hAnsi="宋体"/>
          <w:sz w:val="24"/>
        </w:rPr>
      </w:pPr>
      <w:r>
        <w:rPr>
          <w:rFonts w:hint="eastAsia" w:ascii="宋体" w:hAnsi="宋体"/>
          <w:sz w:val="24"/>
        </w:rPr>
        <w:t>4）基金投资股票期权应符合基金合同约定的比例限制（如股票仓位、个股占比等）、投资目标和风险收益特征；</w:t>
      </w:r>
    </w:p>
    <w:p w14:paraId="73A372A2">
      <w:pPr>
        <w:spacing w:line="490" w:lineRule="exact"/>
        <w:ind w:firstLine="480" w:firstLineChars="200"/>
        <w:rPr>
          <w:rFonts w:ascii="宋体" w:hAnsi="宋体"/>
          <w:sz w:val="24"/>
        </w:rPr>
      </w:pPr>
      <w:r>
        <w:rPr>
          <w:rFonts w:hint="eastAsia" w:ascii="宋体" w:hAnsi="宋体"/>
          <w:sz w:val="24"/>
        </w:rPr>
        <w:t>（14）本基金参与转融通证券出借业务，需遵循下述比例限制：</w:t>
      </w:r>
    </w:p>
    <w:p w14:paraId="3536A515">
      <w:pPr>
        <w:spacing w:line="490" w:lineRule="exact"/>
        <w:ind w:firstLine="480" w:firstLineChars="200"/>
        <w:rPr>
          <w:rFonts w:ascii="宋体" w:hAnsi="宋体"/>
          <w:sz w:val="24"/>
        </w:rPr>
      </w:pPr>
      <w:r>
        <w:rPr>
          <w:rFonts w:hint="eastAsia" w:ascii="宋体" w:hAnsi="宋体"/>
          <w:sz w:val="24"/>
        </w:rPr>
        <w:t>1）出借证券资产不得超过基金资产净值的30%，出借期限在10个交易日以上的出借证券应纳入《流动性风险管理规定》所述流动性受限证券的范围；</w:t>
      </w:r>
    </w:p>
    <w:p w14:paraId="7991C380">
      <w:pPr>
        <w:spacing w:line="490" w:lineRule="exact"/>
        <w:ind w:firstLine="480" w:firstLineChars="200"/>
        <w:rPr>
          <w:rFonts w:ascii="宋体" w:hAnsi="宋体"/>
          <w:sz w:val="24"/>
        </w:rPr>
      </w:pPr>
      <w:r>
        <w:rPr>
          <w:rFonts w:hint="eastAsia" w:ascii="宋体" w:hAnsi="宋体"/>
          <w:sz w:val="24"/>
        </w:rPr>
        <w:t>2）参与出借业务的单只证券不得超过本基金持有该证券总量的50%；</w:t>
      </w:r>
    </w:p>
    <w:p w14:paraId="46BCD4E1">
      <w:pPr>
        <w:spacing w:line="490" w:lineRule="exact"/>
        <w:ind w:firstLine="480" w:firstLineChars="200"/>
        <w:rPr>
          <w:rFonts w:ascii="宋体" w:hAnsi="宋体"/>
          <w:sz w:val="24"/>
        </w:rPr>
      </w:pPr>
      <w:r>
        <w:rPr>
          <w:rFonts w:hint="eastAsia" w:ascii="宋体" w:hAnsi="宋体"/>
          <w:sz w:val="24"/>
        </w:rPr>
        <w:t>3）最近6个月内日均基金资产净值不得低于2亿元；</w:t>
      </w:r>
    </w:p>
    <w:p w14:paraId="587BBDAF">
      <w:pPr>
        <w:spacing w:line="490" w:lineRule="exact"/>
        <w:ind w:firstLine="480" w:firstLineChars="200"/>
        <w:rPr>
          <w:rFonts w:ascii="宋体" w:hAnsi="宋体"/>
          <w:sz w:val="24"/>
        </w:rPr>
      </w:pPr>
      <w:r>
        <w:rPr>
          <w:rFonts w:hint="eastAsia" w:ascii="宋体" w:hAnsi="宋体"/>
          <w:sz w:val="24"/>
        </w:rPr>
        <w:t>4）证券出借的平均剩余期限不得超过30天，平均剩余期限按照市值加权平均计算；</w:t>
      </w:r>
    </w:p>
    <w:p w14:paraId="4489E68C">
      <w:pPr>
        <w:spacing w:line="490" w:lineRule="exact"/>
        <w:ind w:firstLine="480" w:firstLineChars="200"/>
        <w:rPr>
          <w:rFonts w:ascii="宋体" w:hAnsi="宋体"/>
          <w:sz w:val="24"/>
        </w:rPr>
      </w:pPr>
      <w:r>
        <w:rPr>
          <w:rFonts w:hint="eastAsia" w:ascii="宋体" w:hAnsi="宋体"/>
          <w:sz w:val="24"/>
        </w:rPr>
        <w:t>因证券市场波动、证券发行人合并、基金规模变动等基金管理人之外的因素致使基金投资不符合上述规定的，基金管理人不得新增出借业务；</w:t>
      </w:r>
    </w:p>
    <w:p w14:paraId="4AC33AAB">
      <w:pPr>
        <w:spacing w:line="490" w:lineRule="exact"/>
        <w:ind w:firstLine="480" w:firstLineChars="200"/>
        <w:rPr>
          <w:rFonts w:ascii="宋体" w:hAnsi="宋体"/>
          <w:sz w:val="24"/>
        </w:rPr>
      </w:pPr>
      <w:r>
        <w:rPr>
          <w:rFonts w:hint="eastAsia" w:ascii="宋体" w:hAnsi="宋体"/>
          <w:sz w:val="24"/>
        </w:rPr>
        <w:t>（15）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监会认定特殊组合可不受前述比例限制；</w:t>
      </w:r>
    </w:p>
    <w:p w14:paraId="77315FCE">
      <w:pPr>
        <w:spacing w:line="490" w:lineRule="exact"/>
        <w:ind w:firstLine="480" w:firstLineChars="200"/>
        <w:rPr>
          <w:rFonts w:ascii="宋体" w:hAnsi="宋体"/>
          <w:sz w:val="24"/>
        </w:rPr>
      </w:pPr>
      <w:r>
        <w:rPr>
          <w:rFonts w:hint="eastAsia" w:ascii="宋体" w:hAnsi="宋体"/>
          <w:sz w:val="24"/>
        </w:rPr>
        <w:t>（16）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2CFD5CAC">
      <w:pPr>
        <w:spacing w:line="490" w:lineRule="exact"/>
        <w:ind w:firstLine="480" w:firstLineChars="200"/>
        <w:rPr>
          <w:rFonts w:ascii="宋体" w:hAnsi="宋体"/>
          <w:sz w:val="24"/>
        </w:rPr>
      </w:pPr>
      <w:r>
        <w:rPr>
          <w:rFonts w:hint="eastAsia" w:ascii="宋体" w:hAnsi="宋体"/>
          <w:sz w:val="24"/>
        </w:rPr>
        <w:t>（17）本基金与私募类证券资管产品及中国证监会认定的其他主体为交易对手开展逆回购交易的，可接受质押品的资质要求应当与基金合同约定的投资范围保持一致；</w:t>
      </w:r>
    </w:p>
    <w:p w14:paraId="07F7B9D5">
      <w:pPr>
        <w:spacing w:line="490" w:lineRule="exact"/>
        <w:ind w:firstLine="480" w:firstLineChars="200"/>
        <w:rPr>
          <w:rFonts w:ascii="宋体" w:hAnsi="宋体"/>
          <w:sz w:val="24"/>
        </w:rPr>
      </w:pPr>
      <w:r>
        <w:rPr>
          <w:rFonts w:hint="eastAsia" w:ascii="宋体" w:hAnsi="宋体"/>
          <w:sz w:val="24"/>
        </w:rPr>
        <w:t>（18）本基金参与融资业务后，在任何交易日日终，本基金持有的融资买入股票与其他有价证券市值之和，不得超过基金资产净值的95%；</w:t>
      </w:r>
    </w:p>
    <w:p w14:paraId="74E0F9A2">
      <w:pPr>
        <w:spacing w:line="490" w:lineRule="exact"/>
        <w:ind w:firstLine="480" w:firstLineChars="200"/>
        <w:rPr>
          <w:rFonts w:ascii="宋体" w:hAnsi="宋体"/>
          <w:sz w:val="24"/>
        </w:rPr>
      </w:pPr>
      <w:r>
        <w:rPr>
          <w:rFonts w:hint="eastAsia" w:ascii="宋体" w:hAnsi="宋体"/>
          <w:sz w:val="24"/>
        </w:rPr>
        <w:t>（19）本基金投资存托凭证的比例限制依照境内上市交易的股票执行，与境内上市交易的股票合并计算；</w:t>
      </w:r>
    </w:p>
    <w:p w14:paraId="5BDDE747">
      <w:pPr>
        <w:spacing w:line="490" w:lineRule="exact"/>
        <w:ind w:firstLine="480" w:firstLineChars="200"/>
        <w:rPr>
          <w:rFonts w:ascii="宋体" w:hAnsi="宋体"/>
          <w:sz w:val="24"/>
        </w:rPr>
      </w:pPr>
      <w:r>
        <w:rPr>
          <w:rFonts w:hint="eastAsia" w:ascii="宋体" w:hAnsi="宋体"/>
          <w:sz w:val="24"/>
        </w:rPr>
        <w:t>（20）法律法规及中国证监会规定的和《基金合同》约定的其他投资限制。</w:t>
      </w:r>
    </w:p>
    <w:p w14:paraId="781FCCF2">
      <w:pPr>
        <w:spacing w:line="490" w:lineRule="exact"/>
        <w:ind w:firstLine="480" w:firstLineChars="200"/>
        <w:rPr>
          <w:rFonts w:ascii="宋体" w:hAnsi="宋体"/>
          <w:sz w:val="24"/>
        </w:rPr>
      </w:pPr>
      <w:r>
        <w:rPr>
          <w:rFonts w:hint="eastAsia" w:ascii="宋体" w:hAnsi="宋体"/>
          <w:sz w:val="24"/>
        </w:rPr>
        <w:t>除第（2）、（9）、（14）、（16）、（17）项外，因证券、期货市场波动、证券发行人合并、基金规模变动、标的指数成份股调整、标的指数成份股流动性限制等基金管理人之外的因素致使基金投资比例不符合上述规定投资比例的，基金管理人应当在10个交易日内进行调整，但中国证监会规定的特殊情形除外。法律法规另有规定的，从其规定。</w:t>
      </w:r>
    </w:p>
    <w:p w14:paraId="5989D0E3">
      <w:pPr>
        <w:spacing w:line="490" w:lineRule="exact"/>
        <w:ind w:firstLine="480" w:firstLineChars="200"/>
        <w:rPr>
          <w:rFonts w:ascii="宋体" w:hAnsi="宋体"/>
          <w:sz w:val="24"/>
        </w:rPr>
      </w:pPr>
      <w:r>
        <w:rPr>
          <w:rFonts w:hint="eastAsia" w:ascii="宋体" w:hAnsi="宋体"/>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41A1CB4">
      <w:pPr>
        <w:spacing w:line="490" w:lineRule="exact"/>
        <w:ind w:firstLine="480" w:firstLineChars="200"/>
        <w:rPr>
          <w:rFonts w:ascii="宋体" w:hAnsi="宋体"/>
          <w:sz w:val="24"/>
        </w:rPr>
      </w:pPr>
      <w:r>
        <w:rPr>
          <w:rFonts w:hint="eastAsia" w:ascii="宋体" w:hAnsi="宋体"/>
          <w:sz w:val="24"/>
        </w:rPr>
        <w:t>法律法规或监管部门取消或修改上述限制，如适用于本基金，基金管理人在履行适当程序后，本基金投资所受限制相应取消或调整，基金管理人应及时在规定媒介公告。</w:t>
      </w:r>
    </w:p>
    <w:p w14:paraId="56D98D99">
      <w:pPr>
        <w:spacing w:line="360" w:lineRule="auto"/>
        <w:ind w:firstLine="480" w:firstLineChars="200"/>
        <w:rPr>
          <w:rFonts w:ascii="宋体" w:hAnsi="宋体"/>
          <w:sz w:val="24"/>
          <w:szCs w:val="21"/>
        </w:rPr>
      </w:pPr>
      <w:r>
        <w:rPr>
          <w:rFonts w:hint="eastAsia" w:ascii="宋体" w:hAnsi="宋体"/>
          <w:sz w:val="24"/>
          <w:szCs w:val="21"/>
        </w:rPr>
        <w:t>3、基金托管人根据有关法律法规的规定及《基金合同》的约定对下述基金投资禁止行为进行监督：</w:t>
      </w:r>
    </w:p>
    <w:p w14:paraId="5E55584A">
      <w:pPr>
        <w:spacing w:line="360" w:lineRule="auto"/>
        <w:ind w:firstLine="480" w:firstLineChars="200"/>
        <w:rPr>
          <w:rFonts w:ascii="宋体" w:hAnsi="宋体"/>
          <w:sz w:val="24"/>
        </w:rPr>
      </w:pPr>
      <w:r>
        <w:rPr>
          <w:rFonts w:hint="eastAsia" w:ascii="宋体" w:hAnsi="宋体"/>
          <w:sz w:val="24"/>
        </w:rPr>
        <w:t>根据法律法规的规定及《基金合同》的约定，本基金禁止从事下列行为：</w:t>
      </w:r>
    </w:p>
    <w:p w14:paraId="2869AA6D">
      <w:pPr>
        <w:spacing w:line="360" w:lineRule="auto"/>
        <w:ind w:firstLine="480" w:firstLineChars="200"/>
        <w:rPr>
          <w:rFonts w:ascii="宋体" w:hAnsi="宋体"/>
          <w:sz w:val="24"/>
        </w:rPr>
      </w:pPr>
      <w:r>
        <w:rPr>
          <w:rFonts w:hint="eastAsia" w:ascii="宋体" w:hAnsi="宋体"/>
          <w:sz w:val="24"/>
        </w:rPr>
        <w:t>（1）承销证券；</w:t>
      </w:r>
    </w:p>
    <w:p w14:paraId="344328F4">
      <w:pPr>
        <w:spacing w:line="360" w:lineRule="auto"/>
        <w:ind w:firstLine="480" w:firstLineChars="200"/>
        <w:rPr>
          <w:rFonts w:ascii="宋体" w:hAnsi="宋体"/>
          <w:sz w:val="24"/>
        </w:rPr>
      </w:pPr>
      <w:r>
        <w:rPr>
          <w:rFonts w:hint="eastAsia" w:ascii="宋体" w:hAnsi="宋体"/>
          <w:sz w:val="24"/>
        </w:rPr>
        <w:t>（2）违反规定向他人贷款或者提供担保；</w:t>
      </w:r>
    </w:p>
    <w:p w14:paraId="11087488">
      <w:pPr>
        <w:spacing w:line="360" w:lineRule="auto"/>
        <w:ind w:firstLine="480" w:firstLineChars="200"/>
        <w:rPr>
          <w:rFonts w:ascii="宋体" w:hAnsi="宋体"/>
          <w:sz w:val="24"/>
        </w:rPr>
      </w:pPr>
      <w:r>
        <w:rPr>
          <w:rFonts w:hint="eastAsia" w:ascii="宋体" w:hAnsi="宋体"/>
          <w:sz w:val="24"/>
        </w:rPr>
        <w:t>（3）从事承担无限责任的投资；</w:t>
      </w:r>
    </w:p>
    <w:p w14:paraId="5D6D3675">
      <w:pPr>
        <w:spacing w:line="360" w:lineRule="auto"/>
        <w:ind w:firstLine="480" w:firstLineChars="200"/>
        <w:rPr>
          <w:rFonts w:ascii="宋体" w:hAnsi="宋体"/>
          <w:sz w:val="24"/>
        </w:rPr>
      </w:pPr>
      <w:r>
        <w:rPr>
          <w:rFonts w:hint="eastAsia" w:ascii="宋体" w:hAnsi="宋体"/>
          <w:sz w:val="24"/>
        </w:rPr>
        <w:t>（4）买卖其他基金份额，但是中国证监会另有规定的除外；</w:t>
      </w:r>
    </w:p>
    <w:p w14:paraId="4AB66D19">
      <w:pPr>
        <w:spacing w:line="360" w:lineRule="auto"/>
        <w:ind w:firstLine="480" w:firstLineChars="200"/>
        <w:rPr>
          <w:rFonts w:ascii="宋体" w:hAnsi="宋体"/>
          <w:sz w:val="24"/>
        </w:rPr>
      </w:pPr>
      <w:r>
        <w:rPr>
          <w:rFonts w:hint="eastAsia" w:ascii="宋体" w:hAnsi="宋体"/>
          <w:sz w:val="24"/>
        </w:rPr>
        <w:t>（5）向其基金管理人、基金托管人出资；</w:t>
      </w:r>
    </w:p>
    <w:p w14:paraId="5CAB1613">
      <w:pPr>
        <w:spacing w:line="360" w:lineRule="auto"/>
        <w:ind w:firstLine="480" w:firstLineChars="200"/>
        <w:rPr>
          <w:rFonts w:ascii="宋体" w:hAnsi="宋体"/>
          <w:sz w:val="24"/>
        </w:rPr>
      </w:pPr>
      <w:r>
        <w:rPr>
          <w:rFonts w:hint="eastAsia" w:ascii="宋体" w:hAnsi="宋体"/>
          <w:sz w:val="24"/>
        </w:rPr>
        <w:t>（6）从事内幕交易、操纵证券交易价格及其他不正当的证券交易活动；</w:t>
      </w:r>
    </w:p>
    <w:p w14:paraId="7A4B1FFF">
      <w:pPr>
        <w:spacing w:line="360" w:lineRule="auto"/>
        <w:ind w:firstLine="480" w:firstLineChars="200"/>
        <w:rPr>
          <w:rFonts w:ascii="宋体" w:hAnsi="宋体"/>
          <w:sz w:val="24"/>
        </w:rPr>
      </w:pPr>
      <w:r>
        <w:rPr>
          <w:rFonts w:hint="eastAsia" w:ascii="宋体" w:hAnsi="宋体"/>
          <w:sz w:val="24"/>
        </w:rPr>
        <w:t>（7）法律、行政法规和中国证监会规定禁止的其他活动。</w:t>
      </w:r>
    </w:p>
    <w:p w14:paraId="0B879D69">
      <w:pPr>
        <w:spacing w:line="360" w:lineRule="auto"/>
        <w:ind w:firstLine="480" w:firstLineChars="200"/>
        <w:rPr>
          <w:rFonts w:ascii="宋体" w:hAnsi="宋体"/>
          <w:sz w:val="24"/>
        </w:rPr>
      </w:pPr>
      <w:r>
        <w:rPr>
          <w:rFonts w:hint="eastAsia" w:ascii="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F311ADD">
      <w:pPr>
        <w:spacing w:line="360" w:lineRule="auto"/>
        <w:ind w:firstLine="480" w:firstLineChars="200"/>
        <w:rPr>
          <w:bCs/>
          <w:sz w:val="24"/>
        </w:rPr>
      </w:pPr>
      <w:r>
        <w:rPr>
          <w:rFonts w:hint="eastAsia" w:ascii="宋体" w:hAnsi="宋体"/>
          <w:sz w:val="24"/>
        </w:rPr>
        <w:t>法律、行政法规或监管部门取消上述禁止性规定，如适用于本基金，基金管理人在履行适当程序后，本基金可不受上述规定的限制。</w:t>
      </w:r>
    </w:p>
    <w:p w14:paraId="538655FA">
      <w:pPr>
        <w:spacing w:line="360" w:lineRule="auto"/>
        <w:ind w:firstLine="480" w:firstLineChars="200"/>
        <w:rPr>
          <w:rFonts w:ascii="宋体" w:hAnsi="宋体"/>
          <w:sz w:val="24"/>
        </w:rPr>
      </w:pPr>
      <w:r>
        <w:rPr>
          <w:rFonts w:ascii="宋体" w:hAnsi="宋体"/>
          <w:sz w:val="24"/>
        </w:rPr>
        <w:t>4</w:t>
      </w:r>
      <w:r>
        <w:rPr>
          <w:rFonts w:hint="eastAsia" w:ascii="宋体" w:hAnsi="宋体"/>
          <w:sz w:val="24"/>
        </w:rPr>
        <w:t>、基金托管人依据以下约定对基金管理人参与银行间债券市场投资进行监督。</w:t>
      </w:r>
    </w:p>
    <w:p w14:paraId="20F79AB0">
      <w:pPr>
        <w:spacing w:line="360" w:lineRule="auto"/>
        <w:ind w:firstLine="480" w:firstLineChars="200"/>
        <w:rPr>
          <w:rFonts w:ascii="宋体" w:hAnsi="宋体"/>
          <w:sz w:val="24"/>
        </w:rPr>
      </w:pPr>
      <w:r>
        <w:rPr>
          <w:rFonts w:hint="eastAsia" w:ascii="宋体" w:hAnsi="宋体"/>
          <w:sz w:val="24"/>
        </w:rPr>
        <w:t>基金管理人参与银行间市场交易,应按照审慎的风险控制原则评估交易对手资信风险，并自主选择交易对手。基金管理人应向基金托管人提供符合法律法规及行业标准的银行间市场交易对手的名单。基金托管人发现基金管理人与不在名单内的银行间市场交易对手进行交易，可以通过邮件、电话等双方认可的方式提醒基金管理人，基金管理人应及时向基金托管人提供可行性说明。基金管理人应确保说明内容真实、准确、完整。基金托管人不对基金管理人提供的可行性说明进行实质审查。经提醒后基金管理人仍执行交易或未向托管人提供名单并造成基金资产损失的，基金托管人不承担责任。</w:t>
      </w:r>
    </w:p>
    <w:p w14:paraId="14C07E35">
      <w:pPr>
        <w:spacing w:line="360" w:lineRule="auto"/>
        <w:ind w:firstLine="480" w:firstLineChars="200"/>
        <w:rPr>
          <w:rFonts w:ascii="宋体" w:hAnsi="宋体"/>
          <w:sz w:val="24"/>
        </w:rPr>
      </w:pPr>
      <w:r>
        <w:rPr>
          <w:rFonts w:hint="eastAsia" w:ascii="宋体" w:hAnsi="宋体"/>
          <w:sz w:val="24"/>
        </w:rPr>
        <w:t>基金管理人在银行间市场进行现券买卖和回购交易时，以DVP（券款对付）的交易结算方式进行交易。</w:t>
      </w:r>
    </w:p>
    <w:p w14:paraId="1C912147">
      <w:pPr>
        <w:spacing w:line="360" w:lineRule="auto"/>
        <w:ind w:firstLine="480" w:firstLineChars="200"/>
        <w:rPr>
          <w:rFonts w:ascii="宋体" w:hAnsi="宋体"/>
          <w:sz w:val="24"/>
        </w:rPr>
      </w:pPr>
      <w:r>
        <w:rPr>
          <w:rFonts w:ascii="宋体" w:hAnsi="宋体"/>
          <w:sz w:val="24"/>
        </w:rPr>
        <w:t>5</w:t>
      </w:r>
      <w:r>
        <w:rPr>
          <w:rFonts w:hint="eastAsia" w:ascii="宋体" w:hAnsi="宋体"/>
          <w:sz w:val="24"/>
        </w:rPr>
        <w:t>、关于银行存款投资</w:t>
      </w:r>
    </w:p>
    <w:p w14:paraId="7A0A4D8D">
      <w:pPr>
        <w:spacing w:line="360" w:lineRule="auto"/>
        <w:ind w:firstLine="480" w:firstLineChars="200"/>
        <w:rPr>
          <w:rFonts w:ascii="宋体" w:hAnsi="宋体"/>
          <w:sz w:val="24"/>
        </w:rPr>
      </w:pPr>
      <w:r>
        <w:rPr>
          <w:rFonts w:hint="eastAsia" w:ascii="宋体" w:hAnsi="宋体"/>
          <w:sz w:val="24"/>
        </w:rPr>
        <w:t>本基金投资银行存款的信用风险主要包括存款银行的信用等级、存款银行的支付能力等涉及到存款银行选择方面的风险。基金管理人应基于审慎原则评估存款银行信用风险并自主选择存款银行。因基金管理人违反上述原则给基金造成的损失，基金托管人不承担任何责任，相关损失由基金管理人先行承担。基金管理人履行先行赔付责任后，有权要求相关责任人进行赔偿。基金托管人的职责仅限于督促基金管理人履行先行赔付责任。</w:t>
      </w:r>
    </w:p>
    <w:p w14:paraId="51D1314E">
      <w:pPr>
        <w:spacing w:line="360" w:lineRule="auto"/>
        <w:ind w:firstLine="480" w:firstLineChars="200"/>
        <w:rPr>
          <w:rFonts w:ascii="宋体" w:hAnsi="宋体"/>
          <w:sz w:val="24"/>
        </w:rPr>
      </w:pPr>
      <w:r>
        <w:rPr>
          <w:rFonts w:ascii="宋体" w:hAnsi="宋体"/>
          <w:sz w:val="24"/>
        </w:rPr>
        <w:t>6、基金融资、转融通证券出借业务</w:t>
      </w:r>
    </w:p>
    <w:p w14:paraId="4D8100B1">
      <w:pPr>
        <w:spacing w:line="360" w:lineRule="auto"/>
        <w:ind w:firstLine="480" w:firstLineChars="200"/>
        <w:rPr>
          <w:rFonts w:ascii="宋体" w:hAnsi="宋体"/>
          <w:sz w:val="24"/>
        </w:rPr>
      </w:pPr>
      <w:r>
        <w:rPr>
          <w:rFonts w:ascii="宋体" w:hAnsi="宋体"/>
          <w:sz w:val="24"/>
        </w:rPr>
        <w:t>如本基金按国家有关规定参与融资和转融通证券出借业务时，基金托管人应为基金参与融资和转融通证券出借业务提供必要的协助。</w:t>
      </w:r>
    </w:p>
    <w:p w14:paraId="5406BB41">
      <w:pPr>
        <w:spacing w:line="360" w:lineRule="auto"/>
        <w:ind w:firstLine="480" w:firstLineChars="200"/>
        <w:rPr>
          <w:rFonts w:ascii="宋体" w:hAnsi="宋体"/>
          <w:sz w:val="24"/>
        </w:rPr>
      </w:pPr>
      <w:r>
        <w:rPr>
          <w:rFonts w:hint="eastAsia" w:ascii="宋体" w:hAnsi="宋体"/>
          <w:sz w:val="24"/>
        </w:rPr>
        <w:t>7、基金托管人对基金投资流通受限证券的监督</w:t>
      </w:r>
    </w:p>
    <w:p w14:paraId="108EC42B">
      <w:pPr>
        <w:spacing w:line="360" w:lineRule="auto"/>
        <w:ind w:firstLine="480" w:firstLineChars="200"/>
        <w:rPr>
          <w:rFonts w:ascii="宋体" w:hAnsi="宋体"/>
          <w:sz w:val="24"/>
        </w:rPr>
      </w:pPr>
      <w:r>
        <w:rPr>
          <w:rFonts w:hint="eastAsia" w:ascii="宋体" w:hAnsi="宋体"/>
          <w:sz w:val="24"/>
        </w:rPr>
        <w:t>（1）基金投资流通受限证券，应遵守《关于基金投资非公开发行股票等流通受限证券有关问题的通知》等有关法律法规规定。</w:t>
      </w:r>
    </w:p>
    <w:p w14:paraId="1C084BAA">
      <w:pPr>
        <w:spacing w:line="360" w:lineRule="auto"/>
        <w:ind w:firstLine="480" w:firstLineChars="200"/>
        <w:rPr>
          <w:rFonts w:ascii="宋体" w:hAnsi="宋体"/>
          <w:sz w:val="24"/>
        </w:rPr>
      </w:pPr>
      <w:r>
        <w:rPr>
          <w:rFonts w:hint="eastAsia" w:ascii="宋体" w:hAnsi="宋体"/>
          <w:sz w:val="24"/>
        </w:rPr>
        <w:t>（2）流通受限证券，包括由相关法律法规规范的非公开发行股票、公开发行股票网下配售部分等在发行时明确一定期限锁定期的可交易证券</w:t>
      </w:r>
      <w:r>
        <w:rPr>
          <w:rFonts w:ascii="宋体" w:hAnsi="宋体"/>
          <w:sz w:val="24"/>
        </w:rPr>
        <w:t>,</w:t>
      </w:r>
      <w:r>
        <w:rPr>
          <w:rFonts w:hint="eastAsia" w:ascii="宋体" w:hAnsi="宋体"/>
          <w:sz w:val="24"/>
        </w:rPr>
        <w:t>不包括由于发布重大消息或其他原因而临时停牌的证券、已发行未上市证券、回购交易中的质押券等流通受限证券。</w:t>
      </w:r>
    </w:p>
    <w:p w14:paraId="67D1E75C">
      <w:pPr>
        <w:spacing w:line="360" w:lineRule="auto"/>
        <w:ind w:firstLine="480" w:firstLineChars="200"/>
        <w:rPr>
          <w:rFonts w:ascii="宋体" w:hAnsi="宋体"/>
          <w:sz w:val="24"/>
        </w:rPr>
      </w:pPr>
      <w:r>
        <w:rPr>
          <w:rFonts w:hint="eastAsia" w:ascii="宋体" w:hAnsi="宋体"/>
          <w:sz w:val="24"/>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0800FBA3">
      <w:pPr>
        <w:spacing w:line="360" w:lineRule="auto"/>
        <w:ind w:firstLine="480" w:firstLineChars="200"/>
        <w:rPr>
          <w:rFonts w:ascii="宋体" w:hAnsi="宋体"/>
          <w:sz w:val="24"/>
        </w:rPr>
      </w:pPr>
      <w:r>
        <w:rPr>
          <w:rFonts w:hint="eastAsia" w:ascii="宋体" w:hAnsi="宋体"/>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4BF12D1A">
      <w:pPr>
        <w:spacing w:line="360" w:lineRule="auto"/>
        <w:ind w:firstLine="480" w:firstLineChars="200"/>
        <w:rPr>
          <w:rFonts w:ascii="宋体" w:hAnsi="宋体"/>
          <w:sz w:val="24"/>
        </w:rPr>
      </w:pPr>
      <w:r>
        <w:rPr>
          <w:rFonts w:hint="eastAsia" w:ascii="宋体" w:hAnsi="宋体"/>
          <w:sz w:val="24"/>
        </w:rPr>
        <w:t>（4）基金投资流通受限证券前，基金管理人应向基金托管人提供符合法律法规要求的有关书面信息，包括如下文件（如有）：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于拟执行投资指令前一个工作日将上述信息书面发至基金托管人，保证基金托管人有足够的时间进行审核。</w:t>
      </w:r>
    </w:p>
    <w:p w14:paraId="40BD0239">
      <w:pPr>
        <w:spacing w:line="360" w:lineRule="auto"/>
        <w:ind w:firstLine="480" w:firstLineChars="200"/>
        <w:rPr>
          <w:rFonts w:ascii="宋体" w:hAnsi="宋体"/>
          <w:sz w:val="24"/>
        </w:rPr>
      </w:pPr>
      <w:r>
        <w:rPr>
          <w:rFonts w:hint="eastAsia" w:ascii="宋体" w:hAnsi="宋体"/>
          <w:sz w:val="24"/>
        </w:rPr>
        <w:t>（5）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6CCA4362">
      <w:pPr>
        <w:spacing w:line="360" w:lineRule="auto"/>
        <w:ind w:firstLine="480" w:firstLineChars="200"/>
        <w:rPr>
          <w:rFonts w:ascii="宋体" w:hAnsi="宋体"/>
          <w:sz w:val="24"/>
        </w:rPr>
      </w:pPr>
      <w:r>
        <w:rPr>
          <w:rFonts w:hint="eastAsia" w:ascii="宋体" w:hAnsi="宋体"/>
          <w:sz w:val="24"/>
        </w:rPr>
        <w:t>如基金管理人和基金托管人无法达成一致，应及时上报中国证监会请求解决。如果基金托管人</w:t>
      </w:r>
      <w:r>
        <w:rPr>
          <w:rFonts w:ascii="宋体" w:hAnsi="宋体"/>
          <w:sz w:val="24"/>
        </w:rPr>
        <w:t>切实履行监督职责</w:t>
      </w:r>
      <w:r>
        <w:rPr>
          <w:rFonts w:hint="eastAsia" w:ascii="宋体" w:hAnsi="宋体"/>
          <w:sz w:val="24"/>
        </w:rPr>
        <w:t>，则不承担任何责任。</w:t>
      </w:r>
      <w:r>
        <w:rPr>
          <w:rFonts w:ascii="宋体" w:hAnsi="宋体"/>
          <w:sz w:val="24"/>
        </w:rPr>
        <w:t>如果基金托管</w:t>
      </w:r>
      <w:r>
        <w:rPr>
          <w:rFonts w:hint="eastAsia" w:ascii="宋体" w:hAnsi="宋体"/>
          <w:sz w:val="24"/>
        </w:rPr>
        <w:t>人</w:t>
      </w:r>
      <w:r>
        <w:rPr>
          <w:rFonts w:ascii="宋体" w:hAnsi="宋体"/>
          <w:sz w:val="24"/>
        </w:rPr>
        <w:t>没有切实履行监督职责，导致基金出现风险，基金托管</w:t>
      </w:r>
      <w:r>
        <w:rPr>
          <w:rFonts w:hint="eastAsia" w:ascii="宋体" w:hAnsi="宋体"/>
          <w:sz w:val="24"/>
        </w:rPr>
        <w:t>人</w:t>
      </w:r>
      <w:r>
        <w:rPr>
          <w:rFonts w:ascii="宋体" w:hAnsi="宋体"/>
          <w:sz w:val="24"/>
        </w:rPr>
        <w:t>应承担连带责任。</w:t>
      </w:r>
    </w:p>
    <w:p w14:paraId="64240A75">
      <w:pPr>
        <w:spacing w:line="360" w:lineRule="auto"/>
        <w:ind w:firstLine="480" w:firstLineChars="200"/>
        <w:rPr>
          <w:rFonts w:ascii="宋体" w:hAnsi="宋体"/>
          <w:sz w:val="24"/>
        </w:rPr>
      </w:pPr>
      <w:r>
        <w:rPr>
          <w:rFonts w:hint="eastAsia" w:ascii="宋体" w:hAnsi="宋体"/>
          <w:sz w:val="24"/>
        </w:rPr>
        <w:t>（二）投资监督范围的调整</w:t>
      </w:r>
    </w:p>
    <w:p w14:paraId="73A42A82">
      <w:pPr>
        <w:spacing w:line="360" w:lineRule="auto"/>
        <w:ind w:firstLine="480" w:firstLineChars="200"/>
        <w:rPr>
          <w:rFonts w:ascii="宋体" w:hAnsi="宋体"/>
          <w:sz w:val="24"/>
        </w:rPr>
      </w:pPr>
      <w:r>
        <w:rPr>
          <w:rFonts w:hint="eastAsia" w:ascii="宋体" w:hAnsi="宋体"/>
          <w:sz w:val="24"/>
        </w:rPr>
        <w:t>因法律法规、监管要求导致本基金投资事项调整的，基金管理人应提前通知基金托管人，并与基金托管人协商一致更新投资监督范围。基金管理人知晓基金托管人投资监督职责的履行受外部数据来源或系统开发等因素影响，基金管理人应为基金托管人系统调整预留所需的合理必要时间。</w:t>
      </w:r>
    </w:p>
    <w:p w14:paraId="175072C1">
      <w:pPr>
        <w:spacing w:line="360" w:lineRule="auto"/>
        <w:ind w:firstLine="480" w:firstLineChars="200"/>
        <w:rPr>
          <w:rFonts w:ascii="宋体" w:hAnsi="宋体"/>
          <w:sz w:val="24"/>
        </w:rPr>
      </w:pPr>
      <w:r>
        <w:rPr>
          <w:rFonts w:hint="eastAsia" w:ascii="宋体" w:hAnsi="宋体"/>
          <w:sz w:val="24"/>
        </w:rPr>
        <w:t>（三）基金托管人对基金投资的监督和检查自《基金合同》生效之日起开始。</w:t>
      </w:r>
    </w:p>
    <w:p w14:paraId="03556A07">
      <w:pPr>
        <w:spacing w:line="360" w:lineRule="auto"/>
        <w:ind w:firstLine="480" w:firstLineChars="200"/>
        <w:rPr>
          <w:rFonts w:ascii="宋体" w:hAnsi="宋体"/>
          <w:sz w:val="24"/>
          <w:szCs w:val="28"/>
        </w:rPr>
      </w:pPr>
      <w:r>
        <w:rPr>
          <w:rFonts w:hint="eastAsia" w:ascii="宋体" w:hAnsi="宋体"/>
          <w:sz w:val="24"/>
          <w:szCs w:val="28"/>
        </w:rPr>
        <w:t>（四）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1A907980">
      <w:pPr>
        <w:spacing w:line="360" w:lineRule="auto"/>
        <w:ind w:firstLine="480" w:firstLineChars="200"/>
        <w:rPr>
          <w:rFonts w:ascii="宋体" w:hAnsi="宋体"/>
          <w:sz w:val="24"/>
          <w:szCs w:val="28"/>
        </w:rPr>
      </w:pPr>
      <w:r>
        <w:rPr>
          <w:rFonts w:hint="eastAsia" w:ascii="宋体" w:hAnsi="宋体"/>
          <w:sz w:val="24"/>
          <w:szCs w:val="28"/>
        </w:rPr>
        <w:t>（五）基金托管人发现基金管理人的投资运作及其他运作违反《基金法》、《基金合同》、基金托管协议有关规定时，应及时以书面形式通知基金管理人限期纠正，基金管理人收到通知后应在下一个工作日及时核对，并以书面形式向基金托管人发出回函，进行解释或举证。</w:t>
      </w:r>
    </w:p>
    <w:p w14:paraId="043F7B7E">
      <w:pPr>
        <w:spacing w:line="360" w:lineRule="auto"/>
        <w:ind w:firstLine="480" w:firstLineChars="200"/>
        <w:rPr>
          <w:rFonts w:ascii="宋体" w:hAnsi="宋体"/>
          <w:sz w:val="24"/>
          <w:szCs w:val="28"/>
        </w:rPr>
      </w:pPr>
      <w:r>
        <w:rPr>
          <w:rFonts w:hint="eastAsia" w:ascii="宋体" w:hAnsi="宋体"/>
          <w:sz w:val="24"/>
          <w:szCs w:val="28"/>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14:paraId="171728DE">
      <w:pPr>
        <w:spacing w:line="360" w:lineRule="auto"/>
        <w:ind w:firstLine="480" w:firstLineChars="200"/>
        <w:rPr>
          <w:rFonts w:ascii="宋体" w:hAnsi="宋体"/>
          <w:sz w:val="24"/>
          <w:szCs w:val="28"/>
        </w:rPr>
      </w:pPr>
      <w:r>
        <w:rPr>
          <w:rFonts w:hint="eastAsia" w:ascii="宋体" w:hAnsi="宋体"/>
          <w:sz w:val="24"/>
          <w:szCs w:val="28"/>
        </w:rPr>
        <w:t>对于依据交易程序尚未成交的且基金托管人在交易前能够监控的投资指令，基金托管人发现该投资指令违反相关法律法规规定或者违反《基金合同》约定的，应当拒绝执行，立即通知基金管理人，并向中国证监会报告。</w:t>
      </w:r>
    </w:p>
    <w:p w14:paraId="37B365AA">
      <w:pPr>
        <w:spacing w:line="360" w:lineRule="auto"/>
        <w:ind w:firstLine="480" w:firstLineChars="200"/>
        <w:rPr>
          <w:rFonts w:ascii="宋体" w:hAnsi="宋体"/>
          <w:sz w:val="24"/>
          <w:szCs w:val="28"/>
        </w:rPr>
      </w:pPr>
      <w:r>
        <w:rPr>
          <w:rFonts w:hint="eastAsia" w:ascii="宋体" w:hAnsi="宋体"/>
          <w:sz w:val="24"/>
          <w:szCs w:val="28"/>
        </w:rPr>
        <w:t>对于必须于估值完成后方可获知的监控指标或依据交易程序已经成交的投资指令，基金托管人发现该投资指令违反法律法规或者违反《基金合同》约定的，应当立即通知基金管理人，并报告中国证监会。</w:t>
      </w:r>
    </w:p>
    <w:p w14:paraId="1375E313">
      <w:pPr>
        <w:spacing w:line="360" w:lineRule="auto"/>
        <w:ind w:firstLine="480" w:firstLineChars="200"/>
        <w:rPr>
          <w:rFonts w:ascii="宋体" w:hAnsi="宋体"/>
          <w:sz w:val="24"/>
          <w:szCs w:val="28"/>
        </w:rPr>
      </w:pPr>
      <w:r>
        <w:rPr>
          <w:rFonts w:hint="eastAsia" w:ascii="宋体" w:hAnsi="宋体"/>
          <w:sz w:val="24"/>
          <w:szCs w:val="28"/>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50749361">
      <w:pPr>
        <w:spacing w:line="360" w:lineRule="auto"/>
        <w:ind w:firstLine="480" w:firstLineChars="200"/>
        <w:rPr>
          <w:rFonts w:ascii="宋体" w:hAnsi="宋体"/>
          <w:sz w:val="24"/>
          <w:szCs w:val="28"/>
        </w:rPr>
      </w:pPr>
      <w:r>
        <w:rPr>
          <w:rFonts w:hint="eastAsia" w:ascii="宋体" w:hAnsi="宋体"/>
          <w:sz w:val="24"/>
          <w:szCs w:val="28"/>
        </w:rPr>
        <w:t>基金托管人发现基金管理人有重大违规行为，应立即报告中国证监会，同时通知基金管理人限期纠正。</w:t>
      </w:r>
    </w:p>
    <w:p w14:paraId="398FD0AF">
      <w:pPr>
        <w:spacing w:line="360" w:lineRule="auto"/>
        <w:ind w:firstLine="480" w:firstLineChars="200"/>
        <w:rPr>
          <w:rFonts w:ascii="宋体" w:hAnsi="宋体"/>
          <w:sz w:val="24"/>
          <w:szCs w:val="28"/>
        </w:rPr>
      </w:pPr>
      <w:r>
        <w:rPr>
          <w:rFonts w:hint="eastAsia" w:ascii="宋体" w:hAnsi="宋体"/>
          <w:sz w:val="24"/>
          <w:szCs w:val="28"/>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03FF054A">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50" w:name="_Toc124749228"/>
      <w:bookmarkStart w:id="51" w:name="_Toc125361076"/>
      <w:bookmarkStart w:id="52" w:name="_Toc123705448"/>
      <w:bookmarkStart w:id="53" w:name="_Toc140002339"/>
      <w:bookmarkStart w:id="54" w:name="_Toc124749939"/>
      <w:r>
        <w:rPr>
          <w:rFonts w:hint="eastAsia" w:ascii="宋体" w:hAnsi="宋体" w:cs="Arial"/>
          <w:sz w:val="30"/>
        </w:rPr>
        <w:t>基金管理人对基金托管人的业务核查</w:t>
      </w:r>
      <w:bookmarkEnd w:id="50"/>
      <w:bookmarkEnd w:id="51"/>
      <w:bookmarkEnd w:id="52"/>
      <w:bookmarkEnd w:id="53"/>
      <w:bookmarkEnd w:id="54"/>
    </w:p>
    <w:p w14:paraId="77229199">
      <w:pPr>
        <w:spacing w:line="360" w:lineRule="auto"/>
        <w:ind w:firstLine="480" w:firstLineChars="200"/>
        <w:rPr>
          <w:rFonts w:ascii="宋体" w:hAnsi="宋体"/>
          <w:sz w:val="24"/>
          <w:szCs w:val="21"/>
        </w:rPr>
      </w:pPr>
      <w:r>
        <w:rPr>
          <w:rFonts w:hint="eastAsia" w:ascii="宋体" w:hAnsi="宋体"/>
          <w:sz w:val="24"/>
          <w:szCs w:val="21"/>
        </w:rPr>
        <w:t>基金管理人对基金托管人履行托管职责情况进行核查，核查事项包括但不限于基金托管人安全保管基金财产、开设基金财产的资金账户、证券账户等投资所需账户、复核基金管理人计算的基金资产净值和各类基金份额净值、根据基金管理人指令办理清算交收、相关信息披露和监督基金投资运作等行为。</w:t>
      </w:r>
    </w:p>
    <w:p w14:paraId="18848D64">
      <w:pPr>
        <w:spacing w:line="360" w:lineRule="auto"/>
        <w:ind w:firstLine="480" w:firstLineChars="200"/>
        <w:rPr>
          <w:rFonts w:ascii="宋体" w:hAnsi="宋体"/>
          <w:sz w:val="24"/>
          <w:szCs w:val="21"/>
        </w:rPr>
      </w:pPr>
      <w:r>
        <w:rPr>
          <w:rFonts w:hint="eastAsia" w:ascii="宋体" w:hAnsi="宋体"/>
          <w:sz w:val="24"/>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w:t>
      </w:r>
      <w:r>
        <w:rPr>
          <w:rFonts w:hint="eastAsia" w:ascii="宋体" w:hAnsi="宋体"/>
          <w:kern w:val="0"/>
          <w:sz w:val="24"/>
        </w:rPr>
        <w:t>基金管理人有义务要求基金托管人赔偿基金因此所遭受的损失。</w:t>
      </w:r>
    </w:p>
    <w:p w14:paraId="5B28D3FB">
      <w:pPr>
        <w:spacing w:line="360" w:lineRule="auto"/>
        <w:ind w:firstLine="480" w:firstLineChars="200"/>
        <w:rPr>
          <w:rFonts w:ascii="宋体" w:hAnsi="宋体"/>
          <w:sz w:val="24"/>
          <w:szCs w:val="21"/>
        </w:rPr>
      </w:pPr>
      <w:r>
        <w:rPr>
          <w:rFonts w:hint="eastAsia" w:ascii="宋体" w:hAnsi="宋体"/>
          <w:sz w:val="24"/>
          <w:szCs w:val="21"/>
        </w:rPr>
        <w:t>基金管理人发现基金托管人有重大违规行为，应立即报告中国证监会和银行业监督管理机构，同时通知基金托管人限期纠正。</w:t>
      </w:r>
    </w:p>
    <w:p w14:paraId="0C6F3FEB">
      <w:pPr>
        <w:spacing w:line="360" w:lineRule="auto"/>
        <w:ind w:firstLine="480" w:firstLineChars="200"/>
        <w:rPr>
          <w:rFonts w:ascii="宋体" w:hAnsi="宋体"/>
          <w:sz w:val="24"/>
          <w:szCs w:val="21"/>
        </w:rPr>
      </w:pPr>
      <w:r>
        <w:rPr>
          <w:rFonts w:hint="eastAsia" w:ascii="宋体" w:hAnsi="宋体"/>
          <w:sz w:val="24"/>
          <w:szCs w:val="21"/>
        </w:rPr>
        <w:t>基金托管人应积极配合基金管理人的核查行为，包括但不限于：提交相关资料以供基金管理人核查托管财产的完整性和真实性，在规定时间内答复基金管理人并改正。</w:t>
      </w:r>
    </w:p>
    <w:p w14:paraId="4B518D5F">
      <w:pPr>
        <w:pStyle w:val="7"/>
        <w:spacing w:after="0"/>
        <w:rPr>
          <w:color w:val="auto"/>
          <w:szCs w:val="21"/>
        </w:rPr>
      </w:pPr>
      <w:r>
        <w:rPr>
          <w:rFonts w:hint="eastAsia"/>
          <w:color w:val="auto"/>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273995D0">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55" w:name="_Hlt88903324"/>
      <w:bookmarkEnd w:id="55"/>
      <w:bookmarkStart w:id="56" w:name="_Toc123626171"/>
      <w:bookmarkStart w:id="57" w:name="_Toc48703889"/>
      <w:bookmarkStart w:id="58" w:name="_Toc466788854"/>
      <w:bookmarkStart w:id="59" w:name="_Toc124749229"/>
      <w:bookmarkStart w:id="60" w:name="_Toc124749940"/>
      <w:bookmarkStart w:id="61" w:name="_Toc523829995"/>
      <w:bookmarkStart w:id="62" w:name="_Toc125361077"/>
      <w:bookmarkStart w:id="63" w:name="_Toc22454437"/>
      <w:bookmarkStart w:id="64" w:name="_Toc140002340"/>
      <w:r>
        <w:rPr>
          <w:rFonts w:hint="eastAsia" w:ascii="宋体" w:hAnsi="宋体" w:cs="Arial"/>
          <w:sz w:val="30"/>
        </w:rPr>
        <w:t>基金财产保管</w:t>
      </w:r>
      <w:bookmarkEnd w:id="56"/>
      <w:bookmarkEnd w:id="57"/>
      <w:bookmarkEnd w:id="58"/>
      <w:bookmarkEnd w:id="59"/>
      <w:bookmarkEnd w:id="60"/>
      <w:bookmarkEnd w:id="61"/>
      <w:bookmarkEnd w:id="62"/>
      <w:bookmarkEnd w:id="63"/>
      <w:bookmarkEnd w:id="64"/>
    </w:p>
    <w:p w14:paraId="24DBF1E7">
      <w:pPr>
        <w:pStyle w:val="3"/>
        <w:keepNext w:val="0"/>
        <w:keepLines w:val="0"/>
        <w:autoSpaceDE w:val="0"/>
        <w:autoSpaceDN w:val="0"/>
        <w:adjustRightInd w:val="0"/>
        <w:spacing w:before="0" w:after="0" w:line="360" w:lineRule="auto"/>
        <w:ind w:firstLine="360" w:firstLineChars="150"/>
        <w:textAlignment w:val="baseline"/>
        <w:rPr>
          <w:rFonts w:ascii="宋体" w:hAnsi="宋体" w:eastAsia="宋体"/>
          <w:b w:val="0"/>
          <w:bCs w:val="0"/>
          <w:sz w:val="24"/>
          <w:szCs w:val="24"/>
        </w:rPr>
      </w:pPr>
      <w:bookmarkStart w:id="65" w:name="_Toc37159173"/>
      <w:r>
        <w:rPr>
          <w:rFonts w:hint="eastAsia" w:ascii="宋体" w:hAnsi="宋体" w:eastAsia="宋体"/>
          <w:b w:val="0"/>
          <w:bCs w:val="0"/>
          <w:sz w:val="24"/>
          <w:szCs w:val="24"/>
        </w:rPr>
        <w:t>（一）基金财产保管的原则</w:t>
      </w:r>
      <w:bookmarkEnd w:id="65"/>
      <w:bookmarkStart w:id="66" w:name="_Hlt88903033"/>
      <w:bookmarkEnd w:id="66"/>
    </w:p>
    <w:p w14:paraId="77704EC7">
      <w:pPr>
        <w:spacing w:line="360" w:lineRule="auto"/>
        <w:ind w:firstLine="480" w:firstLineChars="200"/>
        <w:rPr>
          <w:rFonts w:ascii="宋体" w:hAnsi="宋体"/>
          <w:sz w:val="24"/>
        </w:rPr>
      </w:pPr>
      <w:r>
        <w:rPr>
          <w:rFonts w:hint="eastAsia" w:ascii="宋体" w:hAnsi="宋体"/>
          <w:sz w:val="24"/>
        </w:rPr>
        <w:t>1、基金财产应独立于基金管理人、基金托管人、证券/期货经纪商（以下或称“证券/期货经纪机构”）的固有财产。</w:t>
      </w:r>
    </w:p>
    <w:p w14:paraId="3DBD83EC">
      <w:pPr>
        <w:spacing w:line="360" w:lineRule="auto"/>
        <w:ind w:firstLine="480" w:firstLineChars="200"/>
        <w:rPr>
          <w:rFonts w:ascii="宋体" w:hAnsi="宋体"/>
          <w:sz w:val="24"/>
        </w:rPr>
      </w:pPr>
      <w:r>
        <w:rPr>
          <w:rFonts w:hint="eastAsia" w:ascii="宋体" w:hAnsi="宋体"/>
          <w:sz w:val="24"/>
        </w:rPr>
        <w:t>2、基金托管人应安全保管基金财产。未经基金管理人的有效指令，不得自行运用、处分、分配基金的任何财产。</w:t>
      </w:r>
    </w:p>
    <w:p w14:paraId="5A68F0AC">
      <w:pPr>
        <w:spacing w:line="360" w:lineRule="auto"/>
        <w:ind w:firstLine="480" w:firstLineChars="200"/>
        <w:rPr>
          <w:rFonts w:ascii="宋体" w:hAnsi="宋体"/>
          <w:sz w:val="24"/>
        </w:rPr>
      </w:pPr>
      <w:r>
        <w:rPr>
          <w:rFonts w:hint="eastAsia" w:ascii="宋体" w:hAnsi="宋体"/>
          <w:sz w:val="24"/>
        </w:rPr>
        <w:t>3、基金托管人按照规定开设基金财产的资金账户、证券账户等投资所需账户。基金管理人、基金托管人、证券经纪商三方应签订证券经纪服务协议。证券经纪商根据相关法律法规、规范性文件为本基金开立相关证券资金账户。</w:t>
      </w:r>
    </w:p>
    <w:p w14:paraId="1E810EB3">
      <w:pPr>
        <w:spacing w:line="360" w:lineRule="auto"/>
        <w:ind w:firstLine="480" w:firstLineChars="200"/>
        <w:rPr>
          <w:rFonts w:ascii="宋体" w:hAnsi="宋体"/>
          <w:sz w:val="24"/>
        </w:rPr>
      </w:pPr>
      <w:r>
        <w:rPr>
          <w:rFonts w:hint="eastAsia" w:ascii="宋体" w:hAnsi="宋体"/>
          <w:sz w:val="24"/>
        </w:rPr>
        <w:t>4、基金托管人对所托管的不同基金财产分别设置账户，与基金托管人的其他业务和其他基金的托管业务实行严格的分账管理，独立核算，确保基金财产的完整与独立。</w:t>
      </w:r>
    </w:p>
    <w:p w14:paraId="00A2CE3B">
      <w:pPr>
        <w:spacing w:line="360" w:lineRule="auto"/>
        <w:ind w:firstLine="480" w:firstLineChars="200"/>
        <w:rPr>
          <w:rFonts w:ascii="宋体" w:hAnsi="宋体"/>
          <w:sz w:val="24"/>
        </w:rPr>
      </w:pPr>
      <w:r>
        <w:rPr>
          <w:rFonts w:hint="eastAsia" w:ascii="宋体" w:hAnsi="宋体"/>
          <w:sz w:val="24"/>
        </w:rPr>
        <w:t>5、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w:t>
      </w:r>
      <w:r>
        <w:rPr>
          <w:rFonts w:hint="eastAsia" w:ascii="宋体" w:hAnsi="宋体" w:cs="宋体"/>
          <w:color w:val="000000"/>
          <w:kern w:val="0"/>
          <w:sz w:val="24"/>
        </w:rPr>
        <w:t>有义务在合理且必要的范围内配合基金管理人进行追偿</w:t>
      </w:r>
      <w:r>
        <w:rPr>
          <w:rFonts w:hint="eastAsia" w:ascii="宋体" w:hAnsi="宋体"/>
          <w:sz w:val="24"/>
        </w:rPr>
        <w:t>。</w:t>
      </w:r>
      <w:bookmarkStart w:id="67" w:name="_Hlt88902859"/>
      <w:bookmarkEnd w:id="67"/>
    </w:p>
    <w:p w14:paraId="668A8543">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bookmarkStart w:id="68" w:name="_Toc37159174"/>
      <w:r>
        <w:rPr>
          <w:rFonts w:hint="eastAsia" w:ascii="宋体" w:hAnsi="宋体" w:eastAsia="宋体"/>
          <w:b w:val="0"/>
          <w:bCs w:val="0"/>
          <w:sz w:val="24"/>
          <w:szCs w:val="24"/>
        </w:rPr>
        <w:t>（二）募集资金的验证</w:t>
      </w:r>
      <w:bookmarkEnd w:id="68"/>
    </w:p>
    <w:p w14:paraId="34E49866">
      <w:pPr>
        <w:spacing w:line="360" w:lineRule="auto"/>
        <w:ind w:firstLine="480" w:firstLineChars="200"/>
        <w:rPr>
          <w:rFonts w:ascii="宋体" w:hAnsi="宋体"/>
          <w:sz w:val="24"/>
        </w:rPr>
      </w:pPr>
      <w:r>
        <w:rPr>
          <w:rFonts w:hint="eastAsia" w:ascii="宋体" w:hAnsi="宋体"/>
          <w:sz w:val="24"/>
        </w:rPr>
        <w:t>募集期内销售机构按销售服务协议的约定，将认购资金划入基金管理人在具有托管资格的商业银行开设的财通证券资产管理有限公司基金认购专户。该账户由基金管理人开立并管理。基金募集期满，募集的基金份额总额、基金募集金额、基金份额持有人人数符合《基金法》、《运作办法》等有关规定后，由基金管理人聘请符合《中华人民共和国证券法》规定的会计师事务所进行验资，出具验资报告，出具的验资报告应由参加验资的</w:t>
      </w:r>
      <w:r>
        <w:rPr>
          <w:rFonts w:ascii="宋体" w:hAnsi="宋体"/>
          <w:sz w:val="24"/>
        </w:rPr>
        <w:t>2</w:t>
      </w:r>
      <w:r>
        <w:rPr>
          <w:rFonts w:hint="eastAsia" w:ascii="宋体" w:hAnsi="宋体"/>
          <w:sz w:val="24"/>
        </w:rPr>
        <w:t>名以上（含</w:t>
      </w:r>
      <w:r>
        <w:rPr>
          <w:rFonts w:ascii="宋体" w:hAnsi="宋体"/>
          <w:sz w:val="24"/>
        </w:rPr>
        <w:t>2</w:t>
      </w:r>
      <w:r>
        <w:rPr>
          <w:rFonts w:hint="eastAsia" w:ascii="宋体" w:hAnsi="宋体"/>
          <w:sz w:val="24"/>
        </w:rPr>
        <w:t>名）中国注册会计师签字有效。验资完成，基金管理人应将募集的属于本基金财产的全部资金划入基金托管人为基金开立的资产托管专户中，基金托管人在收到资金当日出具确认文件。</w:t>
      </w:r>
    </w:p>
    <w:p w14:paraId="1F3D599E">
      <w:pPr>
        <w:spacing w:line="360" w:lineRule="auto"/>
        <w:ind w:firstLine="480" w:firstLineChars="200"/>
        <w:rPr>
          <w:rFonts w:ascii="宋体" w:hAnsi="宋体"/>
          <w:sz w:val="24"/>
        </w:rPr>
      </w:pPr>
      <w:r>
        <w:rPr>
          <w:rFonts w:hint="eastAsia" w:ascii="宋体" w:hAnsi="宋体"/>
          <w:sz w:val="24"/>
        </w:rPr>
        <w:t>若基金募集期限届满，未能达到《基金合同》备案的条件，由基金管理人按规定办理退款事宜。</w:t>
      </w:r>
    </w:p>
    <w:p w14:paraId="5E6AA16F">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r>
        <w:rPr>
          <w:rFonts w:hint="eastAsia" w:ascii="宋体" w:hAnsi="宋体" w:eastAsia="宋体"/>
          <w:b w:val="0"/>
          <w:bCs w:val="0"/>
          <w:sz w:val="24"/>
          <w:szCs w:val="24"/>
        </w:rPr>
        <w:t>（三）基金的银行账户的开立和管理</w:t>
      </w:r>
    </w:p>
    <w:p w14:paraId="4D0780C4">
      <w:pPr>
        <w:spacing w:line="360" w:lineRule="auto"/>
        <w:ind w:firstLine="480" w:firstLineChars="200"/>
        <w:rPr>
          <w:rFonts w:ascii="宋体" w:hAnsi="宋体"/>
          <w:sz w:val="24"/>
        </w:rPr>
      </w:pPr>
      <w:r>
        <w:rPr>
          <w:rFonts w:hint="eastAsia" w:ascii="宋体" w:hAnsi="宋体"/>
          <w:sz w:val="24"/>
        </w:rPr>
        <w:t>基金托管人以基金托管人、产品或基金托管人与产品联名等监管部门要求的名义，在其营业机构开设资产托管专户，保管基金的现金资产。本基金的一切货币收支活动，均需通过基金托管人的资产托管专户进行。</w:t>
      </w:r>
    </w:p>
    <w:p w14:paraId="56071308">
      <w:pPr>
        <w:spacing w:line="360" w:lineRule="auto"/>
        <w:ind w:firstLine="480" w:firstLineChars="200"/>
        <w:rPr>
          <w:rFonts w:ascii="宋体" w:hAnsi="宋体"/>
          <w:sz w:val="24"/>
        </w:rPr>
      </w:pPr>
      <w:r>
        <w:rPr>
          <w:rFonts w:hint="eastAsia" w:ascii="宋体" w:hAnsi="宋体"/>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14:paraId="159D4B3B">
      <w:pPr>
        <w:spacing w:line="360" w:lineRule="auto"/>
        <w:ind w:firstLine="480" w:firstLineChars="200"/>
        <w:rPr>
          <w:rFonts w:ascii="宋体" w:hAnsi="宋体"/>
          <w:sz w:val="24"/>
        </w:rPr>
      </w:pPr>
      <w:r>
        <w:rPr>
          <w:rFonts w:hint="eastAsia" w:ascii="宋体" w:hAnsi="宋体"/>
          <w:sz w:val="24"/>
        </w:rPr>
        <w:t>资产托管专户的管理应符合人民币银行结算账户管理、利率管理等相关监管法规要求。</w:t>
      </w:r>
    </w:p>
    <w:p w14:paraId="0089E4EF">
      <w:pPr>
        <w:spacing w:line="360" w:lineRule="auto"/>
        <w:ind w:firstLine="480" w:firstLineChars="200"/>
        <w:rPr>
          <w:rFonts w:ascii="宋体" w:hAnsi="宋体"/>
          <w:sz w:val="24"/>
        </w:rPr>
      </w:pPr>
      <w:r>
        <w:rPr>
          <w:rFonts w:hint="eastAsia" w:ascii="宋体" w:hAnsi="宋体"/>
          <w:sz w:val="24"/>
        </w:rPr>
        <w:t>（四）基金证券账户的开设和管理</w:t>
      </w:r>
    </w:p>
    <w:p w14:paraId="62A03AE3">
      <w:pPr>
        <w:spacing w:line="360" w:lineRule="auto"/>
        <w:ind w:firstLine="480" w:firstLineChars="200"/>
        <w:rPr>
          <w:rFonts w:ascii="宋体" w:hAnsi="宋体"/>
          <w:sz w:val="24"/>
        </w:rPr>
      </w:pPr>
      <w:r>
        <w:rPr>
          <w:rFonts w:hint="eastAsia" w:ascii="宋体" w:hAnsi="宋体"/>
          <w:sz w:val="24"/>
        </w:rPr>
        <w:t>基金托管人以基金托管人和本基金联名的方式在中国证券登记结算有限公司上海分公司/深圳分公司/北京分公司开设证券账户。</w:t>
      </w:r>
    </w:p>
    <w:p w14:paraId="538BE311">
      <w:pPr>
        <w:spacing w:line="360" w:lineRule="auto"/>
        <w:ind w:firstLine="480" w:firstLineChars="200"/>
        <w:rPr>
          <w:rFonts w:ascii="宋体" w:hAnsi="宋体"/>
          <w:sz w:val="24"/>
        </w:rPr>
      </w:pPr>
      <w:r>
        <w:rPr>
          <w:rFonts w:hint="eastAsia" w:ascii="宋体" w:hAnsi="宋体"/>
          <w:sz w:val="24"/>
        </w:rPr>
        <w:t>基金证券账户的开立和使用，限于满足开展本基金业务的需要。基金证券账户的开立和证券账户卡的保管由基金托管人负责，账户资产的管理和运用由基金管理人负责。基金托管人和基金管理人不得出借和未经对方同意擅自转让基金的任何证券账户；亦不得使用基金的任何账户进行本基金业务以外的活动。</w:t>
      </w:r>
    </w:p>
    <w:p w14:paraId="597A44AC">
      <w:pPr>
        <w:spacing w:line="360" w:lineRule="auto"/>
        <w:ind w:firstLine="480" w:firstLineChars="200"/>
        <w:rPr>
          <w:rFonts w:ascii="宋体" w:hAnsi="宋体"/>
          <w:sz w:val="24"/>
        </w:rPr>
      </w:pPr>
      <w:r>
        <w:rPr>
          <w:rFonts w:hint="eastAsia" w:ascii="宋体" w:hAnsi="宋体"/>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11011A52">
      <w:pPr>
        <w:spacing w:line="360" w:lineRule="auto"/>
        <w:ind w:firstLine="480" w:firstLineChars="200"/>
        <w:rPr>
          <w:rFonts w:ascii="宋体" w:hAnsi="宋体"/>
          <w:sz w:val="24"/>
        </w:rPr>
      </w:pPr>
      <w:r>
        <w:rPr>
          <w:rFonts w:hint="eastAsia" w:ascii="宋体" w:hAnsi="宋体"/>
          <w:sz w:val="24"/>
        </w:rPr>
        <w:t>（五）证券资金账户的开立和管理</w:t>
      </w:r>
    </w:p>
    <w:p w14:paraId="582EA614">
      <w:pPr>
        <w:spacing w:line="360" w:lineRule="auto"/>
        <w:ind w:firstLine="480" w:firstLineChars="200"/>
        <w:rPr>
          <w:rFonts w:ascii="宋体" w:hAnsi="宋体"/>
          <w:sz w:val="24"/>
        </w:rPr>
      </w:pPr>
      <w:r>
        <w:rPr>
          <w:rFonts w:hint="eastAsia" w:ascii="宋体" w:hAnsi="宋体"/>
          <w:sz w:val="24"/>
        </w:rPr>
        <w:t>1、基金管理人根据相关法律法规及协议约定在选定的证券经纪商处为本基金开立证券资金账户，用于办理本基金在证券交易所进行证券投资所涉及的资金结算业务。结算备付金和交易保证金的收取按照代理证券买卖的证券经纪机构的规定执行。</w:t>
      </w:r>
    </w:p>
    <w:p w14:paraId="28624C09">
      <w:pPr>
        <w:spacing w:line="360" w:lineRule="auto"/>
        <w:ind w:firstLine="480" w:firstLineChars="200"/>
        <w:rPr>
          <w:rFonts w:ascii="宋体" w:hAnsi="宋体"/>
          <w:sz w:val="24"/>
        </w:rPr>
      </w:pPr>
      <w:r>
        <w:rPr>
          <w:rFonts w:hint="eastAsia" w:ascii="宋体" w:hAnsi="宋体"/>
          <w:sz w:val="24"/>
        </w:rPr>
        <w:t>2、基金管理人以本基金名义在基金管理人选择的证券经纪机构营业网点开立证券资金账户，并按照该营业网点开户的流程和要求，签订相关的协议。证券资金账户与基金托管账户建立第三方存管关系。</w:t>
      </w:r>
    </w:p>
    <w:p w14:paraId="3C564FF0">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r>
        <w:rPr>
          <w:rFonts w:hint="eastAsia" w:ascii="宋体" w:hAnsi="宋体" w:eastAsia="宋体"/>
          <w:b w:val="0"/>
          <w:bCs w:val="0"/>
          <w:sz w:val="24"/>
          <w:szCs w:val="24"/>
        </w:rPr>
        <w:t>（六）债券托管账户的开立和管理</w:t>
      </w:r>
    </w:p>
    <w:p w14:paraId="4912DFB9">
      <w:pPr>
        <w:spacing w:line="360" w:lineRule="auto"/>
        <w:ind w:firstLine="480" w:firstLineChars="200"/>
        <w:rPr>
          <w:rFonts w:ascii="宋体" w:hAnsi="宋体"/>
          <w:sz w:val="24"/>
        </w:rPr>
      </w:pPr>
      <w:r>
        <w:rPr>
          <w:rFonts w:hint="eastAsia" w:ascii="宋体" w:hAnsi="宋体"/>
          <w:sz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14:paraId="5A9E10C2">
      <w:pPr>
        <w:spacing w:line="360" w:lineRule="auto"/>
        <w:ind w:firstLine="480" w:firstLineChars="200"/>
        <w:rPr>
          <w:rFonts w:ascii="宋体" w:hAnsi="宋体"/>
          <w:sz w:val="24"/>
        </w:rPr>
      </w:pPr>
      <w:r>
        <w:rPr>
          <w:rFonts w:ascii="宋体" w:hAnsi="宋体"/>
          <w:sz w:val="24"/>
        </w:rPr>
        <w:t>基金管理人代表基金签订全国银行间债券市场债券回购主协议，协议正本由基金管理人保存。</w:t>
      </w:r>
    </w:p>
    <w:p w14:paraId="0DC75F25">
      <w:pPr>
        <w:spacing w:line="360" w:lineRule="auto"/>
        <w:ind w:firstLine="480" w:firstLineChars="200"/>
        <w:rPr>
          <w:rFonts w:ascii="宋体" w:hAnsi="宋体"/>
          <w:sz w:val="24"/>
        </w:rPr>
      </w:pPr>
      <w:r>
        <w:rPr>
          <w:rFonts w:hint="eastAsia" w:ascii="宋体" w:hAnsi="宋体"/>
          <w:sz w:val="24"/>
        </w:rPr>
        <w:t>（七）存款投资账户的开立和管理</w:t>
      </w:r>
    </w:p>
    <w:p w14:paraId="0EDD0248">
      <w:pPr>
        <w:spacing w:line="360" w:lineRule="auto"/>
        <w:ind w:firstLine="480" w:firstLineChars="200"/>
        <w:rPr>
          <w:rFonts w:ascii="宋体" w:hAnsi="宋体"/>
          <w:sz w:val="24"/>
        </w:rPr>
      </w:pPr>
      <w:r>
        <w:rPr>
          <w:rFonts w:hint="eastAsia" w:ascii="宋体" w:hAnsi="宋体"/>
          <w:sz w:val="24"/>
        </w:rPr>
        <w:t>基金财产开展定期存款等银行存款投资前，基金管理人应以基金名义开立银行存款账户，该账户仅限向托管账户划拨存款本金及利息资金。开户时基金管理人须向存款银行预留基金托管人印鉴，如基金托管人需变更预留印鉴，基金管理人应通知并配合存款银行办理变更手续。</w:t>
      </w:r>
    </w:p>
    <w:p w14:paraId="63C32A6A">
      <w:pPr>
        <w:spacing w:line="360" w:lineRule="auto"/>
        <w:ind w:firstLine="480" w:firstLineChars="200"/>
        <w:rPr>
          <w:rFonts w:ascii="宋体" w:hAnsi="宋体"/>
          <w:sz w:val="24"/>
        </w:rPr>
      </w:pPr>
      <w:r>
        <w:rPr>
          <w:rFonts w:hint="eastAsia" w:ascii="宋体" w:hAnsi="宋体"/>
          <w:sz w:val="24"/>
        </w:rPr>
        <w:t>基金管理人应按照双方约定，事先向基金托管人提供办理开户、存入、支取、变更等存款业务所需的经办人员身份证明信息等材料。如需在存款银行开通网上银行、电话银行、手机银行等功能，需经基金管理人、基金托管人双方确认同意。</w:t>
      </w:r>
    </w:p>
    <w:p w14:paraId="3E9B7EE2">
      <w:pPr>
        <w:spacing w:line="360" w:lineRule="auto"/>
        <w:ind w:firstLine="480" w:firstLineChars="200"/>
        <w:rPr>
          <w:rFonts w:ascii="宋体" w:hAnsi="宋体"/>
          <w:sz w:val="24"/>
        </w:rPr>
      </w:pPr>
      <w:r>
        <w:rPr>
          <w:rFonts w:hint="eastAsia" w:ascii="宋体" w:hAnsi="宋体"/>
          <w:sz w:val="24"/>
        </w:rPr>
        <w:t>如需停止使用银行存款账户，基金管理人应联系基金托管人及时办理销户手续。</w:t>
      </w:r>
    </w:p>
    <w:p w14:paraId="7AB01077">
      <w:pPr>
        <w:spacing w:line="360" w:lineRule="auto"/>
        <w:ind w:firstLine="480" w:firstLineChars="200"/>
        <w:rPr>
          <w:rFonts w:ascii="宋体" w:hAnsi="宋体"/>
          <w:sz w:val="24"/>
        </w:rPr>
      </w:pPr>
      <w:r>
        <w:rPr>
          <w:rFonts w:hint="eastAsia" w:ascii="宋体" w:hAnsi="宋体"/>
          <w:sz w:val="24"/>
        </w:rPr>
        <w:t>（八）期货账户的开设和管理</w:t>
      </w:r>
    </w:p>
    <w:p w14:paraId="5DBFF8FE">
      <w:pPr>
        <w:spacing w:line="360" w:lineRule="auto"/>
        <w:ind w:firstLine="480" w:firstLineChars="200"/>
        <w:rPr>
          <w:rFonts w:ascii="宋体" w:hAnsi="宋体"/>
          <w:sz w:val="24"/>
        </w:rPr>
      </w:pPr>
      <w:r>
        <w:rPr>
          <w:rFonts w:hint="eastAsia" w:ascii="宋体" w:hAnsi="宋体"/>
          <w:sz w:val="24"/>
        </w:rPr>
        <w:t>基金管理人应依据有关法律法规的规定和《基金合同》的约定，开设和管理期货账户。</w:t>
      </w:r>
    </w:p>
    <w:p w14:paraId="28AB1D3A">
      <w:pPr>
        <w:spacing w:line="360" w:lineRule="auto"/>
        <w:ind w:firstLine="480" w:firstLineChars="200"/>
        <w:rPr>
          <w:rFonts w:ascii="宋体" w:hAnsi="宋体"/>
          <w:sz w:val="24"/>
        </w:rPr>
      </w:pPr>
      <w:r>
        <w:rPr>
          <w:rFonts w:hint="eastAsia" w:ascii="宋体" w:hAnsi="宋体"/>
          <w:sz w:val="24"/>
        </w:rPr>
        <w:t>（九）其他账户的开设和管理</w:t>
      </w:r>
    </w:p>
    <w:p w14:paraId="4AF2D98E">
      <w:pPr>
        <w:spacing w:line="360" w:lineRule="auto"/>
        <w:ind w:firstLine="480" w:firstLineChars="200"/>
        <w:rPr>
          <w:rFonts w:ascii="宋体" w:hAnsi="宋体"/>
          <w:sz w:val="24"/>
        </w:rPr>
      </w:pPr>
      <w:r>
        <w:rPr>
          <w:rFonts w:hint="eastAsia" w:ascii="宋体" w:hAnsi="宋体"/>
          <w:sz w:val="24"/>
        </w:rPr>
        <w:t>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6D726159">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r>
        <w:rPr>
          <w:rFonts w:hint="eastAsia" w:ascii="宋体" w:hAnsi="宋体" w:eastAsia="宋体"/>
          <w:b w:val="0"/>
          <w:bCs w:val="0"/>
          <w:sz w:val="24"/>
          <w:szCs w:val="24"/>
        </w:rPr>
        <w:t>（十）存款证实书等实物证券的保管</w:t>
      </w:r>
    </w:p>
    <w:p w14:paraId="0B9F0924">
      <w:pPr>
        <w:spacing w:line="360" w:lineRule="auto"/>
        <w:ind w:firstLine="480" w:firstLineChars="200"/>
        <w:rPr>
          <w:rFonts w:ascii="宋体" w:hAnsi="宋体"/>
          <w:sz w:val="24"/>
        </w:rPr>
      </w:pPr>
      <w:r>
        <w:rPr>
          <w:rFonts w:hint="eastAsia" w:ascii="宋体" w:hAnsi="宋体"/>
          <w:sz w:val="24"/>
        </w:rPr>
        <w:t>基金管理人应将基金财产投资的有关实物证券交由基金托管人保管。属于基金托管人实际有效控制下的实物证券在基金托管人保管期间的毁损、灭失，由此产生的责任应由基金托管人承担。基金托管人对基金托管人以外机构实际有效控制或保管的证券不承担保管责任。</w:t>
      </w:r>
    </w:p>
    <w:p w14:paraId="3EDA1EAF">
      <w:pPr>
        <w:spacing w:line="360" w:lineRule="auto"/>
        <w:ind w:firstLine="480" w:firstLineChars="200"/>
        <w:rPr>
          <w:rFonts w:ascii="宋体" w:hAnsi="宋体"/>
          <w:sz w:val="24"/>
        </w:rPr>
      </w:pPr>
      <w:r>
        <w:rPr>
          <w:rFonts w:hint="eastAsia" w:ascii="宋体" w:hAnsi="宋体"/>
          <w:sz w:val="24"/>
        </w:rPr>
        <w:t>基金投资银行存款的，由存款银行向基金管理人开具存款证实书，基金管理人与基金托管人应遵守以下特别约定：</w:t>
      </w:r>
    </w:p>
    <w:p w14:paraId="7D71F0B3">
      <w:pPr>
        <w:spacing w:line="360" w:lineRule="auto"/>
        <w:ind w:firstLine="480" w:firstLineChars="200"/>
        <w:rPr>
          <w:rFonts w:ascii="宋体" w:hAnsi="宋体"/>
          <w:sz w:val="24"/>
        </w:rPr>
      </w:pPr>
      <w:r>
        <w:rPr>
          <w:rFonts w:hint="eastAsia" w:ascii="宋体" w:hAnsi="宋体"/>
          <w:sz w:val="24"/>
        </w:rPr>
        <w:t>1、基金财产在开展银行存款投资业务前，基金管理人应根据基金托管人的要求，提供办理存款证实书出入库手续所需的经办人员身份信息等相关材料。如基金托管人对相关材料有异议，基金托管人有权拒绝办理并不承担相应责任，基金管理人应采取措施核实并更正信息。</w:t>
      </w:r>
    </w:p>
    <w:p w14:paraId="4AC15909">
      <w:pPr>
        <w:spacing w:line="360" w:lineRule="auto"/>
        <w:ind w:firstLine="480" w:firstLineChars="200"/>
        <w:rPr>
          <w:rFonts w:ascii="宋体" w:hAnsi="宋体"/>
          <w:sz w:val="24"/>
        </w:rPr>
      </w:pPr>
      <w:r>
        <w:rPr>
          <w:rFonts w:hint="eastAsia" w:ascii="宋体" w:hAnsi="宋体"/>
          <w:sz w:val="24"/>
        </w:rPr>
        <w:t>2、基金管理人应通知存款银行及时与基金托管人办理存款证实书入库保管手续。如存款证实书要素与存款协议不符，在基金管理人与存款银行核实更正前，基金托管人有权拒绝办理入库手续。因发生自然灾害等不可抗力情况导致入库延误的，基金管理人应及时向基金托管人书面说明，并采取措施积极推动存款证实书入库，在完成入库前，由存款证实书持有方履行保管责任。</w:t>
      </w:r>
    </w:p>
    <w:p w14:paraId="2FF9F05B">
      <w:pPr>
        <w:spacing w:line="360" w:lineRule="auto"/>
        <w:ind w:firstLine="480" w:firstLineChars="200"/>
        <w:rPr>
          <w:rFonts w:ascii="宋体" w:hAnsi="宋体"/>
          <w:sz w:val="24"/>
        </w:rPr>
      </w:pPr>
      <w:r>
        <w:rPr>
          <w:rFonts w:hint="eastAsia" w:ascii="宋体" w:hAnsi="宋体"/>
          <w:sz w:val="24"/>
        </w:rPr>
        <w:t>3、存款到期前，基金管理人应及时与基金托管人办理存款证实书出库手续。如需提前支取，基金管理人应出具提前支取说明函。如需部分提前支取，应办理存款证实书置换，置换后新存款证实书除金额、编号、存款证实书开具日期外，其他核心要素与原存款证实书一致。</w:t>
      </w:r>
    </w:p>
    <w:p w14:paraId="4E2CA3E7">
      <w:pPr>
        <w:spacing w:line="360" w:lineRule="auto"/>
        <w:ind w:firstLine="480" w:firstLineChars="200"/>
        <w:rPr>
          <w:rFonts w:ascii="宋体" w:hAnsi="宋体"/>
          <w:sz w:val="24"/>
        </w:rPr>
      </w:pPr>
      <w:r>
        <w:rPr>
          <w:rFonts w:hint="eastAsia" w:ascii="宋体" w:hAnsi="宋体"/>
          <w:sz w:val="24"/>
        </w:rPr>
        <w:t>4、存款到期后，如因自然灾害等不可抗力导致无法正常办理存款证实书出库手续的，基金管理人应在与存款银行的存款协议中就上述情况作出相应安排，并明确存款银行应将支取后的存款本息全部划转回基金资产托管专户。</w:t>
      </w:r>
    </w:p>
    <w:p w14:paraId="7748C5FF">
      <w:pPr>
        <w:spacing w:line="360" w:lineRule="auto"/>
        <w:ind w:firstLine="480" w:firstLineChars="200"/>
        <w:rPr>
          <w:rFonts w:ascii="宋体" w:hAnsi="宋体"/>
          <w:sz w:val="24"/>
        </w:rPr>
      </w:pPr>
      <w:r>
        <w:rPr>
          <w:rFonts w:hint="eastAsia" w:ascii="宋体" w:hAnsi="宋体"/>
          <w:sz w:val="24"/>
        </w:rPr>
        <w:t>5、如存款证实书因非基金托管人原因出现毁损、灭失，或晚于存款到期日到达存款行等情形，导致存款无法被按时支取的，基金管理人应及时采取补救措施，基金托管人不承担相关责任，但应给予必要配合。存款证实书仅作为存款证实，不得设立担保或用于任何可能导致存款资金损失的其他用途。</w:t>
      </w:r>
    </w:p>
    <w:p w14:paraId="5B0592E6">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bookmarkStart w:id="69" w:name="_Toc37159180"/>
      <w:r>
        <w:rPr>
          <w:rFonts w:hint="eastAsia" w:ascii="宋体" w:hAnsi="宋体" w:eastAsia="宋体"/>
          <w:b w:val="0"/>
          <w:bCs w:val="0"/>
          <w:sz w:val="24"/>
          <w:szCs w:val="24"/>
        </w:rPr>
        <w:t>（十一）与基金财产有关的重大合同的保管</w:t>
      </w:r>
      <w:bookmarkEnd w:id="69"/>
    </w:p>
    <w:p w14:paraId="1055FDA3">
      <w:pPr>
        <w:spacing w:line="360" w:lineRule="auto"/>
        <w:ind w:firstLine="480" w:firstLineChars="200"/>
        <w:rPr>
          <w:rFonts w:ascii="宋体" w:hAnsi="宋体"/>
          <w:sz w:val="24"/>
          <w:szCs w:val="21"/>
        </w:rPr>
      </w:pPr>
      <w:r>
        <w:rPr>
          <w:rFonts w:hint="eastAsia" w:ascii="宋体" w:hAnsi="宋体"/>
          <w:sz w:val="24"/>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保存期限不少于法律法规规定的最低期限。</w:t>
      </w:r>
    </w:p>
    <w:p w14:paraId="25FA9409">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70" w:name="_Toc140002341"/>
      <w:bookmarkStart w:id="71" w:name="_Toc125361078"/>
      <w:bookmarkStart w:id="72" w:name="_Toc123626172"/>
      <w:bookmarkStart w:id="73" w:name="_Toc124749941"/>
      <w:bookmarkStart w:id="74" w:name="_Toc124749230"/>
      <w:r>
        <w:rPr>
          <w:rFonts w:hint="eastAsia" w:ascii="宋体" w:hAnsi="宋体" w:cs="Arial"/>
          <w:sz w:val="30"/>
        </w:rPr>
        <w:t>指令的发送、确认和执行</w:t>
      </w:r>
      <w:bookmarkEnd w:id="4"/>
      <w:bookmarkEnd w:id="5"/>
      <w:bookmarkEnd w:id="6"/>
      <w:bookmarkEnd w:id="70"/>
      <w:bookmarkEnd w:id="71"/>
      <w:bookmarkEnd w:id="72"/>
      <w:bookmarkEnd w:id="73"/>
      <w:bookmarkEnd w:id="74"/>
    </w:p>
    <w:p w14:paraId="34D90B0D">
      <w:pPr>
        <w:spacing w:line="360" w:lineRule="auto"/>
        <w:ind w:firstLine="480" w:firstLineChars="200"/>
        <w:rPr>
          <w:rFonts w:ascii="宋体" w:hAnsi="宋体"/>
          <w:sz w:val="24"/>
        </w:rPr>
      </w:pPr>
      <w:bookmarkStart w:id="75" w:name="_Toc48703899"/>
      <w:r>
        <w:rPr>
          <w:rFonts w:hint="eastAsia" w:ascii="宋体" w:hAnsi="宋体"/>
          <w:sz w:val="24"/>
        </w:rPr>
        <w:t>（一）指令的形式和授权</w:t>
      </w:r>
    </w:p>
    <w:p w14:paraId="156E49DA">
      <w:pPr>
        <w:spacing w:line="360" w:lineRule="auto"/>
        <w:ind w:firstLine="480" w:firstLineChars="200"/>
        <w:rPr>
          <w:rFonts w:ascii="宋体" w:hAnsi="宋体"/>
          <w:sz w:val="24"/>
        </w:rPr>
      </w:pPr>
      <w:r>
        <w:rPr>
          <w:rFonts w:hint="eastAsia" w:ascii="宋体" w:hAnsi="宋体"/>
          <w:sz w:val="24"/>
        </w:rPr>
        <w:t>指令是基金管理人在运用基金资产时，向基金托管人发出的投资资金划拨及其他款项支付的指示或要求。基金管理人向基金托管人发送的指令形式包括电子指令、授权指令和书面指令。</w:t>
      </w:r>
    </w:p>
    <w:p w14:paraId="69D806D7">
      <w:pPr>
        <w:spacing w:line="360" w:lineRule="auto"/>
        <w:ind w:firstLine="480" w:firstLineChars="200"/>
        <w:rPr>
          <w:rFonts w:ascii="宋体" w:hAnsi="宋体"/>
          <w:sz w:val="24"/>
        </w:rPr>
      </w:pPr>
      <w:r>
        <w:rPr>
          <w:rFonts w:hint="eastAsia" w:ascii="宋体" w:hAnsi="宋体"/>
          <w:sz w:val="24"/>
        </w:rPr>
        <w:t>1、电子指令</w:t>
      </w:r>
    </w:p>
    <w:p w14:paraId="7ED27CD8">
      <w:pPr>
        <w:spacing w:line="360" w:lineRule="auto"/>
        <w:ind w:firstLine="480" w:firstLineChars="200"/>
        <w:rPr>
          <w:rFonts w:ascii="宋体" w:hAnsi="宋体"/>
          <w:sz w:val="24"/>
        </w:rPr>
      </w:pPr>
      <w:r>
        <w:rPr>
          <w:rFonts w:hint="eastAsia" w:ascii="宋体" w:hAnsi="宋体"/>
          <w:sz w:val="24"/>
        </w:rPr>
        <w:t>电子指令是指基金管理人通过电子报文系统等电子系统发送的指令。</w:t>
      </w:r>
    </w:p>
    <w:p w14:paraId="0AC642BD">
      <w:pPr>
        <w:spacing w:line="360" w:lineRule="auto"/>
        <w:ind w:firstLine="480" w:firstLineChars="200"/>
        <w:rPr>
          <w:rFonts w:ascii="宋体" w:hAnsi="宋体"/>
          <w:sz w:val="24"/>
        </w:rPr>
      </w:pPr>
      <w:r>
        <w:rPr>
          <w:rFonts w:hint="eastAsia" w:ascii="宋体" w:hAnsi="宋体"/>
          <w:sz w:val="24"/>
        </w:rPr>
        <w:t>2、授权指令</w:t>
      </w:r>
    </w:p>
    <w:p w14:paraId="17075DA9">
      <w:pPr>
        <w:spacing w:line="360" w:lineRule="auto"/>
        <w:ind w:firstLine="480" w:firstLineChars="200"/>
        <w:rPr>
          <w:rFonts w:ascii="宋体" w:hAnsi="宋体"/>
          <w:sz w:val="24"/>
        </w:rPr>
      </w:pPr>
      <w:r>
        <w:rPr>
          <w:rFonts w:hint="eastAsia" w:ascii="宋体" w:hAnsi="宋体"/>
          <w:sz w:val="24"/>
        </w:rPr>
        <w:t>授权指令是指基金托管人根据基金管理人的授权，基于双方协商一致所设定的业务规则、登记结算机构数据或监管部门认可的公告等公开信息形成的指令。具体适用条件、发送、确认和执行等相关要求均由双方根据业务需要另行协商确定。</w:t>
      </w:r>
    </w:p>
    <w:p w14:paraId="607A848B">
      <w:pPr>
        <w:spacing w:line="360" w:lineRule="auto"/>
        <w:ind w:firstLine="480" w:firstLineChars="200"/>
        <w:rPr>
          <w:rFonts w:ascii="宋体" w:hAnsi="宋体"/>
          <w:sz w:val="24"/>
        </w:rPr>
      </w:pPr>
      <w:r>
        <w:rPr>
          <w:rFonts w:hint="eastAsia" w:ascii="宋体" w:hAnsi="宋体"/>
          <w:sz w:val="24"/>
        </w:rPr>
        <w:t>基金管理人拟采用授权指令的，应提前向基金托管人提供对应类别授权指令的书面授权，载明指令内容和执行程序。</w:t>
      </w:r>
    </w:p>
    <w:p w14:paraId="5F6317D3">
      <w:pPr>
        <w:spacing w:line="360" w:lineRule="auto"/>
        <w:ind w:firstLine="480" w:firstLineChars="200"/>
        <w:rPr>
          <w:rFonts w:ascii="宋体" w:hAnsi="宋体"/>
          <w:sz w:val="24"/>
        </w:rPr>
      </w:pPr>
      <w:r>
        <w:rPr>
          <w:rFonts w:hint="eastAsia" w:ascii="宋体" w:hAnsi="宋体"/>
          <w:sz w:val="24"/>
        </w:rPr>
        <w:t>3、书面指令</w:t>
      </w:r>
    </w:p>
    <w:p w14:paraId="5FA1F643">
      <w:pPr>
        <w:spacing w:line="360" w:lineRule="auto"/>
        <w:ind w:firstLine="480" w:firstLineChars="200"/>
        <w:rPr>
          <w:rFonts w:ascii="宋体" w:hAnsi="宋体"/>
          <w:sz w:val="24"/>
        </w:rPr>
      </w:pPr>
      <w:r>
        <w:rPr>
          <w:rFonts w:hint="eastAsia" w:ascii="宋体" w:hAnsi="宋体"/>
          <w:sz w:val="24"/>
        </w:rPr>
        <w:t>书面指令是指基金管理人出具的纸质指令。基金管理人应通过传真或者邮件等双方约定的方式发送书面指令的扫描件，并确保与指令原件内容一致。书面指令应作为应急方式，在电子指令、授权指令无法正常送达或形成时，基金管理人应向基金托管人发送书面指令。</w:t>
      </w:r>
    </w:p>
    <w:p w14:paraId="1316D8BE">
      <w:pPr>
        <w:spacing w:line="360" w:lineRule="auto"/>
        <w:ind w:firstLine="480" w:firstLineChars="200"/>
        <w:rPr>
          <w:rFonts w:ascii="宋体" w:hAnsi="宋体"/>
          <w:sz w:val="24"/>
        </w:rPr>
      </w:pPr>
      <w:r>
        <w:rPr>
          <w:rFonts w:hint="eastAsia" w:ascii="宋体" w:hAnsi="宋体"/>
          <w:sz w:val="24"/>
        </w:rPr>
        <w:t>基金管理人应事先向基金托管人提供书面指令的授权通知，列明预留印鉴样本、有权向基金托管人发送指令的被授权人名单及权限（包括但不限于审批金额、审批事项种类），并载明生效时间。基金托管人应在收到授权通知后向基金管理人邮件确认。授权于授权通知载明的生效时间生效。若授权通知载明的生效时间早于基金托管人向基金管理人邮件确认的时间，则授权于基金托管人确认时生效（双方另有约定的，从其约定）。</w:t>
      </w:r>
    </w:p>
    <w:p w14:paraId="0704362F">
      <w:pPr>
        <w:spacing w:line="360" w:lineRule="auto"/>
        <w:ind w:firstLine="480" w:firstLineChars="200"/>
        <w:rPr>
          <w:rFonts w:ascii="宋体" w:hAnsi="宋体"/>
          <w:sz w:val="24"/>
        </w:rPr>
      </w:pPr>
      <w:r>
        <w:rPr>
          <w:rFonts w:hint="eastAsia" w:ascii="宋体" w:hAnsi="宋体"/>
          <w:sz w:val="24"/>
        </w:rPr>
        <w:t>基金管理人变更授权通知，参照上述流程办理。</w:t>
      </w:r>
    </w:p>
    <w:p w14:paraId="6DB4170E">
      <w:pPr>
        <w:spacing w:line="360" w:lineRule="auto"/>
        <w:ind w:firstLine="480" w:firstLineChars="200"/>
        <w:rPr>
          <w:rFonts w:ascii="宋体" w:hAnsi="宋体"/>
          <w:sz w:val="24"/>
        </w:rPr>
      </w:pPr>
      <w:r>
        <w:rPr>
          <w:rFonts w:hint="eastAsia" w:ascii="宋体" w:hAnsi="宋体"/>
          <w:sz w:val="24"/>
        </w:rPr>
        <w:t>基金管理人和基金托管人对授权通知负有保密义务，其内容不得向授权人及相关操作人员以外的任何人泄露，但法律法规规定或有权机关另有要求的除外。</w:t>
      </w:r>
    </w:p>
    <w:p w14:paraId="7B97DFC5">
      <w:pPr>
        <w:spacing w:line="360" w:lineRule="auto"/>
        <w:ind w:firstLine="480" w:firstLineChars="200"/>
        <w:rPr>
          <w:rFonts w:ascii="宋体" w:hAnsi="宋体"/>
          <w:sz w:val="24"/>
        </w:rPr>
      </w:pPr>
      <w:r>
        <w:rPr>
          <w:rFonts w:hint="eastAsia" w:ascii="宋体" w:hAnsi="宋体"/>
          <w:sz w:val="24"/>
        </w:rPr>
        <w:t>（二）电子、书面指令的内容</w:t>
      </w:r>
    </w:p>
    <w:p w14:paraId="5F7A9D09">
      <w:pPr>
        <w:spacing w:line="360" w:lineRule="auto"/>
        <w:ind w:firstLine="480" w:firstLineChars="200"/>
        <w:rPr>
          <w:rFonts w:ascii="宋体" w:hAnsi="宋体"/>
          <w:sz w:val="24"/>
        </w:rPr>
      </w:pPr>
      <w:r>
        <w:rPr>
          <w:rFonts w:hint="eastAsia" w:ascii="宋体" w:hAnsi="宋体"/>
          <w:sz w:val="24"/>
        </w:rPr>
        <w:t>基金管理人发送给基金托管人的电子、书面指令须明确包含以下要素：用款事由、支付时间、金额、账户信息。</w:t>
      </w:r>
    </w:p>
    <w:p w14:paraId="5DD26E9A">
      <w:pPr>
        <w:spacing w:line="360" w:lineRule="auto"/>
        <w:ind w:firstLine="480" w:firstLineChars="200"/>
        <w:rPr>
          <w:rFonts w:ascii="宋体" w:hAnsi="宋体"/>
          <w:sz w:val="24"/>
        </w:rPr>
      </w:pPr>
      <w:r>
        <w:rPr>
          <w:rFonts w:hint="eastAsia" w:ascii="宋体" w:hAnsi="宋体"/>
          <w:sz w:val="24"/>
        </w:rPr>
        <w:t>（三）电子指令与书面指令的发送、确认和执行</w:t>
      </w:r>
    </w:p>
    <w:p w14:paraId="31BF7498">
      <w:pPr>
        <w:spacing w:line="360" w:lineRule="auto"/>
        <w:ind w:firstLine="480" w:firstLineChars="200"/>
        <w:rPr>
          <w:rFonts w:ascii="宋体" w:hAnsi="宋体"/>
          <w:sz w:val="24"/>
        </w:rPr>
      </w:pPr>
      <w:r>
        <w:rPr>
          <w:rFonts w:hint="eastAsia" w:ascii="宋体" w:hAnsi="宋体"/>
          <w:sz w:val="24"/>
        </w:rPr>
        <w:t>1、指令的发送</w:t>
      </w:r>
    </w:p>
    <w:p w14:paraId="6DC31747">
      <w:pPr>
        <w:spacing w:line="360" w:lineRule="auto"/>
        <w:ind w:firstLine="480" w:firstLineChars="200"/>
        <w:rPr>
          <w:rFonts w:ascii="宋体" w:hAnsi="宋体"/>
          <w:sz w:val="24"/>
        </w:rPr>
      </w:pPr>
      <w:r>
        <w:rPr>
          <w:rFonts w:hint="eastAsia" w:ascii="宋体" w:hAnsi="宋体"/>
          <w:sz w:val="24"/>
        </w:rPr>
        <w:t>基金管理人应按照《基金法》等法律法规的规定和《基金合同》约定，在其合法的经营权限和交易权限内发送指令。对于指令发送人员无权或超越权限发送的指令，基金托管人有权拒绝执行，并及时通知基金管理人改正。对于被授权人发出的指令，基金管理人不得否认其效力。</w:t>
      </w:r>
    </w:p>
    <w:p w14:paraId="68B35C07">
      <w:pPr>
        <w:spacing w:line="360" w:lineRule="auto"/>
        <w:ind w:firstLine="480" w:firstLineChars="200"/>
        <w:rPr>
          <w:rFonts w:ascii="宋体" w:hAnsi="宋体"/>
          <w:sz w:val="24"/>
        </w:rPr>
      </w:pPr>
      <w:r>
        <w:rPr>
          <w:rFonts w:hint="eastAsia" w:ascii="宋体" w:hAnsi="宋体"/>
          <w:sz w:val="24"/>
        </w:rPr>
        <w:t>2、指令的审核确认</w:t>
      </w:r>
    </w:p>
    <w:p w14:paraId="739C6A9A">
      <w:pPr>
        <w:spacing w:line="360" w:lineRule="auto"/>
        <w:ind w:firstLine="480" w:firstLineChars="200"/>
        <w:rPr>
          <w:rFonts w:ascii="宋体" w:hAnsi="宋体"/>
          <w:sz w:val="24"/>
        </w:rPr>
      </w:pPr>
      <w:r>
        <w:rPr>
          <w:rFonts w:hint="eastAsia" w:ascii="宋体" w:hAnsi="宋体"/>
          <w:sz w:val="24"/>
        </w:rPr>
        <w:t>基金管理人在向基金托管人发送电子指令、书面指令后，须电话联系基金托管人进行确认。因基金管理人未能及时与基金托管人进行指令确认,致使资金未能及时到账的，基金托管人不承担责任。</w:t>
      </w:r>
    </w:p>
    <w:p w14:paraId="0540EFAE">
      <w:pPr>
        <w:spacing w:line="360" w:lineRule="auto"/>
        <w:ind w:firstLine="480" w:firstLineChars="200"/>
        <w:rPr>
          <w:rFonts w:ascii="宋体" w:hAnsi="宋体"/>
          <w:sz w:val="24"/>
        </w:rPr>
      </w:pPr>
      <w:r>
        <w:rPr>
          <w:rFonts w:hint="eastAsia" w:ascii="宋体" w:hAnsi="宋体"/>
          <w:sz w:val="24"/>
        </w:rPr>
        <w:t>电子指令自成功进入基金托管人系统并经双方确认时视为送达。一旦成功进入基金托管人系统，均视为由基金管理人被授权人发送的指令，基金托管人对电子指令仅开展要素审核。</w:t>
      </w:r>
    </w:p>
    <w:p w14:paraId="52FA3F01">
      <w:pPr>
        <w:spacing w:line="360" w:lineRule="auto"/>
        <w:ind w:firstLine="480" w:firstLineChars="200"/>
        <w:rPr>
          <w:rFonts w:ascii="宋体" w:hAnsi="宋体"/>
          <w:sz w:val="24"/>
        </w:rPr>
      </w:pPr>
      <w:r>
        <w:rPr>
          <w:rFonts w:hint="eastAsia" w:ascii="宋体" w:hAnsi="宋体"/>
          <w:sz w:val="24"/>
        </w:rPr>
        <w:t>对书面指令，基金托管人应先根据授权通知，核验指令签发人信息及印鉴有效性，授权核验不通过，基金托管人有权拒绝执行；核验通过后，再进行要素审核。</w:t>
      </w:r>
    </w:p>
    <w:p w14:paraId="7D8F76C2">
      <w:pPr>
        <w:spacing w:line="360" w:lineRule="auto"/>
        <w:ind w:firstLine="480" w:firstLineChars="200"/>
        <w:rPr>
          <w:rFonts w:ascii="宋体" w:hAnsi="宋体"/>
          <w:sz w:val="24"/>
        </w:rPr>
      </w:pPr>
      <w:r>
        <w:rPr>
          <w:rFonts w:hint="eastAsia" w:ascii="宋体" w:hAnsi="宋体"/>
          <w:sz w:val="24"/>
        </w:rPr>
        <w:t>基金托管人对电子指令、书面指令的要素审核，仅指对指令要素的完整性以及与“证明材料”的表面一致性进行验证。要素审核无误，方可确认指令有效；要素审核不通过，或基金托管人在履行监督职责时发现指令违反《基金法》等法规规定或《基金合同》、本协议约定的，进入异议处理程序。</w:t>
      </w:r>
    </w:p>
    <w:p w14:paraId="3EA0E741">
      <w:pPr>
        <w:spacing w:line="360" w:lineRule="auto"/>
        <w:ind w:firstLine="480" w:firstLineChars="200"/>
        <w:rPr>
          <w:rFonts w:ascii="宋体" w:hAnsi="宋体"/>
          <w:sz w:val="24"/>
        </w:rPr>
      </w:pPr>
      <w:r>
        <w:rPr>
          <w:rFonts w:hint="eastAsia" w:ascii="宋体" w:hAnsi="宋体"/>
          <w:sz w:val="24"/>
        </w:rPr>
        <w:t>3、指令的执行</w:t>
      </w:r>
    </w:p>
    <w:p w14:paraId="6A44D016">
      <w:pPr>
        <w:spacing w:line="360" w:lineRule="auto"/>
        <w:ind w:firstLine="480" w:firstLineChars="200"/>
        <w:rPr>
          <w:rFonts w:ascii="宋体" w:hAnsi="宋体"/>
          <w:sz w:val="24"/>
        </w:rPr>
      </w:pPr>
      <w:r>
        <w:rPr>
          <w:rFonts w:hint="eastAsia" w:ascii="宋体" w:hAnsi="宋体"/>
          <w:sz w:val="24"/>
        </w:rPr>
        <w:t>基金托管人审核确认指令有效后，应依照本协议约定及时执行。</w:t>
      </w:r>
    </w:p>
    <w:p w14:paraId="3CB863C0">
      <w:pPr>
        <w:spacing w:line="360" w:lineRule="auto"/>
        <w:ind w:firstLine="480" w:firstLineChars="200"/>
        <w:rPr>
          <w:rFonts w:ascii="宋体" w:hAnsi="宋体"/>
          <w:sz w:val="24"/>
        </w:rPr>
      </w:pPr>
      <w:r>
        <w:rPr>
          <w:rFonts w:hint="eastAsia" w:ascii="宋体" w:hAnsi="宋体"/>
          <w:sz w:val="24"/>
        </w:rPr>
        <w:t>基金管理人在发送指令时，应为基金托管人留出执行指令所必需的时间。发送指令日完成划款的指令，基金管理人应给基金托管人预留出距划款截止时点至少2小时的指令执行时间。因基金管理人原因造成的指令传输不及时、未能留出足够划款所需时间，致使指令无法及时处理所造成的损失由基金管理人承担。</w:t>
      </w:r>
    </w:p>
    <w:p w14:paraId="6514902F">
      <w:pPr>
        <w:spacing w:line="360" w:lineRule="auto"/>
        <w:ind w:firstLine="480" w:firstLineChars="200"/>
        <w:rPr>
          <w:rFonts w:ascii="宋体" w:hAnsi="宋体"/>
          <w:sz w:val="24"/>
        </w:rPr>
      </w:pPr>
      <w:r>
        <w:rPr>
          <w:rFonts w:hint="eastAsia" w:ascii="宋体" w:hAnsi="宋体"/>
          <w:sz w:val="24"/>
        </w:rPr>
        <w:t>基金管理人应确保基金托管人在执行基金管理人发送的划款指令时，托管资金专户内有足够的资金。否则，基金托管人有权拒绝基金管理人发送的划款指令，但应立即通知基金管理人，经及时通知后，因不执行该指令而造成损失的，基金托管人不承担责任。</w:t>
      </w:r>
    </w:p>
    <w:p w14:paraId="77677B56">
      <w:pPr>
        <w:spacing w:line="360" w:lineRule="auto"/>
        <w:ind w:firstLine="480" w:firstLineChars="200"/>
        <w:rPr>
          <w:rFonts w:ascii="宋体" w:hAnsi="宋体"/>
          <w:sz w:val="24"/>
        </w:rPr>
      </w:pPr>
      <w:r>
        <w:rPr>
          <w:rFonts w:hint="eastAsia" w:ascii="宋体" w:hAnsi="宋体"/>
          <w:sz w:val="24"/>
        </w:rPr>
        <w:t>基金管理人确认，基金托管人在指令执行完毕后无需通过电话、电子数据等形式向基金管理人答复确认。</w:t>
      </w:r>
    </w:p>
    <w:p w14:paraId="61E9540F">
      <w:pPr>
        <w:spacing w:line="360" w:lineRule="auto"/>
        <w:ind w:firstLine="480" w:firstLineChars="200"/>
        <w:rPr>
          <w:rFonts w:ascii="宋体" w:hAnsi="宋体"/>
          <w:sz w:val="24"/>
        </w:rPr>
      </w:pPr>
      <w:r>
        <w:rPr>
          <w:rFonts w:hint="eastAsia" w:ascii="宋体" w:hAnsi="宋体"/>
          <w:sz w:val="24"/>
        </w:rPr>
        <w:t>4、指令的撤销与变更</w:t>
      </w:r>
    </w:p>
    <w:p w14:paraId="7195CE45">
      <w:pPr>
        <w:spacing w:line="360" w:lineRule="auto"/>
        <w:ind w:firstLine="480" w:firstLineChars="200"/>
        <w:rPr>
          <w:rFonts w:ascii="宋体" w:hAnsi="宋体"/>
          <w:sz w:val="24"/>
        </w:rPr>
      </w:pPr>
      <w:r>
        <w:rPr>
          <w:rFonts w:hint="eastAsia" w:ascii="宋体" w:hAnsi="宋体"/>
          <w:sz w:val="24"/>
        </w:rPr>
        <w:t>对于基金托管人尚未执行的电子指令与书面指令，基金管理人可以撤销，但应提前与基金托管人沟通。双方协商一致后基金管理人通过传真或者邮件等双方约定的方式发送撤销指令的书面通知（下称“指令撤销通知”）。指令撤销通知须在双方协商确定的时限内发出，载明指令撤销内容，并加盖授权通知中的预留印鉴。基金管理人未及时与基金托管人协商并在协商时限内发送指令撤销通知的，由此造成的后果及责任由基金管理人承担。</w:t>
      </w:r>
    </w:p>
    <w:p w14:paraId="7834B361">
      <w:pPr>
        <w:spacing w:line="360" w:lineRule="auto"/>
        <w:ind w:firstLine="480" w:firstLineChars="200"/>
        <w:rPr>
          <w:rFonts w:ascii="宋体" w:hAnsi="宋体"/>
          <w:sz w:val="24"/>
        </w:rPr>
      </w:pPr>
      <w:r>
        <w:rPr>
          <w:rFonts w:hint="eastAsia" w:ascii="宋体" w:hAnsi="宋体"/>
          <w:sz w:val="24"/>
        </w:rPr>
        <w:t>基金管理人应在发送指令撤销通知后电话联系基金托管人进行确认，该指令撤销通知经基金托管人确认后方可生效。如指令撤销通知载明的撤销内容与协商结果不一致，或印鉴不符合前述约定的，基金托管人不予确认，由此导致的相关后果及责任，基金托管人不予承担。</w:t>
      </w:r>
    </w:p>
    <w:p w14:paraId="45B256A0">
      <w:pPr>
        <w:spacing w:line="360" w:lineRule="auto"/>
        <w:ind w:firstLine="480" w:firstLineChars="200"/>
        <w:rPr>
          <w:rFonts w:ascii="宋体" w:hAnsi="宋体"/>
          <w:sz w:val="24"/>
        </w:rPr>
      </w:pPr>
      <w:r>
        <w:rPr>
          <w:rFonts w:hint="eastAsia" w:ascii="宋体" w:hAnsi="宋体"/>
          <w:sz w:val="24"/>
        </w:rPr>
        <w:t>指令变更参照上述流程办理。</w:t>
      </w:r>
    </w:p>
    <w:p w14:paraId="29DD5880">
      <w:pPr>
        <w:spacing w:line="360" w:lineRule="auto"/>
        <w:ind w:firstLine="480" w:firstLineChars="200"/>
        <w:rPr>
          <w:rFonts w:ascii="宋体" w:hAnsi="宋体"/>
          <w:sz w:val="24"/>
        </w:rPr>
      </w:pPr>
      <w:r>
        <w:rPr>
          <w:rFonts w:hint="eastAsia" w:ascii="宋体" w:hAnsi="宋体"/>
          <w:sz w:val="24"/>
        </w:rPr>
        <w:t>（四）电子指令与书面指令的异议处理程序</w:t>
      </w:r>
    </w:p>
    <w:p w14:paraId="1424D0E7">
      <w:pPr>
        <w:spacing w:line="360" w:lineRule="auto"/>
        <w:ind w:firstLine="480" w:firstLineChars="200"/>
        <w:rPr>
          <w:rFonts w:ascii="宋体" w:hAnsi="宋体"/>
          <w:sz w:val="24"/>
        </w:rPr>
      </w:pPr>
      <w:r>
        <w:rPr>
          <w:rFonts w:hint="eastAsia" w:ascii="宋体" w:hAnsi="宋体"/>
          <w:sz w:val="24"/>
        </w:rPr>
        <w:t>基金托管人对书面指令与电子指令存在疑义的，应及时向基金管理人提出。基金管理人须在双方协商的有效时间内答复，对于因异议处理导致的指令执行延误，基金托管人亦不承担责任。</w:t>
      </w:r>
    </w:p>
    <w:p w14:paraId="5E69E892">
      <w:pPr>
        <w:spacing w:line="360" w:lineRule="auto"/>
        <w:ind w:firstLine="480" w:firstLineChars="200"/>
        <w:rPr>
          <w:rFonts w:ascii="宋体" w:hAnsi="宋体"/>
          <w:sz w:val="24"/>
        </w:rPr>
      </w:pPr>
      <w:r>
        <w:rPr>
          <w:rFonts w:hint="eastAsia" w:ascii="宋体" w:hAnsi="宋体"/>
          <w:sz w:val="24"/>
        </w:rPr>
        <w:t>（五）基金托管人未按照基金管理人指令执行的责任</w:t>
      </w:r>
    </w:p>
    <w:p w14:paraId="07AF7DDD">
      <w:pPr>
        <w:spacing w:line="360" w:lineRule="auto"/>
        <w:ind w:firstLine="480" w:firstLineChars="200"/>
        <w:rPr>
          <w:rFonts w:ascii="宋体" w:hAnsi="宋体"/>
          <w:sz w:val="24"/>
        </w:rPr>
      </w:pPr>
      <w:r>
        <w:rPr>
          <w:rFonts w:hint="eastAsia" w:ascii="宋体" w:hAnsi="宋体"/>
          <w:sz w:val="24"/>
        </w:rPr>
        <w:t>基金托管人由于自身原因未按照或者未及时按照基金管理人发送的有效指令执行，给基金份额持有人造成损失的，应负赔偿责任。</w:t>
      </w:r>
      <w:bookmarkEnd w:id="75"/>
    </w:p>
    <w:p w14:paraId="1CF09AD9">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76" w:name="_Toc48703903"/>
      <w:bookmarkStart w:id="77" w:name="_Toc140002342"/>
      <w:bookmarkStart w:id="78" w:name="_Toc523829997"/>
      <w:bookmarkStart w:id="79" w:name="_Toc124749231"/>
      <w:bookmarkStart w:id="80" w:name="_Toc124749942"/>
      <w:bookmarkStart w:id="81" w:name="_Toc123626173"/>
      <w:bookmarkStart w:id="82" w:name="_Toc466788856"/>
      <w:bookmarkStart w:id="83" w:name="_Toc22454451"/>
      <w:bookmarkStart w:id="84" w:name="_Toc125361079"/>
      <w:r>
        <w:rPr>
          <w:rFonts w:hint="eastAsia" w:ascii="宋体" w:hAnsi="宋体" w:cs="Arial"/>
          <w:sz w:val="30"/>
        </w:rPr>
        <w:t>交易及清算交收安排</w:t>
      </w:r>
      <w:bookmarkEnd w:id="76"/>
      <w:bookmarkEnd w:id="77"/>
      <w:bookmarkEnd w:id="78"/>
      <w:bookmarkEnd w:id="79"/>
      <w:bookmarkEnd w:id="80"/>
      <w:bookmarkEnd w:id="81"/>
      <w:bookmarkEnd w:id="82"/>
      <w:bookmarkEnd w:id="83"/>
      <w:bookmarkEnd w:id="84"/>
    </w:p>
    <w:p w14:paraId="294F1AD5">
      <w:pPr>
        <w:spacing w:line="360" w:lineRule="auto"/>
        <w:ind w:firstLine="480" w:firstLineChars="200"/>
        <w:rPr>
          <w:rFonts w:ascii="宋体" w:hAnsi="宋体"/>
          <w:sz w:val="24"/>
        </w:rPr>
      </w:pPr>
      <w:bookmarkStart w:id="85" w:name="_Toc48703904"/>
      <w:bookmarkStart w:id="86" w:name="_Toc22454452"/>
      <w:r>
        <w:rPr>
          <w:rFonts w:hint="eastAsia" w:ascii="宋体" w:hAnsi="宋体"/>
          <w:sz w:val="24"/>
        </w:rPr>
        <w:t>（一）</w:t>
      </w:r>
      <w:bookmarkEnd w:id="85"/>
      <w:bookmarkEnd w:id="86"/>
      <w:r>
        <w:rPr>
          <w:rFonts w:hint="eastAsia" w:ascii="宋体" w:hAnsi="宋体"/>
          <w:sz w:val="24"/>
        </w:rPr>
        <w:t>选择代理证券/期货买卖的证券/期货经纪机构的标准和程序</w:t>
      </w:r>
    </w:p>
    <w:p w14:paraId="4915DD3A">
      <w:pPr>
        <w:spacing w:line="360" w:lineRule="auto"/>
        <w:ind w:firstLine="480" w:firstLineChars="200"/>
        <w:rPr>
          <w:rFonts w:ascii="宋体" w:hAnsi="宋体"/>
          <w:sz w:val="24"/>
        </w:rPr>
      </w:pPr>
      <w:r>
        <w:rPr>
          <w:rFonts w:hint="eastAsia" w:ascii="宋体" w:hAnsi="宋体"/>
          <w:sz w:val="24"/>
        </w:rPr>
        <w:t>基金管理人负责根据相关标准以及内部管理制度对有关证券经纪机构进行考察后确定代理本基金证券买卖证券经纪机构。由基金管理人与基金托管人及证券经纪机构签订本基金的证券经纪服务协议，明确三方在本基金参与场内证券交易、证券交收及相关资金交收过程中的职责和义务。基金管理人应及时将基金专用交易单元号、佣金费率等基本信息以及变更情况及时以书面形式通知基金托管人。</w:t>
      </w:r>
    </w:p>
    <w:p w14:paraId="10460F76">
      <w:pPr>
        <w:spacing w:line="360" w:lineRule="auto"/>
        <w:ind w:firstLine="480" w:firstLineChars="200"/>
        <w:rPr>
          <w:rFonts w:ascii="宋体" w:hAnsi="宋体"/>
          <w:sz w:val="24"/>
        </w:rPr>
      </w:pPr>
      <w:r>
        <w:rPr>
          <w:rFonts w:hint="eastAsia" w:ascii="宋体" w:hAnsi="宋体"/>
          <w:sz w:val="24"/>
        </w:rPr>
        <w:t>基金管理人负责选择代理本基金期货交易的期货经纪机构，并与其签订期货经纪合同，其他事宜根据法律法规、《基金合同》的相关规定执行。基金管理人所选择的期货公司负责办理基金资产的期货交易的清算交割。基金管理人、基金托管人以及期货公司应另行签署《期货投资托管操作备忘录》，约定基金资产在期货投资运作中的职责及义务。</w:t>
      </w:r>
    </w:p>
    <w:p w14:paraId="0285168F">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bookmarkStart w:id="87" w:name="_Toc48703905"/>
      <w:r>
        <w:rPr>
          <w:rFonts w:hint="eastAsia" w:ascii="宋体" w:hAnsi="宋体" w:eastAsia="宋体"/>
          <w:b w:val="0"/>
          <w:bCs w:val="0"/>
          <w:sz w:val="24"/>
          <w:szCs w:val="24"/>
        </w:rPr>
        <w:t>（二）基金投资证券后的清算</w:t>
      </w:r>
      <w:bookmarkEnd w:id="87"/>
      <w:r>
        <w:rPr>
          <w:rFonts w:hint="eastAsia" w:ascii="宋体" w:hAnsi="宋体" w:eastAsia="宋体"/>
          <w:b w:val="0"/>
          <w:bCs w:val="0"/>
          <w:sz w:val="24"/>
          <w:szCs w:val="24"/>
        </w:rPr>
        <w:t>交收安排</w:t>
      </w:r>
    </w:p>
    <w:p w14:paraId="18355FEC">
      <w:pPr>
        <w:spacing w:line="360" w:lineRule="auto"/>
        <w:ind w:firstLine="480" w:firstLineChars="200"/>
        <w:rPr>
          <w:rFonts w:ascii="宋体" w:hAnsi="宋体"/>
          <w:sz w:val="24"/>
        </w:rPr>
      </w:pPr>
      <w:r>
        <w:rPr>
          <w:rFonts w:hint="eastAsia" w:ascii="宋体" w:hAnsi="宋体"/>
          <w:sz w:val="24"/>
        </w:rPr>
        <w:t>1、基金管理人和基金托管人在基金投资证券后的清算和交收中的责任</w:t>
      </w:r>
    </w:p>
    <w:p w14:paraId="7A190F4D">
      <w:pPr>
        <w:spacing w:line="360" w:lineRule="auto"/>
        <w:ind w:firstLine="480" w:firstLineChars="200"/>
        <w:rPr>
          <w:rFonts w:ascii="宋体" w:hAnsi="宋体"/>
          <w:sz w:val="24"/>
        </w:rPr>
      </w:pPr>
      <w:r>
        <w:rPr>
          <w:rFonts w:hint="eastAsia" w:ascii="宋体" w:hAnsi="宋体"/>
          <w:sz w:val="24"/>
        </w:rPr>
        <w:t>基金投资于证券发生的所有场外交易的清算交割，由基金托管人负责根据相关登记结算机构的结算规则办理；基金投资于证券交易所所有场内交易的清算交割，由基金管理人选择的证券经纪机构根据中国证券登记结算公司的结算规则办理。</w:t>
      </w:r>
    </w:p>
    <w:p w14:paraId="02E5C750">
      <w:pPr>
        <w:spacing w:line="360" w:lineRule="auto"/>
        <w:ind w:firstLine="480" w:firstLineChars="200"/>
        <w:rPr>
          <w:rFonts w:ascii="宋体" w:hAnsi="宋体"/>
          <w:sz w:val="24"/>
        </w:rPr>
      </w:pPr>
      <w:r>
        <w:rPr>
          <w:rFonts w:hint="eastAsia" w:ascii="宋体" w:hAnsi="宋体"/>
          <w:sz w:val="24"/>
        </w:rPr>
        <w:t>证券经纪商负责本基金场内证券交易涉及的证券资金结算业务，并承担由证券经纪商原因造成的正常结算、交收业务无法完成的责任；若由于基金管理人原因造成的正常结算业务无法完成，责任由基金管理人承担。</w:t>
      </w:r>
    </w:p>
    <w:p w14:paraId="10C42490">
      <w:pPr>
        <w:spacing w:line="360" w:lineRule="auto"/>
        <w:ind w:firstLine="480" w:firstLineChars="200"/>
        <w:rPr>
          <w:rFonts w:ascii="宋体" w:hAnsi="宋体"/>
          <w:sz w:val="24"/>
        </w:rPr>
      </w:pPr>
      <w:r>
        <w:rPr>
          <w:rFonts w:hint="eastAsia" w:ascii="宋体" w:hAnsi="宋体"/>
          <w:sz w:val="24"/>
        </w:rPr>
        <w:t>对于任何原因发生的证券资金交收违约事件，相关各方应当及时协商解决。</w:t>
      </w:r>
    </w:p>
    <w:p w14:paraId="5A58507B">
      <w:pPr>
        <w:spacing w:line="360" w:lineRule="auto"/>
        <w:ind w:firstLine="480" w:firstLineChars="200"/>
        <w:rPr>
          <w:rFonts w:ascii="宋体" w:hAnsi="宋体"/>
          <w:sz w:val="24"/>
        </w:rPr>
      </w:pPr>
      <w:r>
        <w:rPr>
          <w:rFonts w:hint="eastAsia" w:ascii="宋体" w:hAnsi="宋体"/>
          <w:sz w:val="24"/>
        </w:rPr>
        <w:t>本基金投资于期货发生的资金交割清算由基金管理人选定的期货经纪公司负责办理，基金托管人对由于期货交易所期货保证金制度和清算交割的需要而存放在期货经纪公司的资金不行使保管职责和交收职责，基金管理人应在期货经纪协议或其它协议中约定由选定的期货经纪公司承担资金安全保管责任和交收责任。</w:t>
      </w:r>
    </w:p>
    <w:p w14:paraId="4BA21E5E">
      <w:pPr>
        <w:spacing w:line="360" w:lineRule="auto"/>
        <w:ind w:firstLine="480" w:firstLineChars="200"/>
        <w:rPr>
          <w:rFonts w:ascii="宋体" w:hAnsi="宋体"/>
          <w:sz w:val="24"/>
        </w:rPr>
      </w:pPr>
      <w:r>
        <w:rPr>
          <w:rFonts w:hint="eastAsia" w:ascii="宋体" w:hAnsi="宋体"/>
          <w:sz w:val="24"/>
        </w:rPr>
        <w:t>场外交易资金对外投资划款由基金托管人根据基金管理人符合本托管协议约定的有效资金划拨指令进行资金划拨；场外投资本金及收益的划回，由基金管理人负责协调相关资金划拨回本基金托管户事宜。基金管理人应确保基金托管人在执行其发送指令时，有足够的头寸进行交收。基金的资金头寸不足时，基金托管人有权拒绝执行基金管理人发送的划款指令。基金管理人在发送指令时应充分考虑基金托管人执行指令所需的合理必要时间。如非因基金托管人原因无法按时划款，由此给基金及基金托管人造成的损失由基金管理人承担。</w:t>
      </w:r>
    </w:p>
    <w:p w14:paraId="5E459078">
      <w:pPr>
        <w:spacing w:line="360" w:lineRule="auto"/>
        <w:ind w:firstLine="480" w:firstLineChars="200"/>
        <w:rPr>
          <w:rFonts w:ascii="宋体" w:hAnsi="宋体"/>
          <w:sz w:val="24"/>
        </w:rPr>
      </w:pPr>
      <w:r>
        <w:rPr>
          <w:rFonts w:hint="eastAsia" w:ascii="宋体" w:hAnsi="宋体"/>
          <w:sz w:val="24"/>
        </w:rPr>
        <w:t>本基金参与T+0交易所非担保交收债券交易的，通过证券经纪机构代理进行交易，由证券经纪机构直接从资金账户中进行资金清算并承担由证券经纪机构原因造成的正常结算、交收业务无法完成的责任。若由于基金管理人原因造成的正常结算业务无法完成，责任由基金管理人承担。</w:t>
      </w:r>
    </w:p>
    <w:p w14:paraId="74FE4150">
      <w:pPr>
        <w:spacing w:line="360" w:lineRule="auto"/>
        <w:ind w:firstLine="480" w:firstLineChars="200"/>
        <w:rPr>
          <w:rFonts w:ascii="宋体" w:hAnsi="宋体"/>
          <w:sz w:val="24"/>
        </w:rPr>
      </w:pPr>
      <w:r>
        <w:rPr>
          <w:rFonts w:hint="eastAsia" w:ascii="宋体" w:hAnsi="宋体"/>
          <w:sz w:val="24"/>
        </w:rPr>
        <w:t>2、基金出现超买或超卖的责任认定及处理程序</w:t>
      </w:r>
    </w:p>
    <w:p w14:paraId="5B1DC591">
      <w:pPr>
        <w:spacing w:line="360" w:lineRule="auto"/>
        <w:ind w:firstLine="480" w:firstLineChars="200"/>
        <w:rPr>
          <w:rFonts w:ascii="宋体" w:hAnsi="宋体"/>
          <w:sz w:val="24"/>
        </w:rPr>
      </w:pPr>
      <w:r>
        <w:rPr>
          <w:rFonts w:hint="eastAsia" w:ascii="宋体" w:hAnsi="宋体"/>
          <w:sz w:val="24"/>
        </w:rPr>
        <w:t>基金托管人在履行监督职能时，如果发现基金投资证券过程中出现超买或超卖现象，应立即提醒基金管理人，由基金管理人负责解决，由此给基金及基金托管人造成的损失由基金管理人承担。如果非因基金托管人原因发生超买行为，基金管理人必须于T+1日上午10时之前划拨资金，用以完成清算交收。</w:t>
      </w:r>
    </w:p>
    <w:p w14:paraId="18D4ABD4">
      <w:pPr>
        <w:spacing w:line="360" w:lineRule="auto"/>
        <w:ind w:firstLine="480" w:firstLineChars="200"/>
        <w:rPr>
          <w:rFonts w:ascii="宋体" w:hAnsi="宋体"/>
          <w:sz w:val="24"/>
        </w:rPr>
      </w:pPr>
      <w:r>
        <w:rPr>
          <w:rFonts w:ascii="宋体" w:hAnsi="宋体"/>
          <w:sz w:val="24"/>
        </w:rPr>
        <w:t>3</w:t>
      </w:r>
      <w:r>
        <w:rPr>
          <w:rFonts w:hint="eastAsia" w:ascii="宋体" w:hAnsi="宋体"/>
          <w:sz w:val="24"/>
        </w:rPr>
        <w:t>、关于基金参与港股通交易的特别约定</w:t>
      </w:r>
    </w:p>
    <w:p w14:paraId="0F581C78">
      <w:pPr>
        <w:spacing w:line="360" w:lineRule="auto"/>
        <w:ind w:firstLine="480" w:firstLineChars="200"/>
        <w:rPr>
          <w:rFonts w:ascii="宋体" w:hAnsi="宋体"/>
          <w:sz w:val="24"/>
        </w:rPr>
      </w:pPr>
      <w:r>
        <w:rPr>
          <w:rFonts w:hint="eastAsia" w:ascii="宋体" w:hAnsi="宋体"/>
          <w:sz w:val="24"/>
        </w:rPr>
        <w:t>基金管理人应保证在T+1日9：30之前有足够的头寸用于港股通T+1日公司行动、证券组合费和风控资金的交收，在T+1日14：00之前有足够的头寸用于港股通T+2日交易资金的交收。</w:t>
      </w:r>
    </w:p>
    <w:p w14:paraId="4758462B">
      <w:pPr>
        <w:spacing w:line="360" w:lineRule="auto"/>
        <w:ind w:firstLine="480" w:firstLineChars="200"/>
        <w:rPr>
          <w:rFonts w:ascii="宋体" w:hAnsi="宋体"/>
          <w:sz w:val="24"/>
        </w:rPr>
      </w:pPr>
      <w:r>
        <w:rPr>
          <w:rFonts w:hint="eastAsia" w:ascii="宋体" w:hAnsi="宋体"/>
          <w:sz w:val="24"/>
        </w:rPr>
        <w:t>特别的，对于基金参与港股通新增交易日交易的，基金管理人应知晓港股通交易日历优化实施后的交收规则，理解相关结算风险。对于两地市场非对称假期前（内地节假日但香港非节假日）的共同交易日（即新增交易日）的交易，基金管理人应履行资金提前到账义务，在T日16:30之前确保资金账户有足够的头寸用于港股通T日交易资金的交收。</w:t>
      </w:r>
    </w:p>
    <w:p w14:paraId="02FDD7EB">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bookmarkStart w:id="88" w:name="_Toc48703906"/>
      <w:r>
        <w:rPr>
          <w:rFonts w:hint="eastAsia" w:ascii="宋体" w:hAnsi="宋体" w:eastAsia="宋体"/>
          <w:b w:val="0"/>
          <w:bCs w:val="0"/>
          <w:sz w:val="24"/>
          <w:szCs w:val="24"/>
        </w:rPr>
        <w:t>（三）资金、证券账目及交易记录的核对</w:t>
      </w:r>
      <w:bookmarkEnd w:id="88"/>
    </w:p>
    <w:p w14:paraId="70183099">
      <w:pPr>
        <w:autoSpaceDE w:val="0"/>
        <w:autoSpaceDN w:val="0"/>
        <w:adjustRightInd w:val="0"/>
        <w:spacing w:line="360" w:lineRule="auto"/>
        <w:ind w:firstLine="480" w:firstLineChars="200"/>
        <w:jc w:val="left"/>
        <w:rPr>
          <w:sz w:val="24"/>
        </w:rPr>
      </w:pPr>
      <w:r>
        <w:rPr>
          <w:rFonts w:hint="eastAsia"/>
          <w:sz w:val="24"/>
        </w:rPr>
        <w:t>对基金的交易记录，由基金管理人与基金托管人按日进行核对，同时与证券经纪商进行交易记录的核对。每日对外披露各类基金份额净值之前，必须保证当天所有实际交易记录与基金会计账簿上的交易记录完全一致。如果由于证券经纪商提供的数据错误或者不完整致使实际交易记录与会计账簿记录不一致，造成基金会计核算不完整或不真实，由此导致的损失由证券经纪商承担。如果由于基金管理人或基金托管人自身原因致使实际交易记录与会计账簿记录不一致，造成基金会计核算不完整或不真实，由此导致的损失由责任方承担。</w:t>
      </w:r>
    </w:p>
    <w:p w14:paraId="6B807D05">
      <w:pPr>
        <w:autoSpaceDE w:val="0"/>
        <w:autoSpaceDN w:val="0"/>
        <w:adjustRightInd w:val="0"/>
        <w:spacing w:line="360" w:lineRule="auto"/>
        <w:ind w:firstLine="480" w:firstLineChars="200"/>
        <w:jc w:val="left"/>
        <w:rPr>
          <w:sz w:val="24"/>
        </w:rPr>
      </w:pPr>
      <w:r>
        <w:rPr>
          <w:rFonts w:hint="eastAsia"/>
          <w:sz w:val="24"/>
        </w:rPr>
        <w:t>对基金的资金账目，由相关各方每日对账一次，确保相关各方账账相符。</w:t>
      </w:r>
    </w:p>
    <w:p w14:paraId="7432B405">
      <w:pPr>
        <w:autoSpaceDE w:val="0"/>
        <w:autoSpaceDN w:val="0"/>
        <w:adjustRightInd w:val="0"/>
        <w:spacing w:line="360" w:lineRule="auto"/>
        <w:ind w:firstLine="480" w:firstLineChars="200"/>
        <w:jc w:val="left"/>
        <w:rPr>
          <w:sz w:val="24"/>
        </w:rPr>
      </w:pPr>
      <w:r>
        <w:rPr>
          <w:rFonts w:hint="eastAsia"/>
          <w:sz w:val="24"/>
        </w:rPr>
        <w:t>对基金证券账目，基金管理人和基金托管人每交易日结束后核对基金证券账目，并每日与证券经纪商提供的对账单数据进行核对，确保账目相符。</w:t>
      </w:r>
    </w:p>
    <w:p w14:paraId="4213E223">
      <w:pPr>
        <w:autoSpaceDE w:val="0"/>
        <w:autoSpaceDN w:val="0"/>
        <w:adjustRightInd w:val="0"/>
        <w:spacing w:line="360" w:lineRule="auto"/>
        <w:ind w:firstLine="480" w:firstLineChars="200"/>
        <w:jc w:val="left"/>
        <w:rPr>
          <w:sz w:val="24"/>
        </w:rPr>
      </w:pPr>
      <w:r>
        <w:rPr>
          <w:rFonts w:hint="eastAsia"/>
          <w:sz w:val="24"/>
        </w:rPr>
        <w:t>对实物券账目，每月月末相关各方进行账实核对。</w:t>
      </w:r>
    </w:p>
    <w:p w14:paraId="2E067137">
      <w:pPr>
        <w:spacing w:line="360" w:lineRule="auto"/>
        <w:ind w:firstLine="480" w:firstLineChars="200"/>
        <w:rPr>
          <w:rFonts w:ascii="宋体"/>
          <w:kern w:val="0"/>
          <w:sz w:val="24"/>
          <w:szCs w:val="20"/>
        </w:rPr>
      </w:pPr>
      <w:r>
        <w:rPr>
          <w:rFonts w:hint="eastAsia"/>
          <w:sz w:val="24"/>
        </w:rPr>
        <w:t>对交易记录，由相关各方每日对账一次。</w:t>
      </w:r>
    </w:p>
    <w:p w14:paraId="3C877E8C">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r>
        <w:rPr>
          <w:rFonts w:hint="eastAsia" w:ascii="宋体" w:hAnsi="宋体" w:eastAsia="宋体"/>
          <w:b w:val="0"/>
          <w:bCs w:val="0"/>
          <w:sz w:val="24"/>
          <w:szCs w:val="24"/>
        </w:rPr>
        <w:t>（四）申购、赎回、</w:t>
      </w:r>
      <w:r>
        <w:rPr>
          <w:rFonts w:hint="eastAsia" w:ascii="宋体" w:hAnsi="宋体" w:eastAsia="宋体"/>
          <w:b w:val="0"/>
          <w:sz w:val="24"/>
        </w:rPr>
        <w:t>转换开放式基金</w:t>
      </w:r>
      <w:r>
        <w:rPr>
          <w:rFonts w:hint="eastAsia" w:ascii="宋体" w:hAnsi="宋体" w:eastAsia="宋体"/>
          <w:b w:val="0"/>
          <w:bCs w:val="0"/>
          <w:sz w:val="24"/>
          <w:szCs w:val="24"/>
        </w:rPr>
        <w:t>的资金清算、</w:t>
      </w:r>
      <w:r>
        <w:rPr>
          <w:rFonts w:hint="eastAsia" w:ascii="宋体" w:hAnsi="宋体" w:eastAsia="宋体"/>
          <w:b w:val="0"/>
          <w:sz w:val="24"/>
        </w:rPr>
        <w:t>数据传递及托管协议当事人的责任</w:t>
      </w:r>
    </w:p>
    <w:p w14:paraId="23A194E0">
      <w:pPr>
        <w:spacing w:line="360" w:lineRule="auto"/>
        <w:ind w:firstLine="480" w:firstLineChars="200"/>
        <w:rPr>
          <w:rFonts w:ascii="宋体" w:hAnsi="宋体"/>
          <w:sz w:val="24"/>
        </w:rPr>
      </w:pPr>
      <w:bookmarkStart w:id="89" w:name="_Toc124749232"/>
      <w:bookmarkStart w:id="90" w:name="_Toc124749943"/>
      <w:bookmarkStart w:id="91" w:name="_Toc123626174"/>
      <w:r>
        <w:rPr>
          <w:rFonts w:hint="eastAsia" w:ascii="宋体" w:hAnsi="宋体"/>
          <w:sz w:val="24"/>
        </w:rPr>
        <w:t>1、托管协议当事人在开放式基金的申购赎回、转换中的责任</w:t>
      </w:r>
    </w:p>
    <w:p w14:paraId="464D775E">
      <w:pPr>
        <w:spacing w:line="360" w:lineRule="auto"/>
        <w:ind w:firstLine="480" w:firstLineChars="200"/>
        <w:rPr>
          <w:rFonts w:ascii="宋体" w:hAnsi="宋体"/>
          <w:sz w:val="24"/>
        </w:rPr>
      </w:pPr>
      <w:r>
        <w:rPr>
          <w:rFonts w:hint="eastAsia" w:ascii="宋体" w:hAnsi="宋体"/>
          <w:sz w:val="24"/>
        </w:rPr>
        <w:t>基金的投资者可通过基金管理人的直销中心和销售机构的销售网点进行申购和赎回申请，由基金管理人</w:t>
      </w:r>
      <w:r>
        <w:rPr>
          <w:rFonts w:ascii="宋体" w:hAnsi="宋体"/>
          <w:sz w:val="24"/>
        </w:rPr>
        <w:t>指定的登记机构</w:t>
      </w:r>
      <w:r>
        <w:rPr>
          <w:rFonts w:hint="eastAsia" w:ascii="宋体" w:hAnsi="宋体"/>
          <w:sz w:val="24"/>
        </w:rPr>
        <w:t>办理基金份额的过户和登记，基金托管人负责接收并确认资金的到账情况，以及依照基金管理人的投资指令来划付赎回款项。</w:t>
      </w:r>
    </w:p>
    <w:p w14:paraId="07CB4D4E">
      <w:pPr>
        <w:spacing w:line="360" w:lineRule="auto"/>
        <w:ind w:firstLine="480" w:firstLineChars="200"/>
        <w:rPr>
          <w:rFonts w:ascii="宋体" w:hAnsi="宋体"/>
          <w:sz w:val="24"/>
        </w:rPr>
      </w:pPr>
      <w:r>
        <w:rPr>
          <w:rFonts w:hint="eastAsia" w:ascii="宋体" w:hAnsi="宋体"/>
          <w:sz w:val="24"/>
        </w:rPr>
        <w:t>2、开放式基金的数据传递</w:t>
      </w:r>
    </w:p>
    <w:p w14:paraId="20BD3562">
      <w:pPr>
        <w:spacing w:line="360" w:lineRule="auto"/>
        <w:ind w:firstLine="480" w:firstLineChars="200"/>
        <w:rPr>
          <w:rFonts w:ascii="宋体" w:hAnsi="宋体"/>
          <w:sz w:val="24"/>
          <w:szCs w:val="21"/>
        </w:rPr>
      </w:pPr>
      <w:r>
        <w:rPr>
          <w:rFonts w:hint="eastAsia" w:ascii="宋体" w:hAnsi="宋体"/>
          <w:sz w:val="24"/>
          <w:szCs w:val="21"/>
        </w:rPr>
        <w:t>基金管理人应于每个工作日14：00之前将前一个开放日经确认的基金申购金额和赎回份额以书面形式并加盖业务专用章通知基金托管人。</w:t>
      </w:r>
      <w:r>
        <w:rPr>
          <w:rFonts w:hint="eastAsia" w:ascii="宋体" w:hAnsi="宋体"/>
          <w:sz w:val="24"/>
        </w:rPr>
        <w:t>基金管理人应对传递的申购、赎回数据的真实性、准确性和完整性负责。</w:t>
      </w:r>
    </w:p>
    <w:p w14:paraId="184ADBCA">
      <w:pPr>
        <w:spacing w:line="360" w:lineRule="auto"/>
        <w:ind w:firstLine="480" w:firstLineChars="200"/>
        <w:rPr>
          <w:rFonts w:ascii="宋体" w:hAnsi="宋体"/>
          <w:sz w:val="24"/>
        </w:rPr>
      </w:pPr>
      <w:r>
        <w:rPr>
          <w:rFonts w:hint="eastAsia" w:ascii="宋体" w:hAnsi="宋体"/>
          <w:sz w:val="24"/>
        </w:rPr>
        <w:t>3、开放式基金的资金清算</w:t>
      </w:r>
    </w:p>
    <w:p w14:paraId="649A2D8B">
      <w:pPr>
        <w:spacing w:line="360" w:lineRule="auto"/>
        <w:ind w:right="28" w:firstLine="480" w:firstLineChars="200"/>
        <w:rPr>
          <w:rFonts w:ascii="宋体" w:hAnsi="宋体"/>
          <w:sz w:val="24"/>
          <w:szCs w:val="21"/>
        </w:rPr>
      </w:pPr>
      <w:r>
        <w:rPr>
          <w:rFonts w:hint="eastAsia" w:ascii="宋体" w:hAnsi="宋体"/>
          <w:sz w:val="24"/>
          <w:szCs w:val="21"/>
        </w:rPr>
        <w:t>基金申购、赎回等款项采用轧差交收的结算方式，净额在最晚不迟于T+3日下午15：00前在基金管理人总清算账户和资产托管专户之间交收，如遇异常情况由管理人与托管人协商处理。</w:t>
      </w:r>
    </w:p>
    <w:p w14:paraId="049A4317">
      <w:pPr>
        <w:spacing w:line="360" w:lineRule="auto"/>
        <w:ind w:right="28" w:firstLine="480" w:firstLineChars="200"/>
        <w:rPr>
          <w:rFonts w:ascii="宋体" w:hAnsi="宋体"/>
          <w:sz w:val="24"/>
          <w:szCs w:val="21"/>
        </w:rPr>
      </w:pPr>
      <w:r>
        <w:rPr>
          <w:rFonts w:hint="eastAsia" w:ascii="宋体" w:hAnsi="宋体"/>
          <w:sz w:val="24"/>
          <w:szCs w:val="21"/>
        </w:rPr>
        <w:t>如果当日基金为净应收款，基金管理人可联系基金托管人查收资金是否到账，对于未准时到账的资金，基金管理人应及时划付，由此产生的责任应由基金管理人承担。后果严重的基金托管人应向中国证监会报告。</w:t>
      </w:r>
    </w:p>
    <w:p w14:paraId="0871AE57">
      <w:pPr>
        <w:spacing w:line="360" w:lineRule="auto"/>
        <w:ind w:right="28" w:firstLine="480" w:firstLineChars="200"/>
        <w:rPr>
          <w:rFonts w:ascii="宋体" w:hAnsi="宋体"/>
          <w:sz w:val="24"/>
          <w:szCs w:val="21"/>
        </w:rPr>
      </w:pPr>
      <w:r>
        <w:rPr>
          <w:rFonts w:hint="eastAsia" w:ascii="宋体" w:hAnsi="宋体"/>
          <w:sz w:val="24"/>
          <w:szCs w:val="21"/>
        </w:rPr>
        <w:t>如果当日基金为净应付款，基金托管人应根据基金管理人的指令及时进行划付。对于未准时划付的资金，基金管理人应及时通知基金托管人划付，由此产生的责任应由基金托管人承担（账户余额不足、账户异常等非托管人的原因除外）。后果严重的基金管理人应向中国证监会报告。</w:t>
      </w:r>
    </w:p>
    <w:p w14:paraId="5E4B20FA">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92" w:name="_Toc140002343"/>
      <w:bookmarkStart w:id="93" w:name="_Toc125361080"/>
      <w:r>
        <w:rPr>
          <w:rFonts w:hint="eastAsia" w:ascii="宋体" w:hAnsi="宋体" w:cs="Arial"/>
          <w:sz w:val="30"/>
        </w:rPr>
        <w:t>基金资产净值计算和会计核算</w:t>
      </w:r>
      <w:bookmarkEnd w:id="7"/>
      <w:bookmarkEnd w:id="8"/>
      <w:bookmarkEnd w:id="9"/>
      <w:bookmarkEnd w:id="89"/>
      <w:bookmarkEnd w:id="90"/>
      <w:bookmarkEnd w:id="91"/>
      <w:bookmarkEnd w:id="92"/>
      <w:bookmarkEnd w:id="93"/>
      <w:bookmarkStart w:id="94" w:name="_Toc48703909"/>
    </w:p>
    <w:p w14:paraId="1E60C382">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r>
        <w:rPr>
          <w:rFonts w:hint="eastAsia" w:ascii="宋体" w:hAnsi="宋体" w:eastAsia="宋体"/>
          <w:b w:val="0"/>
          <w:bCs w:val="0"/>
          <w:sz w:val="24"/>
          <w:szCs w:val="24"/>
        </w:rPr>
        <w:t>（一）基金资产净值的计算</w:t>
      </w:r>
    </w:p>
    <w:p w14:paraId="1EAF0081">
      <w:pPr>
        <w:spacing w:line="360" w:lineRule="auto"/>
        <w:ind w:right="28" w:firstLine="480" w:firstLineChars="200"/>
        <w:rPr>
          <w:rFonts w:ascii="宋体" w:hAnsi="宋体"/>
          <w:sz w:val="24"/>
          <w:szCs w:val="21"/>
        </w:rPr>
      </w:pPr>
      <w:r>
        <w:rPr>
          <w:rFonts w:hint="eastAsia" w:ascii="宋体" w:hAnsi="宋体"/>
          <w:sz w:val="24"/>
          <w:szCs w:val="21"/>
        </w:rPr>
        <w:t>1、基金资产净值的计算、复核的时间和程序</w:t>
      </w:r>
    </w:p>
    <w:p w14:paraId="45F75A3B">
      <w:pPr>
        <w:spacing w:line="440" w:lineRule="atLeast"/>
        <w:ind w:right="28" w:firstLine="480" w:firstLineChars="200"/>
        <w:rPr>
          <w:rFonts w:ascii="宋体" w:hAnsi="宋体"/>
          <w:sz w:val="24"/>
          <w:szCs w:val="21"/>
        </w:rPr>
      </w:pPr>
      <w:r>
        <w:rPr>
          <w:rFonts w:hint="eastAsia" w:ascii="宋体" w:hAnsi="宋体"/>
          <w:sz w:val="24"/>
          <w:szCs w:val="21"/>
        </w:rPr>
        <w:t>基金资产净值是指基金资产总值减去基金负债后的价值。</w:t>
      </w:r>
    </w:p>
    <w:p w14:paraId="3234505D">
      <w:pPr>
        <w:spacing w:line="440" w:lineRule="atLeast"/>
        <w:ind w:right="28" w:firstLine="480" w:firstLineChars="200"/>
        <w:rPr>
          <w:rFonts w:ascii="宋体" w:hAnsi="宋体"/>
          <w:sz w:val="24"/>
          <w:szCs w:val="21"/>
        </w:rPr>
      </w:pPr>
      <w:r>
        <w:rPr>
          <w:rFonts w:hint="eastAsia" w:ascii="宋体" w:hAnsi="宋体"/>
          <w:sz w:val="24"/>
          <w:szCs w:val="21"/>
        </w:rPr>
        <w:t>各类基金份额净值是按照每个工作日闭市后，该类基金资产净值除以当日该类基金份额的余额数量计算，精确到0.0001元，小数点后第五位四舍五入。基金管理人可以设立大额赎回情形下的净值精度应急调整机制。国家另有规定的，从其规定。</w:t>
      </w:r>
    </w:p>
    <w:p w14:paraId="50CDA0F3">
      <w:pPr>
        <w:spacing w:line="440" w:lineRule="atLeast"/>
        <w:ind w:right="28" w:firstLine="480" w:firstLineChars="200"/>
        <w:rPr>
          <w:rFonts w:ascii="宋体" w:hAnsi="宋体"/>
          <w:sz w:val="24"/>
          <w:szCs w:val="21"/>
        </w:rPr>
      </w:pPr>
      <w:r>
        <w:rPr>
          <w:rFonts w:hint="eastAsia" w:ascii="宋体" w:hAnsi="宋体"/>
          <w:sz w:val="24"/>
          <w:szCs w:val="21"/>
        </w:rPr>
        <w:t>基金管理人于每个工作日计算基金资产净值及各类基金份额净值，并按规定公告。</w:t>
      </w:r>
    </w:p>
    <w:p w14:paraId="5FD3DA10">
      <w:pPr>
        <w:spacing w:line="360" w:lineRule="auto"/>
        <w:ind w:right="28" w:firstLine="480" w:firstLineChars="200"/>
        <w:rPr>
          <w:rFonts w:ascii="宋体" w:hAnsi="宋体"/>
          <w:sz w:val="24"/>
          <w:szCs w:val="21"/>
        </w:rPr>
      </w:pPr>
      <w:r>
        <w:rPr>
          <w:rFonts w:hint="eastAsia" w:ascii="宋体" w:hAnsi="宋体"/>
          <w:sz w:val="24"/>
          <w:szCs w:val="21"/>
        </w:rPr>
        <w:t>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依据基金合同和相关法律法规的规定对外公布。</w:t>
      </w:r>
    </w:p>
    <w:p w14:paraId="51D6709C">
      <w:pPr>
        <w:spacing w:line="360" w:lineRule="auto"/>
        <w:ind w:right="28" w:firstLine="480" w:firstLineChars="200"/>
        <w:rPr>
          <w:rFonts w:ascii="宋体" w:hAnsi="宋体"/>
          <w:sz w:val="24"/>
          <w:szCs w:val="21"/>
        </w:rPr>
      </w:pPr>
      <w:r>
        <w:rPr>
          <w:rFonts w:hint="eastAsia" w:ascii="宋体" w:hAnsi="宋体"/>
          <w:sz w:val="24"/>
          <w:szCs w:val="21"/>
        </w:rPr>
        <w:t>（二）基金资产估值方法和特殊情形的处理</w:t>
      </w:r>
    </w:p>
    <w:p w14:paraId="46729488">
      <w:pPr>
        <w:spacing w:line="360" w:lineRule="auto"/>
        <w:ind w:right="28" w:firstLine="480" w:firstLineChars="200"/>
        <w:rPr>
          <w:bCs/>
          <w:sz w:val="24"/>
        </w:rPr>
      </w:pPr>
      <w:r>
        <w:rPr>
          <w:rFonts w:hint="eastAsia" w:ascii="宋体" w:hAnsi="宋体"/>
          <w:sz w:val="24"/>
          <w:szCs w:val="21"/>
        </w:rPr>
        <w:t>基金管理人及基金托管人应当按照基金合同的约定进行估值。</w:t>
      </w:r>
    </w:p>
    <w:bookmarkEnd w:id="94"/>
    <w:p w14:paraId="3695EFBA">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bookmarkStart w:id="95" w:name="_Toc22454458"/>
      <w:r>
        <w:rPr>
          <w:rFonts w:hint="eastAsia" w:ascii="宋体" w:hAnsi="宋体" w:eastAsia="宋体"/>
          <w:b w:val="0"/>
          <w:bCs w:val="0"/>
          <w:sz w:val="24"/>
          <w:szCs w:val="24"/>
        </w:rPr>
        <w:t>（三）估值差错处理</w:t>
      </w:r>
      <w:bookmarkEnd w:id="95"/>
    </w:p>
    <w:p w14:paraId="13FB3990">
      <w:pPr>
        <w:spacing w:line="360" w:lineRule="auto"/>
        <w:ind w:right="28" w:firstLine="480" w:firstLineChars="200"/>
        <w:rPr>
          <w:rFonts w:ascii="宋体" w:hAnsi="宋体"/>
          <w:sz w:val="24"/>
          <w:szCs w:val="21"/>
        </w:rPr>
      </w:pPr>
      <w:r>
        <w:rPr>
          <w:rFonts w:hint="eastAsia" w:ascii="宋体" w:hAnsi="宋体"/>
          <w:sz w:val="24"/>
          <w:szCs w:val="21"/>
        </w:rPr>
        <w:t>因基金估值错误给投资者造成损失的应先由基金管理人承担，基金管理人对不应由其承担的责任，有权向过错人追偿。</w:t>
      </w:r>
    </w:p>
    <w:p w14:paraId="1C78BCFC">
      <w:pPr>
        <w:spacing w:line="360" w:lineRule="auto"/>
        <w:ind w:right="28" w:firstLine="480" w:firstLineChars="200"/>
        <w:rPr>
          <w:rFonts w:ascii="宋体" w:hAnsi="宋体"/>
          <w:sz w:val="24"/>
          <w:szCs w:val="21"/>
        </w:rPr>
      </w:pPr>
      <w:r>
        <w:rPr>
          <w:rFonts w:hint="eastAsia" w:ascii="宋体" w:hAnsi="宋体"/>
          <w:sz w:val="24"/>
          <w:szCs w:val="21"/>
        </w:rPr>
        <w:t>当基金管理人计算的基金净值信息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50C4FDDF">
      <w:pPr>
        <w:spacing w:line="360" w:lineRule="auto"/>
        <w:ind w:right="28" w:firstLine="480" w:firstLineChars="200"/>
        <w:rPr>
          <w:rFonts w:ascii="宋体" w:hAnsi="宋体"/>
          <w:sz w:val="24"/>
          <w:szCs w:val="21"/>
        </w:rPr>
      </w:pPr>
      <w:r>
        <w:rPr>
          <w:rFonts w:hint="eastAsia" w:ascii="宋体" w:hAnsi="宋体"/>
          <w:sz w:val="24"/>
          <w:szCs w:val="21"/>
        </w:rPr>
        <w:t>由于一方当事人提供的信息错误，另一方当事人在采取了必要合理的措施后仍不能发现该错误，进而导致基金资产净值、各类基金份额净值计算错误造成投资者或基金的损失，以及由此造成以后交易日基金资产净值、各类基金份额净值计算顺延错误而引起的投资者或基金的损失，由提供错误信息的当事人一方负责赔偿。</w:t>
      </w:r>
    </w:p>
    <w:p w14:paraId="1D5732EA">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bookmarkStart w:id="96" w:name="_Toc48703910"/>
      <w:bookmarkStart w:id="97" w:name="_Toc22454459"/>
      <w:r>
        <w:rPr>
          <w:rFonts w:hint="eastAsia" w:ascii="宋体" w:hAnsi="宋体" w:eastAsia="宋体"/>
          <w:b w:val="0"/>
          <w:bCs w:val="0"/>
          <w:sz w:val="24"/>
          <w:szCs w:val="24"/>
        </w:rPr>
        <w:t>（四）实施侧袋机制期间的基金资产估值</w:t>
      </w:r>
    </w:p>
    <w:p w14:paraId="2E222048">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r>
        <w:rPr>
          <w:rFonts w:hint="eastAsia" w:ascii="宋体" w:hAnsi="宋体" w:eastAsia="宋体"/>
          <w:b w:val="0"/>
          <w:bCs w:val="0"/>
          <w:sz w:val="24"/>
          <w:szCs w:val="24"/>
        </w:rPr>
        <w:t>本基金实施侧袋机制的，应根据本部分的约定对主袋账户资产进行估值并披露主袋账户的基金净值信息，暂停披露侧袋账户份额净值。</w:t>
      </w:r>
    </w:p>
    <w:p w14:paraId="2275D195">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r>
        <w:rPr>
          <w:rFonts w:hint="eastAsia" w:ascii="宋体" w:hAnsi="宋体" w:eastAsia="宋体"/>
          <w:b w:val="0"/>
          <w:bCs w:val="0"/>
          <w:sz w:val="24"/>
          <w:szCs w:val="24"/>
        </w:rPr>
        <w:t>（五）基金账册的建立</w:t>
      </w:r>
      <w:bookmarkEnd w:id="96"/>
      <w:bookmarkEnd w:id="97"/>
    </w:p>
    <w:p w14:paraId="317BC4DB">
      <w:pPr>
        <w:spacing w:line="360" w:lineRule="auto"/>
        <w:ind w:firstLine="480" w:firstLineChars="200"/>
        <w:rPr>
          <w:rFonts w:ascii="宋体" w:hAnsi="宋体"/>
          <w:sz w:val="24"/>
        </w:rPr>
      </w:pPr>
      <w:r>
        <w:rPr>
          <w:rFonts w:hint="eastAsia" w:ascii="宋体" w:hAnsi="宋体"/>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603723B5">
      <w:pPr>
        <w:spacing w:line="360" w:lineRule="auto"/>
        <w:ind w:firstLine="480" w:firstLineChars="200"/>
        <w:rPr>
          <w:rFonts w:ascii="宋体" w:hAnsi="宋体"/>
          <w:sz w:val="24"/>
        </w:rPr>
      </w:pPr>
      <w:r>
        <w:rPr>
          <w:rFonts w:hint="eastAsia" w:ascii="宋体" w:hAnsi="宋体"/>
          <w:sz w:val="24"/>
        </w:rPr>
        <w:t>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35EA97D6">
      <w:pPr>
        <w:pStyle w:val="3"/>
        <w:keepNext w:val="0"/>
        <w:keepLines w:val="0"/>
        <w:autoSpaceDE w:val="0"/>
        <w:autoSpaceDN w:val="0"/>
        <w:adjustRightInd w:val="0"/>
        <w:spacing w:before="0" w:after="0" w:line="360" w:lineRule="auto"/>
        <w:ind w:firstLine="480" w:firstLineChars="200"/>
        <w:textAlignment w:val="baseline"/>
        <w:rPr>
          <w:rFonts w:ascii="宋体" w:hAnsi="宋体" w:eastAsia="宋体"/>
          <w:b w:val="0"/>
          <w:bCs w:val="0"/>
          <w:sz w:val="24"/>
          <w:szCs w:val="24"/>
        </w:rPr>
      </w:pPr>
      <w:bookmarkStart w:id="98" w:name="_Toc48703911"/>
      <w:bookmarkStart w:id="99" w:name="_Toc22454460"/>
      <w:r>
        <w:rPr>
          <w:rFonts w:hint="eastAsia" w:ascii="宋体" w:hAnsi="宋体" w:eastAsia="宋体"/>
          <w:b w:val="0"/>
          <w:bCs w:val="0"/>
          <w:sz w:val="24"/>
          <w:szCs w:val="24"/>
        </w:rPr>
        <w:t>（六）基金定期报告的编制和复核</w:t>
      </w:r>
      <w:bookmarkEnd w:id="98"/>
      <w:bookmarkEnd w:id="99"/>
      <w:bookmarkStart w:id="100" w:name="_Hlt89687912"/>
      <w:bookmarkEnd w:id="100"/>
    </w:p>
    <w:p w14:paraId="629578AD">
      <w:pPr>
        <w:spacing w:line="360" w:lineRule="auto"/>
        <w:ind w:firstLine="480" w:firstLineChars="200"/>
        <w:rPr>
          <w:rFonts w:ascii="宋体" w:hAnsi="宋体"/>
          <w:sz w:val="24"/>
        </w:rPr>
      </w:pPr>
      <w:r>
        <w:rPr>
          <w:rFonts w:hint="eastAsia" w:ascii="宋体" w:hAnsi="宋体"/>
          <w:sz w:val="24"/>
        </w:rPr>
        <w:t>基金财务报表由基金管理人和基金托管人每月分别独立编制。月度报表的编制，应于每月终了后</w:t>
      </w:r>
      <w:r>
        <w:rPr>
          <w:rFonts w:ascii="宋体" w:hAnsi="宋体"/>
          <w:sz w:val="24"/>
        </w:rPr>
        <w:t>5</w:t>
      </w:r>
      <w:r>
        <w:rPr>
          <w:rFonts w:hint="eastAsia" w:ascii="宋体" w:hAnsi="宋体"/>
          <w:sz w:val="24"/>
        </w:rPr>
        <w:t>个工作日内完成。</w:t>
      </w:r>
    </w:p>
    <w:p w14:paraId="52F2FE8E">
      <w:pPr>
        <w:spacing w:line="360" w:lineRule="auto"/>
        <w:ind w:firstLine="480" w:firstLineChars="200"/>
        <w:rPr>
          <w:rFonts w:ascii="宋体" w:hAnsi="宋体"/>
          <w:sz w:val="24"/>
        </w:rPr>
      </w:pPr>
      <w:r>
        <w:rPr>
          <w:rFonts w:hint="eastAsia" w:ascii="宋体" w:hAnsi="宋体"/>
          <w:sz w:val="24"/>
        </w:rPr>
        <w:t>《</w:t>
      </w:r>
      <w:r>
        <w:rPr>
          <w:rFonts w:hint="eastAsia" w:ascii="宋体" w:hAnsi="宋体"/>
          <w:color w:val="000000"/>
          <w:sz w:val="24"/>
        </w:rPr>
        <w:t>基金合同</w:t>
      </w:r>
      <w:r>
        <w:rPr>
          <w:rFonts w:hint="eastAsia" w:ascii="宋体" w:hAnsi="宋体"/>
          <w:sz w:val="24"/>
        </w:rPr>
        <w:t>》</w:t>
      </w:r>
      <w:r>
        <w:rPr>
          <w:rFonts w:hint="eastAsia" w:ascii="宋体" w:hAnsi="宋体"/>
          <w:color w:val="000000"/>
          <w:sz w:val="24"/>
        </w:rPr>
        <w:t>生效后，</w:t>
      </w:r>
      <w:r>
        <w:rPr>
          <w:rFonts w:hint="eastAsia" w:ascii="宋体" w:hAnsi="宋体"/>
          <w:sz w:val="24"/>
        </w:rPr>
        <w:t>基金招募说明书、基金产品资料概要的信息发生重大变更的，基金管理人应当在三个工作日内，更新基金招募说明书并登载在规定网站上，更新基金产品资料概要并登载在规定网站；基金招募说明书、基金产品资料概要其他信息发生变更的，基金管理人至少每年更新一次</w:t>
      </w:r>
      <w:r>
        <w:rPr>
          <w:rFonts w:hint="eastAsia" w:ascii="宋体" w:hAnsi="宋体"/>
          <w:kern w:val="44"/>
          <w:sz w:val="24"/>
        </w:rPr>
        <w:t>。基金终止运作的，基金管理人不再更新基金招募说明书、基金产品资料概要。</w:t>
      </w:r>
      <w:r>
        <w:rPr>
          <w:rFonts w:hint="eastAsia" w:ascii="宋体" w:hAnsi="宋体"/>
          <w:sz w:val="24"/>
        </w:rPr>
        <w:t>基金管理人在季度结束之日起15个工作日内完成季度报告编制并公告；在上半年结束之日起两个月内完成中期报告编制并公告；在每年结束之日起三个月内完成年度报告编制并公告。</w:t>
      </w:r>
      <w:r>
        <w:rPr>
          <w:rFonts w:ascii="宋体" w:hAnsi="宋体"/>
          <w:color w:val="000000"/>
          <w:sz w:val="24"/>
        </w:rPr>
        <w:t>如果基金合同生效不足2个月的，基金管理人可以不编制当期季度报告、中期报告或者年度报告。</w:t>
      </w:r>
    </w:p>
    <w:p w14:paraId="761C0A86">
      <w:pPr>
        <w:spacing w:line="360" w:lineRule="auto"/>
        <w:ind w:firstLine="480" w:firstLineChars="200"/>
        <w:rPr>
          <w:rFonts w:ascii="宋体" w:hAnsi="宋体"/>
          <w:sz w:val="24"/>
        </w:rPr>
      </w:pPr>
      <w:r>
        <w:rPr>
          <w:rFonts w:hint="eastAsia" w:ascii="宋体" w:hAnsi="宋体"/>
          <w:sz w:val="24"/>
        </w:rPr>
        <w:t>基金管理人在7个工作日内完成季度报告，在季度报告完成当日，将有关报告提供基金托管人复核，基金托管人在收到后7个工作日内进行复核，并将复核结果书面通知基金管理人。基金管理人在一个月内完成中期报告，在中期报告完成当日，将有关报告提供基金托管人复核，基金托管人在收到后一个月内进行复核，并将复核结果书面通知基金管理人。基金管理人在一个半月内完成年度报告，在年度报告完成当日，将有关报告提供基金托管人复核，基金托管人在收到后一个半月内复核，并将复核结果书面通知基金管理人。</w:t>
      </w:r>
    </w:p>
    <w:p w14:paraId="505A92C0">
      <w:pPr>
        <w:spacing w:line="360" w:lineRule="auto"/>
        <w:ind w:firstLine="480" w:firstLineChars="200"/>
        <w:rPr>
          <w:rFonts w:ascii="宋体" w:hAnsi="宋体"/>
          <w:sz w:val="24"/>
        </w:rPr>
      </w:pPr>
      <w:r>
        <w:rPr>
          <w:rFonts w:hint="eastAsia" w:ascii="宋体" w:hAnsi="宋体"/>
          <w:sz w:val="24"/>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w:t>
      </w:r>
      <w:r>
        <w:rPr>
          <w:rFonts w:hint="eastAsia" w:ascii="宋体" w:hAnsi="宋体"/>
          <w:sz w:val="24"/>
          <w:szCs w:val="21"/>
        </w:rPr>
        <w:t>或者出具加盖托管业务部门公章的复核意见书</w:t>
      </w:r>
      <w:r>
        <w:rPr>
          <w:rFonts w:hint="eastAsia" w:ascii="宋体" w:hAnsi="宋体"/>
          <w:sz w:val="24"/>
        </w:rPr>
        <w:t>，相关各方各自留存一份。</w:t>
      </w:r>
      <w:r>
        <w:rPr>
          <w:rFonts w:hint="eastAsia" w:ascii="宋体" w:hAnsi="宋体"/>
          <w:kern w:val="44"/>
          <w:sz w:val="24"/>
        </w:rPr>
        <w:t>如果基金管理人与基金托管人不能于应当发布公告之日之前就相关报表达成一致，基金管理人有权按照其编制的报表对外发布公告，基金托管人有权就相关情况报证监会备案。</w:t>
      </w:r>
    </w:p>
    <w:p w14:paraId="3D1C98AC">
      <w:pPr>
        <w:spacing w:line="360" w:lineRule="auto"/>
        <w:ind w:firstLine="480" w:firstLineChars="200"/>
        <w:rPr>
          <w:rFonts w:ascii="宋体" w:hAnsi="宋体"/>
          <w:sz w:val="24"/>
        </w:rPr>
      </w:pPr>
      <w:r>
        <w:rPr>
          <w:rFonts w:hint="eastAsia" w:ascii="宋体" w:hAnsi="宋体"/>
          <w:sz w:val="24"/>
        </w:rPr>
        <w:t>基金托管人在对财务会计报告、季度报告、中期报告或年度报告复核完毕后，需盖章确认或出具相应的复核确认书，以备有权机构对相关文件审核时提示。</w:t>
      </w:r>
      <w:bookmarkStart w:id="101" w:name="_Hlt89689505"/>
      <w:bookmarkEnd w:id="101"/>
      <w:bookmarkStart w:id="102" w:name="_Toc523830000"/>
      <w:bookmarkStart w:id="103" w:name="_Toc48703912"/>
      <w:bookmarkStart w:id="104" w:name="_Toc22454461"/>
      <w:bookmarkStart w:id="105" w:name="_Toc466788859"/>
    </w:p>
    <w:bookmarkEnd w:id="102"/>
    <w:bookmarkEnd w:id="103"/>
    <w:bookmarkEnd w:id="104"/>
    <w:bookmarkEnd w:id="105"/>
    <w:p w14:paraId="30EFA7B4">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06" w:name="_Toc124749233"/>
      <w:bookmarkStart w:id="107" w:name="_Toc140002344"/>
      <w:bookmarkStart w:id="108" w:name="_Toc125361081"/>
      <w:bookmarkStart w:id="109" w:name="_Toc124749944"/>
      <w:bookmarkStart w:id="110" w:name="_Toc123626175"/>
      <w:r>
        <w:rPr>
          <w:rFonts w:hint="eastAsia" w:ascii="宋体" w:hAnsi="宋体" w:cs="Arial"/>
          <w:sz w:val="30"/>
        </w:rPr>
        <w:t>基金收益分配</w:t>
      </w:r>
      <w:bookmarkEnd w:id="106"/>
      <w:bookmarkEnd w:id="107"/>
      <w:bookmarkEnd w:id="108"/>
      <w:bookmarkEnd w:id="109"/>
      <w:bookmarkEnd w:id="110"/>
    </w:p>
    <w:p w14:paraId="598639DB">
      <w:pPr>
        <w:spacing w:line="360" w:lineRule="auto"/>
        <w:ind w:firstLine="480" w:firstLineChars="200"/>
        <w:rPr>
          <w:rFonts w:ascii="宋体" w:hAnsi="宋体"/>
          <w:sz w:val="24"/>
        </w:rPr>
      </w:pPr>
      <w:r>
        <w:rPr>
          <w:rFonts w:hint="eastAsia" w:ascii="宋体" w:hAnsi="宋体"/>
          <w:sz w:val="24"/>
        </w:rPr>
        <w:t>基金管理人与基金托管人按照基金合同的约定处理基金收益分配。</w:t>
      </w:r>
    </w:p>
    <w:p w14:paraId="79BD8475">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11" w:name="_Toc125361082"/>
      <w:bookmarkStart w:id="112" w:name="_Toc124749945"/>
      <w:bookmarkStart w:id="113" w:name="_Toc466788861"/>
      <w:bookmarkStart w:id="114" w:name="_Toc48703916"/>
      <w:bookmarkStart w:id="115" w:name="_Toc140002345"/>
      <w:bookmarkStart w:id="116" w:name="_Toc523830002"/>
      <w:bookmarkStart w:id="117" w:name="_Toc22454465"/>
      <w:bookmarkStart w:id="118" w:name="_Toc123626176"/>
      <w:bookmarkStart w:id="119" w:name="_Toc124749234"/>
      <w:r>
        <w:rPr>
          <w:rFonts w:hint="eastAsia" w:ascii="宋体" w:hAnsi="宋体" w:cs="Arial"/>
          <w:sz w:val="30"/>
        </w:rPr>
        <w:t>信息披露</w:t>
      </w:r>
      <w:bookmarkEnd w:id="111"/>
      <w:bookmarkEnd w:id="112"/>
      <w:bookmarkEnd w:id="113"/>
      <w:bookmarkEnd w:id="114"/>
      <w:bookmarkEnd w:id="115"/>
      <w:bookmarkEnd w:id="116"/>
      <w:bookmarkEnd w:id="117"/>
      <w:bookmarkEnd w:id="118"/>
      <w:bookmarkEnd w:id="119"/>
      <w:bookmarkStart w:id="120" w:name="_Hlt89687670"/>
      <w:bookmarkEnd w:id="120"/>
    </w:p>
    <w:p w14:paraId="7B5CACB4">
      <w:pPr>
        <w:pStyle w:val="3"/>
        <w:keepNext w:val="0"/>
        <w:keepLines w:val="0"/>
        <w:tabs>
          <w:tab w:val="left" w:pos="1080"/>
        </w:tabs>
        <w:autoSpaceDE w:val="0"/>
        <w:autoSpaceDN w:val="0"/>
        <w:adjustRightInd w:val="0"/>
        <w:spacing w:before="0" w:after="0" w:line="360" w:lineRule="auto"/>
        <w:ind w:firstLine="470" w:firstLineChars="196"/>
        <w:textAlignment w:val="baseline"/>
        <w:rPr>
          <w:rFonts w:ascii="宋体" w:hAnsi="宋体" w:eastAsia="宋体" w:cs="Arial"/>
          <w:b w:val="0"/>
          <w:kern w:val="0"/>
          <w:sz w:val="24"/>
          <w:szCs w:val="24"/>
        </w:rPr>
      </w:pPr>
      <w:bookmarkStart w:id="121" w:name="_Toc22454466"/>
      <w:bookmarkStart w:id="122" w:name="_Toc48703917"/>
      <w:r>
        <w:rPr>
          <w:rFonts w:hint="eastAsia" w:ascii="宋体" w:hAnsi="宋体" w:eastAsia="宋体"/>
          <w:b w:val="0"/>
          <w:sz w:val="24"/>
          <w:szCs w:val="24"/>
        </w:rPr>
        <w:t>（一）</w:t>
      </w:r>
      <w:r>
        <w:rPr>
          <w:rFonts w:hint="eastAsia" w:ascii="宋体" w:hAnsi="宋体" w:eastAsia="宋体" w:cs="Arial"/>
          <w:b w:val="0"/>
          <w:kern w:val="0"/>
          <w:sz w:val="24"/>
          <w:szCs w:val="24"/>
        </w:rPr>
        <w:t>保密义务</w:t>
      </w:r>
      <w:bookmarkEnd w:id="121"/>
      <w:bookmarkEnd w:id="122"/>
    </w:p>
    <w:p w14:paraId="4AFC9E2B">
      <w:pPr>
        <w:spacing w:line="360" w:lineRule="auto"/>
        <w:ind w:right="28" w:firstLine="480" w:firstLineChars="200"/>
        <w:rPr>
          <w:rFonts w:ascii="宋体" w:hAnsi="宋体"/>
          <w:sz w:val="24"/>
          <w:szCs w:val="21"/>
        </w:rPr>
      </w:pPr>
      <w:r>
        <w:rPr>
          <w:rFonts w:hint="eastAsia" w:ascii="宋体" w:hAnsi="宋体"/>
          <w:sz w:val="24"/>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w:t>
      </w:r>
      <w:r>
        <w:rPr>
          <w:rFonts w:hint="eastAsia" w:ascii="宋体" w:hAnsi="宋体"/>
          <w:sz w:val="24"/>
          <w:szCs w:val="21"/>
        </w:rPr>
        <w:t>但是，如下情况不应视为基金管理人或基金托管人违反保密义务：</w:t>
      </w:r>
    </w:p>
    <w:p w14:paraId="5A343CFF">
      <w:pPr>
        <w:pStyle w:val="5"/>
        <w:spacing w:after="0" w:line="360" w:lineRule="auto"/>
        <w:ind w:left="0" w:leftChars="0" w:firstLine="480" w:firstLineChars="200"/>
        <w:rPr>
          <w:rFonts w:ascii="宋体" w:hAnsi="宋体"/>
          <w:sz w:val="24"/>
          <w:szCs w:val="24"/>
        </w:rPr>
      </w:pPr>
      <w:r>
        <w:rPr>
          <w:rFonts w:hint="eastAsia" w:ascii="宋体" w:hAnsi="宋体"/>
          <w:sz w:val="24"/>
          <w:szCs w:val="24"/>
        </w:rPr>
        <w:t>1、非因基金管理人和基金托管人的原因导致保密信息被披露、泄露或公开；</w:t>
      </w:r>
    </w:p>
    <w:p w14:paraId="547C8121">
      <w:pPr>
        <w:spacing w:line="360" w:lineRule="auto"/>
        <w:ind w:firstLine="480" w:firstLineChars="200"/>
        <w:rPr>
          <w:rFonts w:ascii="宋体" w:hAnsi="宋体"/>
          <w:sz w:val="24"/>
        </w:rPr>
      </w:pPr>
      <w:r>
        <w:rPr>
          <w:rFonts w:hint="eastAsia" w:ascii="宋体" w:hAnsi="宋体"/>
          <w:sz w:val="24"/>
        </w:rPr>
        <w:t>2、基金管理人和基金托管人为遵守和服从法院判决、仲裁裁决或中国证监会等监管机构的命令、决定所做出的信息披露或公开。</w:t>
      </w:r>
    </w:p>
    <w:p w14:paraId="2671E999">
      <w:pPr>
        <w:pStyle w:val="3"/>
        <w:keepNext w:val="0"/>
        <w:keepLines w:val="0"/>
        <w:tabs>
          <w:tab w:val="left" w:pos="1080"/>
        </w:tabs>
        <w:autoSpaceDE w:val="0"/>
        <w:autoSpaceDN w:val="0"/>
        <w:adjustRightInd w:val="0"/>
        <w:spacing w:before="0" w:after="0" w:line="360" w:lineRule="auto"/>
        <w:ind w:firstLine="480" w:firstLineChars="200"/>
        <w:textAlignment w:val="baseline"/>
        <w:rPr>
          <w:rFonts w:ascii="宋体" w:hAnsi="宋体" w:eastAsia="宋体"/>
          <w:b w:val="0"/>
          <w:sz w:val="24"/>
          <w:szCs w:val="24"/>
        </w:rPr>
      </w:pPr>
      <w:bookmarkStart w:id="123" w:name="_Toc22454467"/>
      <w:bookmarkStart w:id="124" w:name="_Toc48703918"/>
      <w:r>
        <w:rPr>
          <w:rFonts w:hint="eastAsia" w:ascii="宋体" w:hAnsi="宋体" w:eastAsia="宋体"/>
          <w:b w:val="0"/>
          <w:sz w:val="24"/>
          <w:szCs w:val="24"/>
        </w:rPr>
        <w:t>（二）基金管理人和基金托管人在信息披露中的职责和信息披露程序</w:t>
      </w:r>
      <w:bookmarkEnd w:id="123"/>
      <w:bookmarkEnd w:id="124"/>
    </w:p>
    <w:p w14:paraId="332170C6">
      <w:pPr>
        <w:spacing w:line="360" w:lineRule="auto"/>
        <w:ind w:right="28" w:firstLine="480" w:firstLineChars="200"/>
        <w:rPr>
          <w:rFonts w:ascii="宋体" w:hAnsi="宋体"/>
          <w:sz w:val="24"/>
          <w:szCs w:val="21"/>
        </w:rPr>
      </w:pPr>
      <w:r>
        <w:rPr>
          <w:rFonts w:hint="eastAsia" w:ascii="宋体" w:hAnsi="宋体"/>
          <w:sz w:val="24"/>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14349FEA">
      <w:pPr>
        <w:spacing w:line="360" w:lineRule="auto"/>
        <w:ind w:firstLine="480" w:firstLineChars="200"/>
        <w:rPr>
          <w:rFonts w:ascii="宋体" w:hAnsi="宋体"/>
          <w:sz w:val="24"/>
        </w:rPr>
      </w:pPr>
      <w:r>
        <w:rPr>
          <w:rFonts w:hint="eastAsia" w:ascii="宋体" w:hAnsi="宋体"/>
          <w:sz w:val="24"/>
        </w:rPr>
        <w:t>根据《信息披露办法》的要求，本基金信息披露的文件包括基金招募说明书、基金产品资料概要、《基金合同》、基金托管协议、基金份额发售公告、《基金合同》生效公告、定期报告（包括基金年度报告、基金中期报告和基金季度报告）、临时报告、基金净值信息、基金份额申购、赎回价格、澄清公告、基金份额持有人大会决议、清算报告、参与国债期货交易的信息披露、参与股指期货交易的信息披露、投资资产支持证券的信息披露、投资股票期权的信息披露、参与融资、转融通证券出借业务的信息披露、投资港股通标的股票的信息披露、实施侧袋机制期间的信息披露、投资存托凭证的信息披露等其他必要的公告文件，由基金管理人拟定并负责公布。</w:t>
      </w:r>
    </w:p>
    <w:p w14:paraId="238BB7D8">
      <w:pPr>
        <w:spacing w:line="360" w:lineRule="auto"/>
        <w:ind w:firstLine="480" w:firstLineChars="200"/>
        <w:rPr>
          <w:rFonts w:ascii="宋体" w:hAnsi="宋体"/>
          <w:sz w:val="24"/>
        </w:rPr>
      </w:pPr>
      <w:r>
        <w:rPr>
          <w:rFonts w:hint="eastAsia" w:ascii="宋体" w:hAnsi="宋体"/>
          <w:sz w:val="24"/>
        </w:rPr>
        <w:t>基金托管人应当按照相关法律、行政法规、中国证监会的规定和《基金合同》的约定，对基金管理人编制的基金净值信息、基金份额申购赎回价格、基金定期报告、更新的招募说明书、基金产品资料概要、基金清算报告等公开披露的相关基金信息进行复核、审查，并向基金管理人进行书面或电子确认。</w:t>
      </w:r>
    </w:p>
    <w:p w14:paraId="76FB072A">
      <w:pPr>
        <w:spacing w:line="360" w:lineRule="auto"/>
        <w:ind w:firstLine="480" w:firstLineChars="200"/>
        <w:rPr>
          <w:rFonts w:ascii="宋体" w:hAnsi="宋体"/>
          <w:sz w:val="24"/>
        </w:rPr>
      </w:pPr>
      <w:r>
        <w:rPr>
          <w:rFonts w:hint="eastAsia" w:ascii="宋体" w:hAnsi="宋体"/>
          <w:sz w:val="24"/>
        </w:rPr>
        <w:t>基金年报中的财务报告部分，应当经符合《中华人民共和国证券法》规定的会计师事务所审计后，方可披露。</w:t>
      </w:r>
    </w:p>
    <w:p w14:paraId="6384C727">
      <w:pPr>
        <w:spacing w:line="360" w:lineRule="auto"/>
        <w:ind w:firstLine="480" w:firstLineChars="200"/>
        <w:rPr>
          <w:rFonts w:ascii="宋体" w:hAnsi="宋体" w:cs="Arial"/>
          <w:sz w:val="24"/>
          <w:szCs w:val="21"/>
        </w:rPr>
      </w:pPr>
      <w:r>
        <w:rPr>
          <w:rFonts w:hint="eastAsia"/>
          <w:bCs/>
          <w:sz w:val="24"/>
        </w:rPr>
        <w:t>基金管理人、基金托管人应当在规定报刊中选择</w:t>
      </w:r>
      <w:r>
        <w:rPr>
          <w:bCs/>
          <w:sz w:val="24"/>
        </w:rPr>
        <w:t>一家报刊披露本基金信息</w:t>
      </w:r>
      <w:r>
        <w:rPr>
          <w:rFonts w:hint="eastAsia"/>
          <w:bCs/>
          <w:sz w:val="24"/>
        </w:rPr>
        <w:t>。基金管理人、基金托管人应当向中国证监会基金电子披露网站报送拟披露的基金信息，并保证相关报送信息的真实、准确、完整、及时。</w:t>
      </w:r>
    </w:p>
    <w:p w14:paraId="7D4780EE">
      <w:pPr>
        <w:spacing w:line="360" w:lineRule="auto"/>
        <w:ind w:firstLine="480" w:firstLineChars="200"/>
        <w:rPr>
          <w:rFonts w:ascii="宋体" w:hAnsi="宋体"/>
          <w:sz w:val="24"/>
        </w:rPr>
      </w:pPr>
      <w:r>
        <w:rPr>
          <w:rFonts w:hint="eastAsia"/>
          <w:bCs/>
          <w:sz w:val="24"/>
        </w:rPr>
        <w:t>依法必须披露的信息发布后，基金管理人、基金托管人应当按照相关法律法规规定将信息置备于各自住所，供社会公众免费查阅。</w:t>
      </w:r>
      <w:r>
        <w:rPr>
          <w:rFonts w:hint="eastAsia" w:ascii="宋体" w:hAnsi="宋体" w:cs="Arial"/>
          <w:sz w:val="24"/>
          <w:szCs w:val="21"/>
        </w:rPr>
        <w:t>投资者在支付工本费后可在合理时间获得上述文件的复制件或复印件。基金管理人和基金托管人应保证文本的内容与所公告的内容完全一致。</w:t>
      </w:r>
    </w:p>
    <w:p w14:paraId="4448B154">
      <w:pPr>
        <w:spacing w:line="360" w:lineRule="auto"/>
        <w:ind w:firstLine="480"/>
        <w:rPr>
          <w:rFonts w:ascii="宋体" w:hAnsi="宋体"/>
          <w:sz w:val="24"/>
        </w:rPr>
      </w:pPr>
      <w:r>
        <w:rPr>
          <w:rFonts w:hint="eastAsia" w:ascii="宋体" w:hAnsi="宋体"/>
          <w:sz w:val="24"/>
        </w:rPr>
        <w:t>（三）暂停或延迟信息披露的情形</w:t>
      </w:r>
    </w:p>
    <w:p w14:paraId="70A652C3">
      <w:pPr>
        <w:spacing w:line="360" w:lineRule="auto"/>
        <w:ind w:firstLine="480"/>
        <w:rPr>
          <w:rFonts w:ascii="宋体" w:hAnsi="宋体"/>
          <w:sz w:val="24"/>
        </w:rPr>
      </w:pPr>
      <w:r>
        <w:rPr>
          <w:rFonts w:hint="eastAsia" w:ascii="宋体" w:hAnsi="宋体"/>
          <w:sz w:val="24"/>
        </w:rPr>
        <w:t>1、不可抗力；</w:t>
      </w:r>
    </w:p>
    <w:p w14:paraId="7D22D049">
      <w:pPr>
        <w:spacing w:line="360" w:lineRule="auto"/>
        <w:ind w:firstLine="480"/>
        <w:rPr>
          <w:rFonts w:ascii="宋体" w:hAnsi="宋体"/>
          <w:sz w:val="24"/>
        </w:rPr>
      </w:pPr>
      <w:r>
        <w:rPr>
          <w:rFonts w:hint="eastAsia" w:ascii="宋体" w:hAnsi="宋体"/>
          <w:sz w:val="24"/>
        </w:rPr>
        <w:t>2、发生暂停估值的情形；</w:t>
      </w:r>
    </w:p>
    <w:p w14:paraId="6D68EC49">
      <w:pPr>
        <w:spacing w:line="360" w:lineRule="auto"/>
        <w:ind w:firstLine="480"/>
        <w:rPr>
          <w:rFonts w:ascii="宋体" w:hAnsi="宋体"/>
          <w:sz w:val="24"/>
        </w:rPr>
      </w:pPr>
      <w:r>
        <w:rPr>
          <w:rFonts w:hint="eastAsia" w:ascii="宋体" w:hAnsi="宋体"/>
          <w:sz w:val="24"/>
        </w:rPr>
        <w:t>3、法律法规、《基金合同》或中国证监会规定的情况。</w:t>
      </w:r>
    </w:p>
    <w:p w14:paraId="200FB6DD">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25" w:name="_Toc123626177"/>
      <w:bookmarkStart w:id="126" w:name="_Toc124749946"/>
      <w:bookmarkStart w:id="127" w:name="_Toc124749235"/>
      <w:bookmarkStart w:id="128" w:name="_Toc140002346"/>
      <w:bookmarkStart w:id="129" w:name="_Toc125361083"/>
      <w:r>
        <w:rPr>
          <w:rFonts w:hint="eastAsia" w:ascii="宋体" w:hAnsi="宋体" w:cs="Arial"/>
          <w:sz w:val="30"/>
        </w:rPr>
        <w:t>基金费用</w:t>
      </w:r>
      <w:bookmarkEnd w:id="10"/>
      <w:bookmarkEnd w:id="125"/>
      <w:bookmarkEnd w:id="126"/>
      <w:bookmarkEnd w:id="127"/>
      <w:bookmarkEnd w:id="128"/>
      <w:bookmarkEnd w:id="129"/>
    </w:p>
    <w:p w14:paraId="30628898">
      <w:pPr>
        <w:spacing w:line="360" w:lineRule="auto"/>
        <w:ind w:firstLine="480" w:firstLineChars="200"/>
        <w:rPr>
          <w:rFonts w:ascii="宋体" w:hAnsi="宋体"/>
          <w:sz w:val="24"/>
        </w:rPr>
      </w:pPr>
      <w:r>
        <w:rPr>
          <w:rFonts w:hint="eastAsia" w:ascii="宋体" w:hAnsi="宋体"/>
          <w:sz w:val="24"/>
        </w:rPr>
        <w:t>（一）基金托管费的计提方法、计提标准和支付方式如下：</w:t>
      </w:r>
    </w:p>
    <w:p w14:paraId="4CA9EE93">
      <w:pPr>
        <w:spacing w:line="360" w:lineRule="auto"/>
        <w:ind w:firstLine="480" w:firstLineChars="200"/>
        <w:rPr>
          <w:rFonts w:ascii="宋体" w:hAnsi="宋体"/>
          <w:sz w:val="24"/>
        </w:rPr>
      </w:pPr>
      <w:r>
        <w:rPr>
          <w:rFonts w:hint="eastAsia" w:ascii="宋体" w:hAnsi="宋体"/>
          <w:sz w:val="24"/>
        </w:rPr>
        <w:t>本基金的托管费按前一日基金资产净值的0.</w:t>
      </w:r>
      <w:r>
        <w:rPr>
          <w:rFonts w:ascii="宋体" w:hAnsi="宋体"/>
          <w:sz w:val="24"/>
        </w:rPr>
        <w:t>1</w:t>
      </w:r>
      <w:r>
        <w:rPr>
          <w:rFonts w:hint="eastAsia" w:ascii="宋体" w:hAnsi="宋体"/>
          <w:sz w:val="24"/>
        </w:rPr>
        <w:t>0%的年费率计提。托管费的计算方法如下：</w:t>
      </w:r>
    </w:p>
    <w:p w14:paraId="06598493">
      <w:pPr>
        <w:spacing w:line="360" w:lineRule="auto"/>
        <w:ind w:firstLine="480" w:firstLineChars="200"/>
        <w:rPr>
          <w:rFonts w:ascii="宋体" w:hAnsi="宋体"/>
          <w:sz w:val="24"/>
        </w:rPr>
      </w:pPr>
      <w:r>
        <w:rPr>
          <w:rFonts w:hint="eastAsia" w:ascii="宋体" w:hAnsi="宋体"/>
          <w:sz w:val="24"/>
        </w:rPr>
        <w:t>H＝E×0.</w:t>
      </w:r>
      <w:r>
        <w:rPr>
          <w:rFonts w:ascii="宋体" w:hAnsi="宋体"/>
          <w:sz w:val="24"/>
        </w:rPr>
        <w:t>1</w:t>
      </w:r>
      <w:r>
        <w:rPr>
          <w:rFonts w:hint="eastAsia" w:ascii="宋体" w:hAnsi="宋体"/>
          <w:sz w:val="24"/>
        </w:rPr>
        <w:t>0%÷当年天数</w:t>
      </w:r>
    </w:p>
    <w:p w14:paraId="68DC4DCF">
      <w:pPr>
        <w:spacing w:line="360" w:lineRule="auto"/>
        <w:ind w:firstLine="480" w:firstLineChars="200"/>
        <w:rPr>
          <w:rFonts w:ascii="宋体" w:hAnsi="宋体"/>
          <w:sz w:val="24"/>
        </w:rPr>
      </w:pPr>
      <w:r>
        <w:rPr>
          <w:rFonts w:hint="eastAsia" w:ascii="宋体" w:hAnsi="宋体"/>
          <w:sz w:val="24"/>
        </w:rPr>
        <w:t>H为每日应计提的基金托管费</w:t>
      </w:r>
    </w:p>
    <w:p w14:paraId="18A9279B">
      <w:pPr>
        <w:spacing w:line="360" w:lineRule="auto"/>
        <w:ind w:firstLine="480" w:firstLineChars="200"/>
        <w:rPr>
          <w:rFonts w:ascii="宋体" w:hAnsi="宋体"/>
          <w:sz w:val="24"/>
        </w:rPr>
      </w:pPr>
      <w:r>
        <w:rPr>
          <w:rFonts w:hint="eastAsia" w:ascii="宋体" w:hAnsi="宋体"/>
          <w:sz w:val="24"/>
        </w:rPr>
        <w:t>E为前一日的基金资产净值</w:t>
      </w:r>
    </w:p>
    <w:p w14:paraId="6CB15D65">
      <w:pPr>
        <w:spacing w:line="360" w:lineRule="auto"/>
        <w:ind w:firstLine="480" w:firstLineChars="200"/>
        <w:rPr>
          <w:rFonts w:ascii="宋体" w:hAnsi="宋体"/>
          <w:sz w:val="24"/>
        </w:rPr>
      </w:pPr>
      <w:r>
        <w:rPr>
          <w:rFonts w:hint="eastAsia" w:ascii="宋体" w:hAnsi="宋体"/>
          <w:sz w:val="24"/>
        </w:rPr>
        <w:t>基金托管费每日计提，逐日累计至每月月末，按月支付。由基金管理人向基金托管人发送基金托管费划付指令，经基金托管人复核后于次月首日起3个工作日内从基金资产中一次性支取。</w:t>
      </w:r>
    </w:p>
    <w:p w14:paraId="3FA0CF4A">
      <w:pPr>
        <w:spacing w:line="360" w:lineRule="auto"/>
        <w:ind w:firstLine="480" w:firstLineChars="200"/>
        <w:rPr>
          <w:rFonts w:ascii="宋体" w:hAnsi="宋体"/>
          <w:sz w:val="24"/>
        </w:rPr>
      </w:pPr>
      <w:r>
        <w:rPr>
          <w:rFonts w:hint="eastAsia" w:ascii="宋体" w:hAnsi="宋体"/>
          <w:sz w:val="24"/>
        </w:rPr>
        <w:t>若遇法定节假日、休息日或不可抗力致使无法按时支付的，顺延至最近可支付日支付。</w:t>
      </w:r>
    </w:p>
    <w:p w14:paraId="0916EA77">
      <w:pPr>
        <w:spacing w:line="360" w:lineRule="auto"/>
        <w:ind w:firstLine="480" w:firstLineChars="200"/>
        <w:rPr>
          <w:rFonts w:ascii="宋体" w:hAnsi="宋体"/>
          <w:sz w:val="24"/>
        </w:rPr>
      </w:pPr>
      <w:r>
        <w:rPr>
          <w:rFonts w:hint="eastAsia" w:ascii="宋体" w:hAnsi="宋体"/>
          <w:sz w:val="24"/>
        </w:rPr>
        <w:t>（二）基金其他费用按照基金合同的约定计提和支付。</w:t>
      </w:r>
    </w:p>
    <w:p w14:paraId="320743D0">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30" w:name="_Toc125361084"/>
      <w:bookmarkStart w:id="131" w:name="_Toc124749947"/>
      <w:bookmarkStart w:id="132" w:name="_Toc140002347"/>
      <w:r>
        <w:rPr>
          <w:rFonts w:hint="eastAsia" w:ascii="宋体" w:hAnsi="宋体" w:cs="Arial"/>
          <w:sz w:val="30"/>
        </w:rPr>
        <w:t>基金份额持有人名册的保管</w:t>
      </w:r>
      <w:bookmarkEnd w:id="130"/>
      <w:bookmarkEnd w:id="131"/>
      <w:bookmarkEnd w:id="132"/>
    </w:p>
    <w:p w14:paraId="0175035B">
      <w:pPr>
        <w:tabs>
          <w:tab w:val="left" w:pos="1260"/>
        </w:tabs>
        <w:spacing w:line="360" w:lineRule="auto"/>
        <w:ind w:firstLine="480" w:firstLineChars="200"/>
        <w:rPr>
          <w:kern w:val="0"/>
          <w:sz w:val="24"/>
        </w:rPr>
      </w:pPr>
      <w:r>
        <w:rPr>
          <w:rFonts w:hint="eastAsia"/>
          <w:kern w:val="0"/>
          <w:sz w:val="24"/>
        </w:rPr>
        <w:t>基金管理人和基金托管人须分别妥善保管的基金份额持有人名册，包括《基金合同》生效日、《基金合同》终止日、基金份额持有人大会权益登记日、每年6月30日、12月31日的基金份额持有人名册。基金份额持有人名册的内容必须包括基金份额持有人的名称和持有的基金份额。</w:t>
      </w:r>
    </w:p>
    <w:p w14:paraId="3CBEB21C">
      <w:pPr>
        <w:tabs>
          <w:tab w:val="left" w:pos="1260"/>
        </w:tabs>
        <w:spacing w:line="360" w:lineRule="auto"/>
        <w:ind w:firstLine="480" w:firstLineChars="200"/>
        <w:rPr>
          <w:kern w:val="0"/>
          <w:sz w:val="24"/>
        </w:rPr>
      </w:pPr>
      <w:r>
        <w:rPr>
          <w:rFonts w:hint="eastAsia"/>
          <w:kern w:val="0"/>
          <w:sz w:val="24"/>
        </w:rPr>
        <w:t>基金份额持有人名册由基金的基金登记机构根据基金管理人的指令编制和保管，基金管理人和基金托管人应按照目前相关规则分别保管基金份额持有人名册。保管方式可以采用电子或文档的形式。基金份额登记机构的保存期限不少于法律法规规定的最低年限。</w:t>
      </w:r>
    </w:p>
    <w:p w14:paraId="2D8F1346">
      <w:pPr>
        <w:tabs>
          <w:tab w:val="left" w:pos="1260"/>
        </w:tabs>
        <w:spacing w:line="360" w:lineRule="auto"/>
        <w:ind w:firstLine="480" w:firstLineChars="200"/>
        <w:rPr>
          <w:kern w:val="0"/>
          <w:sz w:val="24"/>
        </w:rPr>
      </w:pPr>
      <w:r>
        <w:rPr>
          <w:rFonts w:hint="eastAsia"/>
          <w:kern w:val="0"/>
          <w:sz w:val="24"/>
        </w:rPr>
        <w:t>基金管理人应当及时向基金托管人提交下列日期的基金份额持有人名册：《基金合同》生效日、《基金合同》终止日、基金份额持有人大会权益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4E2E530E">
      <w:pPr>
        <w:tabs>
          <w:tab w:val="left" w:pos="1260"/>
        </w:tabs>
        <w:spacing w:line="360" w:lineRule="auto"/>
        <w:ind w:firstLine="480" w:firstLineChars="200"/>
        <w:rPr>
          <w:kern w:val="0"/>
          <w:sz w:val="24"/>
        </w:rPr>
      </w:pPr>
      <w:r>
        <w:rPr>
          <w:rFonts w:hint="eastAsia"/>
          <w:kern w:val="0"/>
          <w:sz w:val="24"/>
        </w:rPr>
        <w:t>基金托管人以电子版形式妥善保管基金份额持有人名册，并定期刻成光盘备份，保存期限不少于法律法规规定的最低年限。基金托管人不得将所保管的基金份额持有人名册用于基金托管业务以外的其他用途，并应遵守保密义务。</w:t>
      </w:r>
    </w:p>
    <w:p w14:paraId="1AD8F5CF">
      <w:pPr>
        <w:tabs>
          <w:tab w:val="left" w:pos="1260"/>
        </w:tabs>
        <w:spacing w:line="360" w:lineRule="auto"/>
        <w:ind w:firstLine="480" w:firstLineChars="200"/>
        <w:rPr>
          <w:kern w:val="0"/>
          <w:sz w:val="24"/>
        </w:rPr>
      </w:pPr>
      <w:r>
        <w:rPr>
          <w:rFonts w:hint="eastAsia"/>
          <w:kern w:val="0"/>
          <w:sz w:val="24"/>
        </w:rPr>
        <w:t>若基金管理人或基金托管人由于自身原因无法妥善保管基金份额持有人名册，应按有关法规规定各自承担相应的责任。</w:t>
      </w:r>
    </w:p>
    <w:p w14:paraId="6C4FC63E">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33" w:name="_Hlt112616834"/>
      <w:bookmarkEnd w:id="133"/>
      <w:bookmarkStart w:id="134" w:name="_Toc125361085"/>
      <w:bookmarkStart w:id="135" w:name="_Toc124749948"/>
      <w:bookmarkStart w:id="136" w:name="_Toc140002348"/>
      <w:r>
        <w:rPr>
          <w:rFonts w:hint="eastAsia" w:ascii="宋体" w:hAnsi="宋体" w:cs="Arial"/>
          <w:sz w:val="30"/>
        </w:rPr>
        <w:t>基金有关文件和档案的保存</w:t>
      </w:r>
      <w:bookmarkEnd w:id="134"/>
      <w:bookmarkEnd w:id="135"/>
      <w:bookmarkEnd w:id="136"/>
    </w:p>
    <w:p w14:paraId="109E42A0">
      <w:pPr>
        <w:spacing w:line="360" w:lineRule="auto"/>
        <w:ind w:firstLine="480" w:firstLineChars="200"/>
        <w:rPr>
          <w:rFonts w:ascii="宋体" w:hAnsi="宋体"/>
          <w:sz w:val="24"/>
          <w:szCs w:val="21"/>
        </w:rPr>
      </w:pPr>
      <w:r>
        <w:rPr>
          <w:rFonts w:hint="eastAsia" w:ascii="宋体" w:hAnsi="宋体"/>
          <w:sz w:val="24"/>
          <w:szCs w:val="21"/>
        </w:rPr>
        <w:t>基金管理人、基金托管人按各自职责完整保存原始凭证、记账凭证、基金账册、交易记录和重要合同等，保存期限不少于法律法规规定的最低期限，对相关信息负有保密义务，但司法强制检查、有权机关调查等情形及法律法规规定的其它情形除外。其中，基金管理人应保存基金财产管理业务活动的记录、账册、报表和其他相关资料，基金托管人应保存基金托管业务活动的记录、账册、报表和其他相关资料。</w:t>
      </w:r>
    </w:p>
    <w:p w14:paraId="0B5F71A6">
      <w:pPr>
        <w:spacing w:line="360" w:lineRule="auto"/>
        <w:ind w:firstLine="480" w:firstLineChars="200"/>
        <w:rPr>
          <w:rFonts w:ascii="宋体" w:hAnsi="宋体"/>
          <w:sz w:val="24"/>
          <w:szCs w:val="21"/>
        </w:rPr>
      </w:pPr>
      <w:r>
        <w:rPr>
          <w:rFonts w:hint="eastAsia" w:ascii="宋体" w:hAnsi="宋体"/>
          <w:sz w:val="24"/>
          <w:szCs w:val="21"/>
        </w:rPr>
        <w:t>基金管理人签署重大合同文本后，应及时将合同文本正本送达基金托管人处。基金管理人应及时将与本基金账务处理、资金划拨等有关的合同、协议传真给基金托管人。</w:t>
      </w:r>
    </w:p>
    <w:p w14:paraId="3796D435">
      <w:pPr>
        <w:spacing w:line="360" w:lineRule="auto"/>
        <w:ind w:firstLine="480" w:firstLineChars="200"/>
        <w:rPr>
          <w:rFonts w:ascii="宋体" w:hAnsi="宋体"/>
          <w:sz w:val="24"/>
          <w:szCs w:val="21"/>
        </w:rPr>
      </w:pPr>
      <w:r>
        <w:rPr>
          <w:rFonts w:hint="eastAsia" w:ascii="宋体" w:hAnsi="宋体"/>
          <w:sz w:val="24"/>
          <w:szCs w:val="21"/>
        </w:rPr>
        <w:t>基金管理人或基金托管人变更后，未变更的一方有义务协助接任人接受基金的有关文件。</w:t>
      </w:r>
    </w:p>
    <w:p w14:paraId="7D748356">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37" w:name="_Toc123626180"/>
      <w:bookmarkStart w:id="138" w:name="_Toc124749236"/>
      <w:bookmarkStart w:id="139" w:name="_Toc140002349"/>
      <w:bookmarkStart w:id="140" w:name="_Toc124749949"/>
      <w:bookmarkStart w:id="141" w:name="_Toc125361086"/>
      <w:r>
        <w:rPr>
          <w:rFonts w:hint="eastAsia" w:ascii="宋体" w:hAnsi="宋体" w:cs="Arial"/>
          <w:sz w:val="30"/>
        </w:rPr>
        <w:t>基金管理人和基金托管</w:t>
      </w:r>
      <w:bookmarkEnd w:id="137"/>
      <w:r>
        <w:rPr>
          <w:rFonts w:hint="eastAsia" w:ascii="宋体" w:hAnsi="宋体" w:cs="Arial"/>
          <w:sz w:val="30"/>
        </w:rPr>
        <w:t>人的更换</w:t>
      </w:r>
      <w:bookmarkEnd w:id="138"/>
      <w:bookmarkEnd w:id="139"/>
      <w:bookmarkEnd w:id="140"/>
      <w:bookmarkEnd w:id="141"/>
    </w:p>
    <w:p w14:paraId="550B3E76">
      <w:pPr>
        <w:spacing w:line="360" w:lineRule="auto"/>
        <w:ind w:firstLine="540" w:firstLineChars="225"/>
        <w:rPr>
          <w:rFonts w:ascii="宋体" w:hAnsi="宋体"/>
          <w:sz w:val="24"/>
          <w:szCs w:val="21"/>
        </w:rPr>
      </w:pPr>
      <w:bookmarkStart w:id="142" w:name="_Toc79392594"/>
      <w:bookmarkStart w:id="143" w:name="_Toc15118246"/>
      <w:bookmarkStart w:id="144" w:name="_Toc57530253"/>
      <w:r>
        <w:rPr>
          <w:rFonts w:hint="eastAsia" w:ascii="宋体" w:hAnsi="宋体"/>
          <w:sz w:val="24"/>
          <w:szCs w:val="21"/>
        </w:rPr>
        <w:t>（一）基金管理人和基金托管人职责终止的情形</w:t>
      </w:r>
    </w:p>
    <w:p w14:paraId="2099728D">
      <w:pPr>
        <w:spacing w:line="360" w:lineRule="auto"/>
        <w:ind w:firstLine="540" w:firstLineChars="225"/>
        <w:rPr>
          <w:rFonts w:ascii="宋体" w:hAnsi="宋体"/>
          <w:sz w:val="24"/>
          <w:szCs w:val="21"/>
        </w:rPr>
      </w:pPr>
      <w:r>
        <w:rPr>
          <w:rFonts w:hint="eastAsia" w:ascii="宋体" w:hAnsi="宋体"/>
          <w:sz w:val="24"/>
          <w:szCs w:val="21"/>
        </w:rPr>
        <w:t>1、基金管理人职责终止的情形</w:t>
      </w:r>
    </w:p>
    <w:p w14:paraId="72367BCC">
      <w:pPr>
        <w:spacing w:line="360" w:lineRule="auto"/>
        <w:ind w:firstLine="540" w:firstLineChars="225"/>
        <w:rPr>
          <w:rFonts w:ascii="宋体" w:hAnsi="宋体"/>
          <w:sz w:val="24"/>
          <w:szCs w:val="21"/>
        </w:rPr>
      </w:pPr>
      <w:r>
        <w:rPr>
          <w:rFonts w:hint="eastAsia" w:ascii="宋体" w:hAnsi="宋体"/>
          <w:sz w:val="24"/>
          <w:szCs w:val="21"/>
        </w:rPr>
        <w:t>有下列情形之一的，基金管理人职责终止：</w:t>
      </w:r>
    </w:p>
    <w:p w14:paraId="00087B27">
      <w:pPr>
        <w:spacing w:line="360" w:lineRule="auto"/>
        <w:ind w:firstLine="540" w:firstLineChars="225"/>
        <w:rPr>
          <w:rFonts w:ascii="宋体" w:hAnsi="宋体"/>
          <w:sz w:val="24"/>
          <w:szCs w:val="21"/>
        </w:rPr>
      </w:pPr>
      <w:r>
        <w:rPr>
          <w:rFonts w:hint="eastAsia" w:ascii="宋体" w:hAnsi="宋体"/>
          <w:sz w:val="24"/>
          <w:szCs w:val="21"/>
        </w:rPr>
        <w:t>（</w:t>
      </w:r>
      <w:r>
        <w:rPr>
          <w:rFonts w:ascii="宋体" w:hAnsi="宋体"/>
          <w:sz w:val="24"/>
          <w:szCs w:val="21"/>
        </w:rPr>
        <w:t>1</w:t>
      </w:r>
      <w:r>
        <w:rPr>
          <w:rFonts w:hint="eastAsia" w:ascii="宋体" w:hAnsi="宋体"/>
          <w:sz w:val="24"/>
          <w:szCs w:val="21"/>
        </w:rPr>
        <w:t>）被依法取消基金管理资格；</w:t>
      </w:r>
    </w:p>
    <w:p w14:paraId="43E2B761">
      <w:pPr>
        <w:spacing w:line="360" w:lineRule="auto"/>
        <w:ind w:firstLine="540" w:firstLineChars="225"/>
        <w:rPr>
          <w:rFonts w:ascii="宋体" w:hAnsi="宋体"/>
          <w:sz w:val="24"/>
          <w:szCs w:val="21"/>
        </w:rPr>
      </w:pPr>
      <w:r>
        <w:rPr>
          <w:rFonts w:hint="eastAsia" w:ascii="宋体" w:hAnsi="宋体"/>
          <w:sz w:val="24"/>
          <w:szCs w:val="21"/>
        </w:rPr>
        <w:t>（2）被基金份额持有人大会解任；</w:t>
      </w:r>
    </w:p>
    <w:p w14:paraId="3D6A4E1E">
      <w:pPr>
        <w:spacing w:line="360" w:lineRule="auto"/>
        <w:ind w:firstLine="540" w:firstLineChars="225"/>
        <w:rPr>
          <w:rFonts w:ascii="宋体" w:hAnsi="宋体"/>
          <w:sz w:val="24"/>
          <w:szCs w:val="21"/>
        </w:rPr>
      </w:pPr>
      <w:r>
        <w:rPr>
          <w:rFonts w:hint="eastAsia" w:ascii="宋体" w:hAnsi="宋体"/>
          <w:sz w:val="24"/>
          <w:szCs w:val="21"/>
        </w:rPr>
        <w:t>（3）依法解散、被依法撤销或被依法宣告破产；</w:t>
      </w:r>
    </w:p>
    <w:p w14:paraId="41E0E46B">
      <w:pPr>
        <w:spacing w:line="360" w:lineRule="auto"/>
        <w:ind w:firstLine="540" w:firstLineChars="225"/>
        <w:rPr>
          <w:rFonts w:ascii="宋体" w:hAnsi="宋体"/>
          <w:sz w:val="24"/>
          <w:szCs w:val="21"/>
        </w:rPr>
      </w:pPr>
      <w:r>
        <w:rPr>
          <w:rFonts w:hint="eastAsia" w:ascii="宋体" w:hAnsi="宋体"/>
          <w:sz w:val="24"/>
          <w:szCs w:val="21"/>
        </w:rPr>
        <w:t>（4）法律法规及中国证监会规定的和《基金合同》约定的其他情形。</w:t>
      </w:r>
    </w:p>
    <w:p w14:paraId="262F6377">
      <w:pPr>
        <w:spacing w:line="360" w:lineRule="auto"/>
        <w:ind w:firstLine="540" w:firstLineChars="225"/>
        <w:rPr>
          <w:rFonts w:ascii="宋体" w:hAnsi="宋体"/>
          <w:sz w:val="24"/>
          <w:szCs w:val="21"/>
        </w:rPr>
      </w:pPr>
      <w:r>
        <w:rPr>
          <w:rFonts w:hint="eastAsia" w:ascii="宋体" w:hAnsi="宋体"/>
          <w:sz w:val="24"/>
          <w:szCs w:val="21"/>
        </w:rPr>
        <w:t>2、基金托管人职责终止的情形</w:t>
      </w:r>
    </w:p>
    <w:p w14:paraId="37B69AD3">
      <w:pPr>
        <w:spacing w:line="360" w:lineRule="auto"/>
        <w:ind w:firstLine="540" w:firstLineChars="225"/>
        <w:rPr>
          <w:rFonts w:ascii="宋体" w:hAnsi="宋体"/>
          <w:sz w:val="24"/>
          <w:szCs w:val="21"/>
        </w:rPr>
      </w:pPr>
      <w:r>
        <w:rPr>
          <w:rFonts w:hint="eastAsia" w:ascii="宋体" w:hAnsi="宋体"/>
          <w:sz w:val="24"/>
          <w:szCs w:val="21"/>
        </w:rPr>
        <w:t>有下列情形之一的，基金托管人职责终止：</w:t>
      </w:r>
    </w:p>
    <w:p w14:paraId="7FE875FD">
      <w:pPr>
        <w:spacing w:line="360" w:lineRule="auto"/>
        <w:ind w:firstLine="540" w:firstLineChars="225"/>
        <w:rPr>
          <w:rFonts w:ascii="宋体" w:hAnsi="宋体"/>
          <w:sz w:val="24"/>
          <w:szCs w:val="21"/>
        </w:rPr>
      </w:pPr>
      <w:r>
        <w:rPr>
          <w:rFonts w:hint="eastAsia" w:ascii="宋体" w:hAnsi="宋体"/>
          <w:sz w:val="24"/>
          <w:szCs w:val="21"/>
        </w:rPr>
        <w:t>（1）被依法取消基金托管资格；</w:t>
      </w:r>
    </w:p>
    <w:p w14:paraId="2A625B23">
      <w:pPr>
        <w:spacing w:line="360" w:lineRule="auto"/>
        <w:ind w:firstLine="540" w:firstLineChars="225"/>
        <w:rPr>
          <w:rFonts w:ascii="宋体" w:hAnsi="宋体"/>
          <w:sz w:val="24"/>
          <w:szCs w:val="21"/>
        </w:rPr>
      </w:pPr>
      <w:r>
        <w:rPr>
          <w:rFonts w:hint="eastAsia" w:ascii="宋体" w:hAnsi="宋体"/>
          <w:sz w:val="24"/>
          <w:szCs w:val="21"/>
        </w:rPr>
        <w:t>（2）被基金份额持有人大会解任；</w:t>
      </w:r>
    </w:p>
    <w:p w14:paraId="48E70C63">
      <w:pPr>
        <w:spacing w:line="360" w:lineRule="auto"/>
        <w:ind w:firstLine="540" w:firstLineChars="225"/>
        <w:rPr>
          <w:rFonts w:ascii="宋体" w:hAnsi="宋体"/>
          <w:sz w:val="24"/>
          <w:szCs w:val="21"/>
        </w:rPr>
      </w:pPr>
      <w:r>
        <w:rPr>
          <w:rFonts w:hint="eastAsia" w:ascii="宋体" w:hAnsi="宋体"/>
          <w:sz w:val="24"/>
          <w:szCs w:val="21"/>
        </w:rPr>
        <w:t>（3）依法解散、被依法撤销或被依法宣告破产；</w:t>
      </w:r>
    </w:p>
    <w:p w14:paraId="2BEC144F">
      <w:pPr>
        <w:spacing w:line="360" w:lineRule="auto"/>
        <w:ind w:firstLine="540" w:firstLineChars="225"/>
        <w:rPr>
          <w:rFonts w:ascii="宋体" w:hAnsi="宋体"/>
          <w:sz w:val="24"/>
          <w:szCs w:val="21"/>
        </w:rPr>
      </w:pPr>
      <w:r>
        <w:rPr>
          <w:rFonts w:hint="eastAsia" w:ascii="宋体" w:hAnsi="宋体"/>
          <w:sz w:val="24"/>
          <w:szCs w:val="21"/>
        </w:rPr>
        <w:t>（4）法律法规及中国证监会规定的和《基金合同》约定的其他情形。</w:t>
      </w:r>
    </w:p>
    <w:p w14:paraId="224840D3">
      <w:pPr>
        <w:spacing w:line="360" w:lineRule="auto"/>
        <w:ind w:firstLine="540" w:firstLineChars="225"/>
        <w:rPr>
          <w:rFonts w:ascii="宋体" w:hAnsi="宋体"/>
          <w:sz w:val="24"/>
          <w:szCs w:val="21"/>
        </w:rPr>
      </w:pPr>
      <w:r>
        <w:rPr>
          <w:rFonts w:hint="eastAsia" w:ascii="宋体" w:hAnsi="宋体"/>
          <w:sz w:val="24"/>
          <w:szCs w:val="21"/>
        </w:rPr>
        <w:t>（二）基金管理人和基金托管人的更换程序</w:t>
      </w:r>
    </w:p>
    <w:p w14:paraId="07149885">
      <w:pPr>
        <w:spacing w:line="360" w:lineRule="auto"/>
        <w:ind w:firstLine="540" w:firstLineChars="225"/>
        <w:rPr>
          <w:rFonts w:ascii="宋体" w:hAnsi="宋体"/>
          <w:sz w:val="24"/>
          <w:szCs w:val="21"/>
        </w:rPr>
      </w:pPr>
      <w:r>
        <w:rPr>
          <w:rFonts w:hint="eastAsia" w:ascii="宋体" w:hAnsi="宋体"/>
          <w:sz w:val="24"/>
          <w:szCs w:val="21"/>
        </w:rPr>
        <w:t>1、基金管理人的更换程序</w:t>
      </w:r>
    </w:p>
    <w:p w14:paraId="08F96BFE">
      <w:pPr>
        <w:spacing w:line="360" w:lineRule="auto"/>
        <w:ind w:firstLine="540" w:firstLineChars="225"/>
        <w:rPr>
          <w:rFonts w:ascii="宋体" w:hAnsi="宋体"/>
          <w:sz w:val="24"/>
          <w:szCs w:val="21"/>
        </w:rPr>
      </w:pPr>
      <w:r>
        <w:rPr>
          <w:rFonts w:hint="eastAsia" w:ascii="宋体" w:hAnsi="宋体"/>
          <w:sz w:val="24"/>
          <w:szCs w:val="21"/>
        </w:rPr>
        <w:t>（1）提名：新任基金管理人由基金托管人或由单独或合计持有10%以上（含10%）基金份额的基金份额持有人提名；</w:t>
      </w:r>
    </w:p>
    <w:p w14:paraId="05448B59">
      <w:pPr>
        <w:spacing w:line="360" w:lineRule="auto"/>
        <w:ind w:firstLine="540" w:firstLineChars="225"/>
        <w:rPr>
          <w:rFonts w:ascii="宋体" w:hAnsi="宋体"/>
          <w:sz w:val="24"/>
          <w:szCs w:val="21"/>
        </w:rPr>
      </w:pPr>
      <w:r>
        <w:rPr>
          <w:rFonts w:hint="eastAsia" w:ascii="宋体" w:hAnsi="宋体"/>
          <w:sz w:val="24"/>
          <w:szCs w:val="21"/>
        </w:rPr>
        <w:t>（2）决议：基金份额持有人大会在基金管理人职责终止后6个月内对被提名的基金管理人形成决议，该决议需经参加大会的基金份额持有人所持表决权的三分之二以上（含三分之二）表决通过，决议自表决通过之日起生效，新任基金管理人应当符合法律法规及中国证监会规定的资格条件；</w:t>
      </w:r>
    </w:p>
    <w:p w14:paraId="2D963D64">
      <w:pPr>
        <w:spacing w:line="360" w:lineRule="auto"/>
        <w:ind w:firstLine="540" w:firstLineChars="225"/>
        <w:rPr>
          <w:rFonts w:ascii="宋体" w:hAnsi="宋体"/>
          <w:sz w:val="24"/>
          <w:szCs w:val="21"/>
        </w:rPr>
      </w:pPr>
      <w:r>
        <w:rPr>
          <w:rFonts w:hint="eastAsia" w:ascii="宋体" w:hAnsi="宋体"/>
          <w:sz w:val="24"/>
          <w:szCs w:val="21"/>
        </w:rPr>
        <w:t>（3）临时基金管理人：新任基金管理人产生之前，由中国证监会指定临时基金管理人；</w:t>
      </w:r>
    </w:p>
    <w:p w14:paraId="2E05F8D4">
      <w:pPr>
        <w:spacing w:line="360" w:lineRule="auto"/>
        <w:ind w:firstLine="540" w:firstLineChars="225"/>
        <w:rPr>
          <w:rFonts w:ascii="宋体" w:hAnsi="宋体"/>
          <w:sz w:val="24"/>
          <w:szCs w:val="21"/>
        </w:rPr>
      </w:pPr>
      <w:r>
        <w:rPr>
          <w:rFonts w:hint="eastAsia" w:ascii="宋体" w:hAnsi="宋体"/>
          <w:sz w:val="24"/>
          <w:szCs w:val="21"/>
        </w:rPr>
        <w:t>（4）备案：基金份额持有人大会更换基金管理人的决议须报中国证监会备案；</w:t>
      </w:r>
    </w:p>
    <w:p w14:paraId="7ADD0CE2">
      <w:pPr>
        <w:spacing w:line="360" w:lineRule="auto"/>
        <w:ind w:firstLine="540" w:firstLineChars="225"/>
        <w:rPr>
          <w:rFonts w:ascii="宋体" w:hAnsi="宋体"/>
          <w:sz w:val="24"/>
          <w:szCs w:val="21"/>
        </w:rPr>
      </w:pPr>
      <w:r>
        <w:rPr>
          <w:rFonts w:hint="eastAsia" w:ascii="宋体" w:hAnsi="宋体"/>
          <w:sz w:val="24"/>
          <w:szCs w:val="21"/>
        </w:rPr>
        <w:t>（5）公告：基金管理人更换后，由基金托管人在更换基金管理人的基金份额持有人大会决议生效后2日内在规定媒介公告；</w:t>
      </w:r>
    </w:p>
    <w:p w14:paraId="4F8D946B">
      <w:pPr>
        <w:spacing w:line="360" w:lineRule="auto"/>
        <w:ind w:firstLine="540" w:firstLineChars="225"/>
        <w:rPr>
          <w:rFonts w:ascii="宋体" w:hAnsi="宋体"/>
          <w:sz w:val="24"/>
          <w:szCs w:val="21"/>
        </w:rPr>
      </w:pPr>
      <w:r>
        <w:rPr>
          <w:rFonts w:hint="eastAsia" w:ascii="宋体" w:hAnsi="宋体"/>
          <w:sz w:val="24"/>
          <w:szCs w:val="21"/>
        </w:rPr>
        <w:t>（6）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基金资产净值；</w:t>
      </w:r>
    </w:p>
    <w:p w14:paraId="4BEF65F4">
      <w:pPr>
        <w:spacing w:line="360" w:lineRule="auto"/>
        <w:ind w:firstLine="540" w:firstLineChars="225"/>
        <w:rPr>
          <w:rFonts w:ascii="宋体" w:hAnsi="宋体"/>
          <w:sz w:val="24"/>
          <w:szCs w:val="21"/>
        </w:rPr>
      </w:pPr>
      <w:r>
        <w:rPr>
          <w:rFonts w:hint="eastAsia" w:ascii="宋体" w:hAnsi="宋体"/>
          <w:sz w:val="24"/>
          <w:szCs w:val="21"/>
        </w:rPr>
        <w:t>（7）审计：基金管理人职责终止的，应当按照法律法规规定聘请符合《中华人民共和国证券法》规定的会计师事务所对基金财产进行审计，并将审计结果予以公告，同时报中国证监会备案。审计费用在基金财产中列支；</w:t>
      </w:r>
    </w:p>
    <w:p w14:paraId="2E3FB723">
      <w:pPr>
        <w:spacing w:line="360" w:lineRule="auto"/>
        <w:ind w:firstLine="540" w:firstLineChars="225"/>
        <w:rPr>
          <w:rFonts w:ascii="宋体" w:hAnsi="宋体"/>
          <w:sz w:val="24"/>
          <w:szCs w:val="21"/>
        </w:rPr>
      </w:pPr>
      <w:r>
        <w:rPr>
          <w:rFonts w:hint="eastAsia" w:ascii="宋体" w:hAnsi="宋体"/>
          <w:sz w:val="24"/>
          <w:szCs w:val="21"/>
        </w:rPr>
        <w:t>（8）基金名称变更：基金管理人更换后，如果原任或新任基金管理人要求，应按其要求替换或删除基金名称中与原基金管理人有关的名称字样。</w:t>
      </w:r>
    </w:p>
    <w:p w14:paraId="2032C984">
      <w:pPr>
        <w:spacing w:line="360" w:lineRule="auto"/>
        <w:ind w:firstLine="540" w:firstLineChars="225"/>
        <w:rPr>
          <w:rFonts w:ascii="宋体" w:hAnsi="宋体"/>
          <w:sz w:val="24"/>
          <w:szCs w:val="21"/>
        </w:rPr>
      </w:pPr>
      <w:r>
        <w:rPr>
          <w:rFonts w:hint="eastAsia" w:ascii="宋体" w:hAnsi="宋体"/>
          <w:sz w:val="24"/>
          <w:szCs w:val="21"/>
        </w:rPr>
        <w:t>2、基金托管人的更换程序</w:t>
      </w:r>
    </w:p>
    <w:p w14:paraId="23B74B28">
      <w:pPr>
        <w:spacing w:line="360" w:lineRule="auto"/>
        <w:ind w:firstLine="540" w:firstLineChars="225"/>
        <w:rPr>
          <w:rFonts w:ascii="宋体" w:hAnsi="宋体"/>
          <w:sz w:val="24"/>
          <w:szCs w:val="21"/>
        </w:rPr>
      </w:pPr>
      <w:r>
        <w:rPr>
          <w:rFonts w:hint="eastAsia" w:ascii="宋体" w:hAnsi="宋体"/>
          <w:sz w:val="24"/>
          <w:szCs w:val="21"/>
        </w:rPr>
        <w:t>（1）提名：新任基金托管人由基金管理人或由单独或合计持有10%以上（含10%）基金份额的基金份额持有人提名；</w:t>
      </w:r>
    </w:p>
    <w:p w14:paraId="184F10FD">
      <w:pPr>
        <w:spacing w:line="360" w:lineRule="auto"/>
        <w:ind w:firstLine="540" w:firstLineChars="225"/>
        <w:rPr>
          <w:rFonts w:ascii="宋体" w:hAnsi="宋体"/>
          <w:sz w:val="24"/>
          <w:szCs w:val="21"/>
        </w:rPr>
      </w:pPr>
      <w:r>
        <w:rPr>
          <w:rFonts w:hint="eastAsia" w:ascii="宋体" w:hAnsi="宋体"/>
          <w:sz w:val="24"/>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新任基金托管人应当符合法律法规及中国证监会规定的资格条件；</w:t>
      </w:r>
    </w:p>
    <w:p w14:paraId="32383249">
      <w:pPr>
        <w:spacing w:line="360" w:lineRule="auto"/>
        <w:ind w:firstLine="540" w:firstLineChars="225"/>
        <w:rPr>
          <w:rFonts w:ascii="宋体" w:hAnsi="宋体"/>
          <w:sz w:val="24"/>
          <w:szCs w:val="21"/>
        </w:rPr>
      </w:pPr>
      <w:r>
        <w:rPr>
          <w:rFonts w:hint="eastAsia" w:ascii="宋体" w:hAnsi="宋体"/>
          <w:sz w:val="24"/>
          <w:szCs w:val="21"/>
        </w:rPr>
        <w:t>（3）临时基金托管人：新任基金托管人产生之前，由中国证监会指定临时基金托管人；</w:t>
      </w:r>
    </w:p>
    <w:p w14:paraId="3FEA6EC6">
      <w:pPr>
        <w:spacing w:line="360" w:lineRule="auto"/>
        <w:ind w:firstLine="540" w:firstLineChars="225"/>
        <w:rPr>
          <w:rFonts w:ascii="宋体" w:hAnsi="宋体"/>
          <w:sz w:val="24"/>
          <w:szCs w:val="21"/>
        </w:rPr>
      </w:pPr>
      <w:r>
        <w:rPr>
          <w:rFonts w:hint="eastAsia" w:ascii="宋体" w:hAnsi="宋体"/>
          <w:sz w:val="24"/>
          <w:szCs w:val="21"/>
        </w:rPr>
        <w:t>（4）备案：基金份额持有人大会更换基金托管人的决议须报中国证监会备案；</w:t>
      </w:r>
    </w:p>
    <w:p w14:paraId="3752732E">
      <w:pPr>
        <w:spacing w:line="360" w:lineRule="auto"/>
        <w:ind w:firstLine="540" w:firstLineChars="225"/>
        <w:rPr>
          <w:rFonts w:ascii="宋体" w:hAnsi="宋体"/>
          <w:sz w:val="24"/>
          <w:szCs w:val="21"/>
        </w:rPr>
      </w:pPr>
      <w:r>
        <w:rPr>
          <w:rFonts w:hint="eastAsia" w:ascii="宋体" w:hAnsi="宋体"/>
          <w:sz w:val="24"/>
          <w:szCs w:val="21"/>
        </w:rPr>
        <w:t>（5）公告：基金托管人更换后，由基金管理人在更换基金托管人的基金份额持有人大会决议生效后2日内在规定媒介公告；</w:t>
      </w:r>
    </w:p>
    <w:p w14:paraId="488ED143">
      <w:pPr>
        <w:spacing w:line="360" w:lineRule="auto"/>
        <w:ind w:firstLine="540" w:firstLineChars="225"/>
        <w:rPr>
          <w:rFonts w:ascii="宋体" w:hAnsi="宋体"/>
          <w:sz w:val="24"/>
          <w:szCs w:val="21"/>
        </w:rPr>
      </w:pPr>
      <w:r>
        <w:rPr>
          <w:rFonts w:hint="eastAsia" w:ascii="宋体" w:hAnsi="宋体"/>
          <w:sz w:val="24"/>
          <w:szCs w:val="21"/>
        </w:rPr>
        <w:t>（6）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基金资产净值；</w:t>
      </w:r>
    </w:p>
    <w:p w14:paraId="076AC355">
      <w:pPr>
        <w:spacing w:line="360" w:lineRule="auto"/>
        <w:ind w:firstLine="540" w:firstLineChars="225"/>
        <w:rPr>
          <w:rFonts w:ascii="宋体" w:hAnsi="宋体"/>
          <w:sz w:val="24"/>
          <w:szCs w:val="21"/>
        </w:rPr>
      </w:pPr>
      <w:r>
        <w:rPr>
          <w:rFonts w:hint="eastAsia" w:ascii="宋体" w:hAnsi="宋体"/>
          <w:sz w:val="24"/>
          <w:szCs w:val="21"/>
        </w:rPr>
        <w:t>（7）审计：基金托管人职责终止的，应当按照法律法规规定聘请符合《中华人民共和国证券法》规定的会计师事务所对基金财产进行审计，并将审计结果予以公告，同时报中国证监会备案。审计费用在基金财产中列支。</w:t>
      </w:r>
    </w:p>
    <w:p w14:paraId="0E8F3585">
      <w:pPr>
        <w:spacing w:line="360" w:lineRule="auto"/>
        <w:ind w:firstLine="540" w:firstLineChars="225"/>
        <w:rPr>
          <w:rFonts w:ascii="宋体" w:hAnsi="宋体"/>
          <w:sz w:val="24"/>
          <w:szCs w:val="21"/>
        </w:rPr>
      </w:pPr>
      <w:r>
        <w:rPr>
          <w:rFonts w:hint="eastAsia" w:ascii="宋体" w:hAnsi="宋体"/>
          <w:sz w:val="24"/>
          <w:szCs w:val="21"/>
        </w:rPr>
        <w:t>3、基金管理人与基金托管人同时更换的条件和程序</w:t>
      </w:r>
    </w:p>
    <w:p w14:paraId="4B816A97">
      <w:pPr>
        <w:spacing w:line="360" w:lineRule="auto"/>
        <w:ind w:firstLine="540" w:firstLineChars="225"/>
        <w:rPr>
          <w:rFonts w:ascii="宋体" w:hAnsi="宋体"/>
          <w:sz w:val="24"/>
          <w:szCs w:val="21"/>
        </w:rPr>
      </w:pPr>
      <w:r>
        <w:rPr>
          <w:rFonts w:hint="eastAsia" w:ascii="宋体" w:hAnsi="宋体"/>
          <w:sz w:val="24"/>
          <w:szCs w:val="21"/>
        </w:rPr>
        <w:t>（1）提名：如果基金管理人和基金托管人同时更换，由单独或合计持有基金总份额10%以上（含10%）的基金份额持有人提名新的基金管理人和基金托管人；</w:t>
      </w:r>
    </w:p>
    <w:p w14:paraId="2EA6EB67">
      <w:pPr>
        <w:spacing w:line="360" w:lineRule="auto"/>
        <w:ind w:firstLine="540" w:firstLineChars="225"/>
        <w:rPr>
          <w:rFonts w:ascii="宋体" w:hAnsi="宋体"/>
          <w:sz w:val="24"/>
          <w:szCs w:val="21"/>
        </w:rPr>
      </w:pPr>
      <w:r>
        <w:rPr>
          <w:rFonts w:hint="eastAsia" w:ascii="宋体" w:hAnsi="宋体"/>
          <w:sz w:val="24"/>
          <w:szCs w:val="21"/>
        </w:rPr>
        <w:t>（2）基金管理人和基金托管人的更换分别按上述程序进行；</w:t>
      </w:r>
    </w:p>
    <w:p w14:paraId="32B54933">
      <w:pPr>
        <w:spacing w:line="360" w:lineRule="auto"/>
        <w:ind w:firstLine="540" w:firstLineChars="225"/>
        <w:rPr>
          <w:rFonts w:ascii="宋体" w:hAnsi="宋体"/>
          <w:sz w:val="24"/>
          <w:szCs w:val="21"/>
        </w:rPr>
      </w:pPr>
      <w:r>
        <w:rPr>
          <w:rFonts w:hint="eastAsia" w:ascii="宋体" w:hAnsi="宋体"/>
          <w:sz w:val="24"/>
          <w:szCs w:val="21"/>
        </w:rPr>
        <w:t>（3）公告：新任基金管理人和新任基金托管人应在更换基金管理人和基金托管人的基金份额持有人大会决议生效后2日内在规定媒介上联合公告。</w:t>
      </w:r>
    </w:p>
    <w:p w14:paraId="79BBDFC4">
      <w:pPr>
        <w:spacing w:line="360" w:lineRule="auto"/>
        <w:ind w:firstLine="540" w:firstLineChars="225"/>
        <w:rPr>
          <w:rFonts w:ascii="宋体" w:hAnsi="宋体"/>
          <w:sz w:val="24"/>
          <w:szCs w:val="21"/>
        </w:rPr>
      </w:pPr>
      <w:r>
        <w:rPr>
          <w:rFonts w:hint="eastAsia" w:ascii="宋体" w:hAnsi="宋体"/>
          <w:sz w:val="24"/>
          <w:szCs w:val="21"/>
        </w:rPr>
        <w:t>4、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w:t>
      </w:r>
      <w:r>
        <w:rPr>
          <w:rFonts w:hint="eastAsia"/>
          <w:bCs/>
          <w:sz w:val="24"/>
        </w:rPr>
        <w:t>原基金管理人或基金托管人在继续履行相关职责期间，仍有权按照基金合同的规定收取基金管理费或基金托管费。</w:t>
      </w:r>
    </w:p>
    <w:bookmarkEnd w:id="142"/>
    <w:bookmarkEnd w:id="143"/>
    <w:bookmarkEnd w:id="144"/>
    <w:p w14:paraId="16832DB8">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45" w:name="_Toc124749950"/>
      <w:bookmarkStart w:id="146" w:name="_Toc140002350"/>
      <w:bookmarkStart w:id="147" w:name="_Toc123626181"/>
      <w:bookmarkStart w:id="148" w:name="_Toc124749237"/>
      <w:bookmarkStart w:id="149" w:name="_Toc125361087"/>
      <w:r>
        <w:rPr>
          <w:rFonts w:hint="eastAsia" w:ascii="宋体" w:hAnsi="宋体" w:cs="Arial"/>
          <w:sz w:val="30"/>
        </w:rPr>
        <w:t>禁止行为</w:t>
      </w:r>
      <w:bookmarkEnd w:id="145"/>
      <w:bookmarkEnd w:id="146"/>
      <w:bookmarkEnd w:id="147"/>
      <w:bookmarkEnd w:id="148"/>
      <w:bookmarkEnd w:id="149"/>
    </w:p>
    <w:p w14:paraId="692ACAA0">
      <w:pPr>
        <w:spacing w:line="360" w:lineRule="auto"/>
        <w:ind w:firstLine="540" w:firstLineChars="225"/>
        <w:rPr>
          <w:rFonts w:ascii="宋体" w:hAnsi="宋体"/>
          <w:sz w:val="24"/>
          <w:szCs w:val="21"/>
        </w:rPr>
      </w:pPr>
      <w:r>
        <w:rPr>
          <w:rFonts w:hint="eastAsia" w:ascii="宋体" w:hAnsi="宋体"/>
          <w:sz w:val="24"/>
          <w:szCs w:val="21"/>
        </w:rPr>
        <w:t>托管协议当事人禁止从事的行为，包括但不限于：</w:t>
      </w:r>
    </w:p>
    <w:p w14:paraId="3DC54068">
      <w:pPr>
        <w:spacing w:line="360" w:lineRule="auto"/>
        <w:ind w:firstLine="540" w:firstLineChars="225"/>
        <w:rPr>
          <w:rFonts w:ascii="宋体" w:hAnsi="宋体"/>
          <w:sz w:val="24"/>
          <w:szCs w:val="21"/>
        </w:rPr>
      </w:pPr>
      <w:r>
        <w:rPr>
          <w:rFonts w:hint="eastAsia" w:ascii="宋体" w:hAnsi="宋体"/>
          <w:sz w:val="24"/>
          <w:szCs w:val="21"/>
        </w:rPr>
        <w:t>（一）基金管理人、基金托管人将其固有财产或者他人财产混同于基金财产从事证券投资。</w:t>
      </w:r>
    </w:p>
    <w:p w14:paraId="4B4BB5F7">
      <w:pPr>
        <w:spacing w:line="360" w:lineRule="auto"/>
        <w:ind w:firstLine="540" w:firstLineChars="225"/>
        <w:rPr>
          <w:rFonts w:ascii="宋体" w:hAnsi="宋体"/>
          <w:sz w:val="24"/>
          <w:szCs w:val="21"/>
        </w:rPr>
      </w:pPr>
      <w:r>
        <w:rPr>
          <w:rFonts w:hint="eastAsia" w:ascii="宋体" w:hAnsi="宋体"/>
          <w:sz w:val="24"/>
          <w:szCs w:val="21"/>
        </w:rPr>
        <w:t>（二）基金管理人、基金托管人不公平地对待其管理或托管的不同基金财产。</w:t>
      </w:r>
    </w:p>
    <w:p w14:paraId="56C03A97">
      <w:pPr>
        <w:spacing w:line="360" w:lineRule="auto"/>
        <w:ind w:firstLine="540" w:firstLineChars="225"/>
        <w:rPr>
          <w:rFonts w:ascii="宋体" w:hAnsi="宋体"/>
          <w:sz w:val="24"/>
          <w:szCs w:val="21"/>
        </w:rPr>
      </w:pPr>
      <w:r>
        <w:rPr>
          <w:rFonts w:hint="eastAsia" w:ascii="宋体" w:hAnsi="宋体"/>
          <w:sz w:val="24"/>
          <w:szCs w:val="21"/>
        </w:rPr>
        <w:t>（三）基金管理人、基金托管人利用基金财产为基金份额持有人以外的第三人牟取利益。</w:t>
      </w:r>
    </w:p>
    <w:p w14:paraId="4C36DBBF">
      <w:pPr>
        <w:spacing w:line="360" w:lineRule="auto"/>
        <w:ind w:firstLine="540" w:firstLineChars="225"/>
        <w:rPr>
          <w:rFonts w:ascii="宋体" w:hAnsi="宋体"/>
          <w:sz w:val="24"/>
          <w:szCs w:val="21"/>
        </w:rPr>
      </w:pPr>
      <w:r>
        <w:rPr>
          <w:rFonts w:hint="eastAsia" w:ascii="宋体" w:hAnsi="宋体"/>
          <w:sz w:val="24"/>
          <w:szCs w:val="21"/>
        </w:rPr>
        <w:t>（四）基金管理人、基金托管人向基金份额持有人违规承诺收益或者承担损失。</w:t>
      </w:r>
    </w:p>
    <w:p w14:paraId="24FE8C80">
      <w:pPr>
        <w:spacing w:line="360" w:lineRule="auto"/>
        <w:ind w:firstLine="540" w:firstLineChars="225"/>
        <w:rPr>
          <w:rFonts w:ascii="宋体" w:hAnsi="宋体"/>
          <w:sz w:val="24"/>
          <w:szCs w:val="21"/>
        </w:rPr>
      </w:pPr>
      <w:r>
        <w:rPr>
          <w:rFonts w:hint="eastAsia" w:ascii="宋体" w:hAnsi="宋体"/>
          <w:sz w:val="24"/>
          <w:szCs w:val="21"/>
        </w:rPr>
        <w:t>（五）基金管理人、基金托管人对他人泄露基金经营过程中任何尚未按法律法规规定的方式公开披露的信息。</w:t>
      </w:r>
    </w:p>
    <w:p w14:paraId="564AC193">
      <w:pPr>
        <w:spacing w:line="360" w:lineRule="auto"/>
        <w:ind w:firstLine="540" w:firstLineChars="225"/>
        <w:rPr>
          <w:rFonts w:ascii="宋体" w:hAnsi="宋体"/>
          <w:sz w:val="24"/>
          <w:szCs w:val="21"/>
        </w:rPr>
      </w:pPr>
      <w:r>
        <w:rPr>
          <w:rFonts w:hint="eastAsia" w:ascii="宋体" w:hAnsi="宋体"/>
          <w:sz w:val="24"/>
          <w:szCs w:val="21"/>
        </w:rPr>
        <w:t>（六）基金管理人在没有充足资金的情况下向基金托管人发出投资指令和赎回、分红资金的划拨指令，或违规向基金托管人发出指令。</w:t>
      </w:r>
    </w:p>
    <w:p w14:paraId="49BC67F2">
      <w:pPr>
        <w:spacing w:line="360" w:lineRule="auto"/>
        <w:ind w:firstLine="540" w:firstLineChars="225"/>
        <w:rPr>
          <w:rFonts w:ascii="宋体" w:hAnsi="宋体"/>
          <w:sz w:val="24"/>
          <w:szCs w:val="21"/>
        </w:rPr>
      </w:pPr>
      <w:r>
        <w:rPr>
          <w:rFonts w:hint="eastAsia" w:ascii="宋体" w:hAnsi="宋体"/>
          <w:sz w:val="24"/>
          <w:szCs w:val="21"/>
        </w:rPr>
        <w:t>（七）基金托管人对基金管理人的正常有效指令拖延或拒绝执行。</w:t>
      </w:r>
    </w:p>
    <w:p w14:paraId="4EE5D00F">
      <w:pPr>
        <w:spacing w:line="360" w:lineRule="auto"/>
        <w:ind w:firstLine="540" w:firstLineChars="225"/>
        <w:rPr>
          <w:rFonts w:ascii="宋体" w:hAnsi="宋体"/>
          <w:sz w:val="24"/>
          <w:szCs w:val="21"/>
        </w:rPr>
      </w:pPr>
      <w:r>
        <w:rPr>
          <w:rFonts w:hint="eastAsia" w:ascii="宋体" w:hAnsi="宋体"/>
          <w:sz w:val="24"/>
          <w:szCs w:val="21"/>
        </w:rPr>
        <w:t xml:space="preserve">（八）基金管理人、基金托管人在行政上、财务上不独立，其高级管理人员相互兼职。 </w:t>
      </w:r>
    </w:p>
    <w:p w14:paraId="2AC92CA1">
      <w:pPr>
        <w:spacing w:line="360" w:lineRule="auto"/>
        <w:ind w:firstLine="540" w:firstLineChars="225"/>
        <w:rPr>
          <w:rFonts w:ascii="宋体" w:hAnsi="宋体"/>
          <w:sz w:val="24"/>
          <w:szCs w:val="21"/>
        </w:rPr>
      </w:pPr>
      <w:r>
        <w:rPr>
          <w:rFonts w:hint="eastAsia" w:ascii="宋体" w:hAnsi="宋体"/>
          <w:sz w:val="24"/>
          <w:szCs w:val="21"/>
        </w:rPr>
        <w:t xml:space="preserve">（九）基金托管人私自动用或处分基金资产，根据基金管理人的合法指令、基金合同或托管协议的规定进行处分的除外。 </w:t>
      </w:r>
    </w:p>
    <w:p w14:paraId="005FE886">
      <w:pPr>
        <w:spacing w:line="360" w:lineRule="auto"/>
        <w:ind w:firstLine="540" w:firstLineChars="225"/>
        <w:rPr>
          <w:rFonts w:ascii="宋体" w:hAnsi="宋体"/>
          <w:sz w:val="24"/>
          <w:szCs w:val="21"/>
        </w:rPr>
      </w:pPr>
      <w:r>
        <w:rPr>
          <w:rFonts w:hint="eastAsia" w:ascii="宋体" w:hAnsi="宋体"/>
          <w:sz w:val="24"/>
          <w:szCs w:val="21"/>
        </w:rPr>
        <w:t>（十）基金管理人、基金托管人不得利用基金财产用于下列投资或者活动：（</w:t>
      </w:r>
      <w:r>
        <w:rPr>
          <w:rFonts w:ascii="宋体" w:hAnsi="宋体"/>
          <w:sz w:val="24"/>
          <w:szCs w:val="21"/>
        </w:rPr>
        <w:t>1</w:t>
      </w:r>
      <w:r>
        <w:rPr>
          <w:rFonts w:hint="eastAsia" w:ascii="宋体" w:hAnsi="宋体"/>
          <w:sz w:val="24"/>
          <w:szCs w:val="21"/>
        </w:rPr>
        <w:t>）承销证券；（</w:t>
      </w:r>
      <w:r>
        <w:rPr>
          <w:rFonts w:ascii="宋体" w:hAnsi="宋体"/>
          <w:sz w:val="24"/>
          <w:szCs w:val="21"/>
        </w:rPr>
        <w:t>2</w:t>
      </w:r>
      <w:r>
        <w:rPr>
          <w:rFonts w:hint="eastAsia" w:ascii="宋体" w:hAnsi="宋体"/>
          <w:sz w:val="24"/>
          <w:szCs w:val="21"/>
        </w:rPr>
        <w:t>）违反规定向他人贷款或者提供担保；（</w:t>
      </w:r>
      <w:r>
        <w:rPr>
          <w:rFonts w:ascii="宋体" w:hAnsi="宋体"/>
          <w:sz w:val="24"/>
          <w:szCs w:val="21"/>
        </w:rPr>
        <w:t>3</w:t>
      </w:r>
      <w:r>
        <w:rPr>
          <w:rFonts w:hint="eastAsia" w:ascii="宋体" w:hAnsi="宋体"/>
          <w:sz w:val="24"/>
          <w:szCs w:val="21"/>
        </w:rPr>
        <w:t>）从事承担无限责任的投资；（</w:t>
      </w:r>
      <w:r>
        <w:rPr>
          <w:rFonts w:ascii="宋体" w:hAnsi="宋体"/>
          <w:sz w:val="24"/>
          <w:szCs w:val="21"/>
        </w:rPr>
        <w:t>4</w:t>
      </w:r>
      <w:r>
        <w:rPr>
          <w:rFonts w:hint="eastAsia" w:ascii="宋体" w:hAnsi="宋体"/>
          <w:sz w:val="24"/>
          <w:szCs w:val="21"/>
        </w:rPr>
        <w:t>）买卖其他基金份额，但是中国证监会另有规定的除外；（</w:t>
      </w:r>
      <w:r>
        <w:rPr>
          <w:rFonts w:ascii="宋体" w:hAnsi="宋体"/>
          <w:sz w:val="24"/>
          <w:szCs w:val="21"/>
        </w:rPr>
        <w:t>5</w:t>
      </w:r>
      <w:r>
        <w:rPr>
          <w:rFonts w:hint="eastAsia" w:ascii="宋体" w:hAnsi="宋体"/>
          <w:sz w:val="24"/>
          <w:szCs w:val="21"/>
        </w:rPr>
        <w:t>）向其基金管理人、基金托管人出资；（6）从事内幕交易、操纵证券交易价格及其他不正当的证券交易活动；（7）法律、行政法规和中国证监会规定禁止的其他活动。</w:t>
      </w:r>
    </w:p>
    <w:p w14:paraId="1F1DDC51">
      <w:pPr>
        <w:spacing w:line="360" w:lineRule="auto"/>
        <w:ind w:firstLine="540" w:firstLineChars="225"/>
        <w:rPr>
          <w:rFonts w:ascii="宋体" w:hAnsi="宋体"/>
          <w:sz w:val="24"/>
          <w:szCs w:val="21"/>
        </w:rPr>
      </w:pPr>
      <w:r>
        <w:rPr>
          <w:rFonts w:hint="eastAsia" w:ascii="宋体" w:hAnsi="宋体"/>
          <w:sz w:val="24"/>
          <w:szCs w:val="21"/>
        </w:rPr>
        <w:t>（十一）法律法规和基金合同禁止的其他行为，以及法律、行政法规和中国证监会规定禁止基金管理人、基金托管人从事的其他行为。</w:t>
      </w:r>
    </w:p>
    <w:p w14:paraId="191C7FD0">
      <w:pPr>
        <w:spacing w:line="360" w:lineRule="auto"/>
        <w:ind w:firstLine="540" w:firstLineChars="225"/>
        <w:rPr>
          <w:rFonts w:ascii="宋体" w:hAnsi="宋体"/>
          <w:sz w:val="24"/>
          <w:szCs w:val="21"/>
        </w:rPr>
      </w:pPr>
      <w:r>
        <w:rPr>
          <w:rFonts w:hint="eastAsia" w:ascii="宋体" w:hAnsi="宋体"/>
          <w:sz w:val="24"/>
          <w:szCs w:val="21"/>
        </w:rPr>
        <w:t>如法律法规或监管部门对上述限制进行变更的，以变更后的规定为准。如法律、行政法规或监管部门取消上述限制，如适用于本基金，基金管理人在履行适当程序后，则本基金投资不再受相关限制。</w:t>
      </w:r>
    </w:p>
    <w:p w14:paraId="16055C0E">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50" w:name="_Toc123626182"/>
      <w:bookmarkStart w:id="151" w:name="_Toc124749238"/>
      <w:bookmarkStart w:id="152" w:name="_Toc124749951"/>
      <w:bookmarkStart w:id="153" w:name="_Toc125361088"/>
      <w:bookmarkStart w:id="154" w:name="_Toc140002351"/>
      <w:r>
        <w:rPr>
          <w:rFonts w:hint="eastAsia" w:ascii="宋体" w:hAnsi="宋体" w:cs="Arial"/>
          <w:sz w:val="30"/>
        </w:rPr>
        <w:t>基金托管协议的变更、终止与基金财产的清算</w:t>
      </w:r>
      <w:bookmarkEnd w:id="150"/>
      <w:bookmarkEnd w:id="151"/>
      <w:bookmarkEnd w:id="152"/>
      <w:bookmarkEnd w:id="153"/>
      <w:bookmarkEnd w:id="154"/>
    </w:p>
    <w:p w14:paraId="5829F71D">
      <w:pPr>
        <w:spacing w:line="360" w:lineRule="auto"/>
        <w:ind w:firstLine="480" w:firstLineChars="200"/>
        <w:rPr>
          <w:rFonts w:ascii="宋体" w:hAnsi="宋体"/>
          <w:sz w:val="24"/>
        </w:rPr>
      </w:pPr>
      <w:r>
        <w:rPr>
          <w:rFonts w:hint="eastAsia" w:ascii="宋体" w:hAnsi="宋体"/>
          <w:sz w:val="24"/>
        </w:rPr>
        <w:t>（一）托管协议的变更与终止</w:t>
      </w:r>
    </w:p>
    <w:p w14:paraId="4A222551">
      <w:pPr>
        <w:spacing w:line="360" w:lineRule="auto"/>
        <w:ind w:firstLine="480" w:firstLineChars="200"/>
        <w:rPr>
          <w:rFonts w:ascii="宋体" w:hAnsi="宋体"/>
          <w:sz w:val="24"/>
        </w:rPr>
      </w:pPr>
      <w:r>
        <w:rPr>
          <w:rFonts w:hint="eastAsia" w:ascii="宋体" w:hAnsi="宋体"/>
          <w:sz w:val="24"/>
        </w:rPr>
        <w:t>1、托管协议的变更程序</w:t>
      </w:r>
    </w:p>
    <w:p w14:paraId="6E5CF045">
      <w:pPr>
        <w:autoSpaceDE w:val="0"/>
        <w:autoSpaceDN w:val="0"/>
        <w:adjustRightInd w:val="0"/>
        <w:spacing w:line="360" w:lineRule="auto"/>
        <w:ind w:firstLine="504" w:firstLineChars="200"/>
        <w:jc w:val="left"/>
        <w:rPr>
          <w:rFonts w:ascii="宋体" w:hAnsi="宋体"/>
          <w:spacing w:val="6"/>
          <w:sz w:val="24"/>
        </w:rPr>
      </w:pPr>
      <w:r>
        <w:rPr>
          <w:rFonts w:hint="eastAsia" w:ascii="宋体" w:hAnsi="宋体"/>
          <w:spacing w:val="6"/>
          <w:sz w:val="24"/>
        </w:rPr>
        <w:t>本协议双方当事人经协商一致，可以对协议的内容进行变更。变更后的托管协议，其内容不得与《基金合同》的规定有任何冲突。</w:t>
      </w:r>
    </w:p>
    <w:p w14:paraId="66D10E94">
      <w:pPr>
        <w:spacing w:line="360" w:lineRule="auto"/>
        <w:ind w:firstLine="480" w:firstLineChars="200"/>
        <w:rPr>
          <w:rFonts w:ascii="宋体" w:hAnsi="宋体"/>
          <w:sz w:val="24"/>
        </w:rPr>
      </w:pPr>
      <w:r>
        <w:rPr>
          <w:rFonts w:hint="eastAsia" w:ascii="宋体" w:hAnsi="宋体"/>
          <w:sz w:val="24"/>
        </w:rPr>
        <w:t>2、基金托管协议终止的情形</w:t>
      </w:r>
    </w:p>
    <w:p w14:paraId="6D1FD9A6">
      <w:pPr>
        <w:autoSpaceDE w:val="0"/>
        <w:autoSpaceDN w:val="0"/>
        <w:adjustRightInd w:val="0"/>
        <w:spacing w:line="360" w:lineRule="auto"/>
        <w:ind w:firstLine="504" w:firstLineChars="200"/>
        <w:jc w:val="left"/>
        <w:rPr>
          <w:rFonts w:ascii="宋体" w:hAnsi="宋体"/>
          <w:spacing w:val="6"/>
          <w:sz w:val="24"/>
        </w:rPr>
      </w:pPr>
      <w:r>
        <w:rPr>
          <w:rFonts w:hint="eastAsia" w:ascii="宋体" w:hAnsi="宋体"/>
          <w:spacing w:val="6"/>
          <w:sz w:val="24"/>
        </w:rPr>
        <w:t>发生以下情况，本托管协议终止：</w:t>
      </w:r>
    </w:p>
    <w:p w14:paraId="386020F4">
      <w:pPr>
        <w:autoSpaceDE w:val="0"/>
        <w:autoSpaceDN w:val="0"/>
        <w:adjustRightInd w:val="0"/>
        <w:spacing w:line="360" w:lineRule="auto"/>
        <w:ind w:firstLine="504" w:firstLineChars="200"/>
        <w:jc w:val="left"/>
        <w:rPr>
          <w:rFonts w:ascii="宋体" w:hAnsi="宋体"/>
          <w:spacing w:val="6"/>
          <w:sz w:val="24"/>
        </w:rPr>
      </w:pPr>
      <w:r>
        <w:rPr>
          <w:rFonts w:hint="eastAsia" w:ascii="宋体" w:hAnsi="宋体"/>
          <w:spacing w:val="6"/>
          <w:sz w:val="24"/>
        </w:rPr>
        <w:t>（1）《基金合同》终止；</w:t>
      </w:r>
    </w:p>
    <w:p w14:paraId="1F410EFF">
      <w:pPr>
        <w:autoSpaceDE w:val="0"/>
        <w:autoSpaceDN w:val="0"/>
        <w:adjustRightInd w:val="0"/>
        <w:spacing w:line="360" w:lineRule="auto"/>
        <w:ind w:firstLine="504" w:firstLineChars="200"/>
        <w:jc w:val="left"/>
        <w:rPr>
          <w:rFonts w:ascii="宋体" w:hAnsi="宋体"/>
          <w:spacing w:val="6"/>
          <w:sz w:val="24"/>
        </w:rPr>
      </w:pPr>
      <w:r>
        <w:rPr>
          <w:rFonts w:hint="eastAsia" w:ascii="宋体" w:hAnsi="宋体"/>
          <w:spacing w:val="6"/>
          <w:sz w:val="24"/>
        </w:rPr>
        <w:t>（2）基金托管人解散、依法被撤销、破产或有其他基金托管人接管基金资产；</w:t>
      </w:r>
    </w:p>
    <w:p w14:paraId="2D47ECD4">
      <w:pPr>
        <w:autoSpaceDE w:val="0"/>
        <w:autoSpaceDN w:val="0"/>
        <w:adjustRightInd w:val="0"/>
        <w:spacing w:line="360" w:lineRule="auto"/>
        <w:ind w:firstLine="504" w:firstLineChars="200"/>
        <w:jc w:val="left"/>
        <w:rPr>
          <w:rFonts w:ascii="宋体" w:hAnsi="宋体"/>
          <w:spacing w:val="6"/>
          <w:sz w:val="24"/>
        </w:rPr>
      </w:pPr>
      <w:r>
        <w:rPr>
          <w:rFonts w:hint="eastAsia" w:ascii="宋体" w:hAnsi="宋体"/>
          <w:spacing w:val="6"/>
          <w:sz w:val="24"/>
        </w:rPr>
        <w:t>（3）基金管理人解散、依法被撤销、破产或有其他基金管理人接管基金管理权；</w:t>
      </w:r>
    </w:p>
    <w:p w14:paraId="56CCE3C2">
      <w:pPr>
        <w:autoSpaceDE w:val="0"/>
        <w:autoSpaceDN w:val="0"/>
        <w:adjustRightInd w:val="0"/>
        <w:spacing w:line="360" w:lineRule="auto"/>
        <w:ind w:firstLine="504" w:firstLineChars="200"/>
        <w:jc w:val="left"/>
        <w:rPr>
          <w:rFonts w:ascii="宋体" w:hAnsi="宋体"/>
          <w:spacing w:val="6"/>
          <w:sz w:val="24"/>
        </w:rPr>
      </w:pPr>
      <w:r>
        <w:rPr>
          <w:rFonts w:hint="eastAsia" w:ascii="宋体" w:hAnsi="宋体"/>
          <w:spacing w:val="6"/>
          <w:sz w:val="24"/>
        </w:rPr>
        <w:t>（4）发生法律法规或《基金合同》规定的终止事项。</w:t>
      </w:r>
    </w:p>
    <w:p w14:paraId="11FB2BB9">
      <w:pPr>
        <w:spacing w:line="360" w:lineRule="auto"/>
        <w:ind w:firstLine="480" w:firstLineChars="200"/>
        <w:rPr>
          <w:rFonts w:ascii="宋体" w:hAnsi="宋体"/>
          <w:sz w:val="24"/>
        </w:rPr>
      </w:pPr>
      <w:r>
        <w:rPr>
          <w:rFonts w:hint="eastAsia" w:ascii="宋体" w:hAnsi="宋体"/>
          <w:sz w:val="24"/>
        </w:rPr>
        <w:t>（二）基金财产的清算</w:t>
      </w:r>
    </w:p>
    <w:p w14:paraId="34BDDECE">
      <w:pPr>
        <w:autoSpaceDE w:val="0"/>
        <w:autoSpaceDN w:val="0"/>
        <w:adjustRightInd w:val="0"/>
        <w:spacing w:line="360" w:lineRule="auto"/>
        <w:ind w:firstLine="504" w:firstLineChars="200"/>
        <w:jc w:val="left"/>
        <w:rPr>
          <w:rFonts w:ascii="宋体" w:hAnsi="宋体"/>
          <w:spacing w:val="6"/>
          <w:sz w:val="24"/>
        </w:rPr>
      </w:pPr>
      <w:r>
        <w:rPr>
          <w:rFonts w:hint="eastAsia" w:ascii="宋体" w:hAnsi="宋体"/>
          <w:spacing w:val="6"/>
          <w:sz w:val="24"/>
        </w:rPr>
        <w:t>基金管理人与基金托管人按照基金合同的约定处理基金财产的清算。</w:t>
      </w:r>
    </w:p>
    <w:p w14:paraId="356A4E34">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55" w:name="_Toc140002352"/>
      <w:bookmarkStart w:id="156" w:name="_Toc123626183"/>
      <w:bookmarkStart w:id="157" w:name="_Toc124749952"/>
      <w:bookmarkStart w:id="158" w:name="_Toc125361089"/>
      <w:bookmarkStart w:id="159" w:name="_Toc124749239"/>
      <w:r>
        <w:rPr>
          <w:rFonts w:hint="eastAsia" w:ascii="宋体" w:hAnsi="宋体" w:cs="Arial"/>
          <w:sz w:val="30"/>
        </w:rPr>
        <w:t>违约责任</w:t>
      </w:r>
      <w:bookmarkEnd w:id="155"/>
      <w:bookmarkEnd w:id="156"/>
      <w:bookmarkEnd w:id="157"/>
      <w:bookmarkEnd w:id="158"/>
      <w:bookmarkEnd w:id="159"/>
    </w:p>
    <w:p w14:paraId="6DFA7A89">
      <w:pPr>
        <w:spacing w:line="360" w:lineRule="auto"/>
        <w:ind w:firstLine="480" w:firstLineChars="200"/>
        <w:rPr>
          <w:rFonts w:ascii="宋体" w:hAnsi="宋体"/>
          <w:sz w:val="24"/>
        </w:rPr>
      </w:pPr>
      <w:r>
        <w:rPr>
          <w:rFonts w:hint="eastAsia" w:ascii="宋体" w:hAnsi="宋体"/>
          <w:sz w:val="24"/>
        </w:rPr>
        <w:t>（一）如果基金管理人或基金托管人的不履行本托管协议或者履行本托管协议不符合约定的，应当承担违约责任。</w:t>
      </w:r>
    </w:p>
    <w:p w14:paraId="6EC40666">
      <w:pPr>
        <w:spacing w:line="360" w:lineRule="auto"/>
        <w:ind w:firstLine="480" w:firstLineChars="200"/>
        <w:rPr>
          <w:rFonts w:ascii="宋体" w:hAnsi="宋体"/>
          <w:sz w:val="24"/>
        </w:rPr>
      </w:pPr>
      <w:r>
        <w:rPr>
          <w:rFonts w:hint="eastAsia" w:ascii="宋体" w:hAnsi="宋体"/>
          <w:sz w:val="24"/>
        </w:rPr>
        <w:t>（二）因托管协议当事人违约给基金财产或者基金份额持有人造成损害的，应当分别对各自的行为依法承担赔偿责任，因共同行为给基金财产或者基金份额持有人造成损害的，应当承担连带赔偿责任。但是发生下列情况，当事人免责：</w:t>
      </w:r>
    </w:p>
    <w:p w14:paraId="28775240">
      <w:pPr>
        <w:spacing w:line="360" w:lineRule="auto"/>
        <w:ind w:firstLine="480" w:firstLineChars="200"/>
        <w:rPr>
          <w:sz w:val="24"/>
        </w:rPr>
      </w:pPr>
      <w:r>
        <w:rPr>
          <w:rFonts w:hint="eastAsia"/>
          <w:sz w:val="24"/>
        </w:rPr>
        <w:t>1、基金</w:t>
      </w:r>
      <w:r>
        <w:rPr>
          <w:rFonts w:hint="eastAsia" w:ascii="宋体" w:hAnsi="宋体"/>
          <w:sz w:val="24"/>
          <w:szCs w:val="21"/>
        </w:rPr>
        <w:t>管理</w:t>
      </w:r>
      <w:r>
        <w:rPr>
          <w:rFonts w:hint="eastAsia"/>
          <w:sz w:val="24"/>
        </w:rPr>
        <w:t>人</w:t>
      </w:r>
      <w:r>
        <w:rPr>
          <w:rFonts w:hAnsi="宋体"/>
          <w:sz w:val="24"/>
        </w:rPr>
        <w:t>和</w:t>
      </w:r>
      <w:r>
        <w:rPr>
          <w:sz w:val="24"/>
        </w:rPr>
        <w:t>/</w:t>
      </w:r>
      <w:r>
        <w:rPr>
          <w:rFonts w:hAnsi="宋体"/>
          <w:sz w:val="24"/>
        </w:rPr>
        <w:t>或</w:t>
      </w:r>
      <w:r>
        <w:rPr>
          <w:rFonts w:hint="eastAsia"/>
          <w:sz w:val="24"/>
        </w:rPr>
        <w:t>基金托管人按照当时有效的法律法规或中国证监会的规定作为或不作为而造成的损失等；</w:t>
      </w:r>
    </w:p>
    <w:p w14:paraId="42DA530E">
      <w:pPr>
        <w:spacing w:line="360" w:lineRule="auto"/>
        <w:ind w:firstLine="480" w:firstLineChars="200"/>
        <w:rPr>
          <w:sz w:val="24"/>
        </w:rPr>
      </w:pPr>
      <w:r>
        <w:rPr>
          <w:rFonts w:hint="eastAsia"/>
          <w:sz w:val="24"/>
        </w:rPr>
        <w:t>2、基金管理人由于按照《基金合同》规定的投资原则而行使或不行使其投资权而造成的损失等；</w:t>
      </w:r>
    </w:p>
    <w:p w14:paraId="7846AC23">
      <w:pPr>
        <w:tabs>
          <w:tab w:val="right" w:pos="8306"/>
        </w:tabs>
        <w:spacing w:line="360" w:lineRule="auto"/>
        <w:ind w:firstLine="480" w:firstLineChars="200"/>
        <w:rPr>
          <w:sz w:val="24"/>
        </w:rPr>
      </w:pPr>
      <w:r>
        <w:rPr>
          <w:rFonts w:hint="eastAsia"/>
          <w:sz w:val="24"/>
        </w:rPr>
        <w:t>3、</w:t>
      </w:r>
      <w:r>
        <w:rPr>
          <w:rFonts w:hint="eastAsia" w:ascii="宋体" w:hAnsi="宋体"/>
          <w:sz w:val="24"/>
        </w:rPr>
        <w:t>不可抗力。</w:t>
      </w:r>
    </w:p>
    <w:p w14:paraId="3D7C4149">
      <w:pPr>
        <w:spacing w:line="360" w:lineRule="auto"/>
        <w:ind w:firstLine="480" w:firstLineChars="200"/>
        <w:rPr>
          <w:rFonts w:ascii="宋体" w:hAnsi="宋体"/>
          <w:sz w:val="24"/>
        </w:rPr>
      </w:pPr>
      <w:r>
        <w:rPr>
          <w:rFonts w:hint="eastAsia" w:ascii="宋体" w:hAnsi="宋体"/>
          <w:sz w:val="24"/>
        </w:rPr>
        <w:t>（三）托管协议当事人违反托管协议，给另一方当事人造成损失的，应承担赔偿责任。</w:t>
      </w:r>
    </w:p>
    <w:p w14:paraId="0DE5B579">
      <w:pPr>
        <w:spacing w:line="360" w:lineRule="auto"/>
        <w:ind w:firstLine="480" w:firstLineChars="200"/>
        <w:rPr>
          <w:rFonts w:ascii="宋体" w:hAnsi="宋体"/>
          <w:sz w:val="24"/>
        </w:rPr>
      </w:pPr>
      <w:r>
        <w:rPr>
          <w:rFonts w:hint="eastAsia"/>
          <w:sz w:val="24"/>
        </w:rPr>
        <w:t>（四）当</w:t>
      </w:r>
      <w:r>
        <w:rPr>
          <w:rFonts w:hint="eastAsia" w:ascii="宋体" w:hAnsi="宋体"/>
          <w:sz w:val="24"/>
        </w:rPr>
        <w:t>事人一方违约，非违约方当事人在职责范围内有义务及时采取必要的措施，尽力防止损失的扩大。没有采取适当措施致使损失进一步扩大的，不得就扩大的损失要求赔偿。非违约方因防止损失扩大而支出的合理费用由违约方承担。</w:t>
      </w:r>
    </w:p>
    <w:p w14:paraId="2B2223D2">
      <w:pPr>
        <w:spacing w:line="360" w:lineRule="auto"/>
        <w:ind w:firstLine="480" w:firstLineChars="200"/>
        <w:rPr>
          <w:sz w:val="24"/>
        </w:rPr>
      </w:pPr>
      <w:r>
        <w:rPr>
          <w:rFonts w:hint="eastAsia" w:ascii="宋体" w:hAnsi="宋体"/>
          <w:sz w:val="24"/>
        </w:rPr>
        <w:t>（五）违约行为虽已发生，但本托管协议能够继续履行的，在最大限度地保护基</w:t>
      </w:r>
      <w:r>
        <w:rPr>
          <w:rFonts w:hint="eastAsia"/>
          <w:sz w:val="24"/>
        </w:rPr>
        <w:t>金份额持有人利益的前提下，基金管理人和基金托管人应当继续履行本协议。</w:t>
      </w:r>
    </w:p>
    <w:p w14:paraId="1B5E40ED">
      <w:pPr>
        <w:spacing w:line="360" w:lineRule="auto"/>
        <w:ind w:firstLine="480" w:firstLineChars="200"/>
        <w:rPr>
          <w:sz w:val="24"/>
        </w:rPr>
      </w:pPr>
      <w:r>
        <w:rPr>
          <w:rFonts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64397C69">
      <w:pPr>
        <w:spacing w:line="360" w:lineRule="auto"/>
        <w:ind w:firstLine="480" w:firstLineChars="200"/>
        <w:rPr>
          <w:sz w:val="24"/>
        </w:rPr>
      </w:pPr>
      <w:r>
        <w:rPr>
          <w:rFonts w:hint="eastAsia"/>
          <w:sz w:val="24"/>
        </w:rPr>
        <w:t>（七）本协议所指损失均为直接损失。</w:t>
      </w:r>
    </w:p>
    <w:p w14:paraId="6E364638">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60" w:name="_Toc125361090"/>
      <w:bookmarkStart w:id="161" w:name="_Toc124749953"/>
      <w:bookmarkStart w:id="162" w:name="_Toc124749240"/>
      <w:bookmarkStart w:id="163" w:name="_Toc123626184"/>
      <w:bookmarkStart w:id="164" w:name="_Toc140002353"/>
      <w:r>
        <w:rPr>
          <w:rFonts w:hint="eastAsia" w:ascii="宋体" w:hAnsi="宋体" w:cs="Arial"/>
          <w:sz w:val="30"/>
        </w:rPr>
        <w:t>争议解决方式</w:t>
      </w:r>
      <w:bookmarkEnd w:id="160"/>
      <w:bookmarkEnd w:id="161"/>
      <w:bookmarkEnd w:id="162"/>
      <w:bookmarkEnd w:id="163"/>
      <w:bookmarkEnd w:id="164"/>
    </w:p>
    <w:p w14:paraId="0D2D35DE">
      <w:pPr>
        <w:spacing w:line="360" w:lineRule="auto"/>
        <w:ind w:firstLine="480" w:firstLineChars="200"/>
        <w:rPr>
          <w:rFonts w:ascii="宋体" w:hAnsi="宋体"/>
          <w:sz w:val="24"/>
          <w:szCs w:val="21"/>
        </w:rPr>
      </w:pPr>
      <w:r>
        <w:rPr>
          <w:rFonts w:hint="eastAsia" w:ascii="宋体" w:hAnsi="宋体"/>
          <w:sz w:val="24"/>
          <w:szCs w:val="21"/>
        </w:rPr>
        <w:t>双方当事人同意，因本协议而产生的或与本协议有关的一切争议，除经友好协商可以解决的，应提交中国国际经济贸易仲裁委员会根据该会当时有效的仲裁规则进行仲裁，仲裁的地点在北京市，仲裁裁决是终局性的并对双方均有约束力。除非仲裁裁决另有决定，仲裁费用由败诉方承担。</w:t>
      </w:r>
    </w:p>
    <w:p w14:paraId="5E2FEB53">
      <w:pPr>
        <w:spacing w:line="360" w:lineRule="auto"/>
        <w:ind w:firstLine="480" w:firstLineChars="200"/>
        <w:rPr>
          <w:rFonts w:ascii="宋体" w:hAnsi="宋体"/>
          <w:sz w:val="24"/>
          <w:szCs w:val="21"/>
        </w:rPr>
      </w:pPr>
      <w:r>
        <w:rPr>
          <w:rFonts w:hint="eastAsia" w:ascii="宋体" w:hAnsi="宋体"/>
          <w:sz w:val="24"/>
          <w:szCs w:val="21"/>
        </w:rPr>
        <w:t>争议处理期间，双方当事人应恪守基金管理人和基金托管人职责，继续忠实、勤勉、尽责地履行《基金合同》和托管协议规定的义务，维护基金份额持有人的合法权益。</w:t>
      </w:r>
    </w:p>
    <w:p w14:paraId="5CDE472B">
      <w:pPr>
        <w:spacing w:line="360" w:lineRule="auto"/>
        <w:ind w:firstLine="480" w:firstLineChars="200"/>
        <w:rPr>
          <w:rFonts w:ascii="宋体" w:hAnsi="宋体"/>
          <w:sz w:val="24"/>
          <w:szCs w:val="21"/>
        </w:rPr>
      </w:pPr>
      <w:r>
        <w:rPr>
          <w:rFonts w:hint="eastAsia" w:ascii="宋体" w:hAnsi="宋体"/>
          <w:sz w:val="24"/>
          <w:szCs w:val="21"/>
        </w:rPr>
        <w:t>本协议受中国法律管辖（为本协议之目的，在此不包括香港、澳门特别行政区和台湾地区法律）并从其解释。</w:t>
      </w:r>
    </w:p>
    <w:p w14:paraId="664820DD">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65" w:name="_Toc124749241"/>
      <w:bookmarkStart w:id="166" w:name="_Toc124749954"/>
      <w:bookmarkStart w:id="167" w:name="_Toc123626185"/>
      <w:bookmarkStart w:id="168" w:name="_Toc140002354"/>
      <w:bookmarkStart w:id="169" w:name="_Toc125361091"/>
      <w:r>
        <w:rPr>
          <w:rFonts w:hint="eastAsia" w:ascii="宋体" w:hAnsi="宋体" w:cs="Arial"/>
          <w:sz w:val="30"/>
        </w:rPr>
        <w:t>基金托管协议的效力</w:t>
      </w:r>
      <w:bookmarkEnd w:id="165"/>
      <w:bookmarkEnd w:id="166"/>
      <w:bookmarkEnd w:id="167"/>
      <w:bookmarkEnd w:id="168"/>
      <w:bookmarkEnd w:id="169"/>
    </w:p>
    <w:p w14:paraId="572C255B">
      <w:pPr>
        <w:spacing w:line="360" w:lineRule="auto"/>
        <w:ind w:firstLine="480" w:firstLineChars="200"/>
        <w:rPr>
          <w:rFonts w:ascii="宋体" w:hAnsi="宋体"/>
          <w:sz w:val="24"/>
        </w:rPr>
      </w:pPr>
      <w:r>
        <w:rPr>
          <w:rFonts w:hint="eastAsia" w:ascii="宋体" w:hAnsi="宋体"/>
          <w:sz w:val="24"/>
        </w:rPr>
        <w:t>（一）基金管理人在向中国证监会申请发售基金份额时提交的本基金托管协议</w:t>
      </w:r>
      <w:bookmarkStart w:id="175" w:name="_GoBack"/>
      <w:bookmarkEnd w:id="175"/>
      <w:r>
        <w:rPr>
          <w:rFonts w:hint="eastAsia" w:ascii="宋体" w:hAnsi="宋体"/>
          <w:sz w:val="24"/>
        </w:rPr>
        <w:t>草案，该等草案系经托管协议当事人双方盖章以及双方法定代表人或授权代表签字或盖章，协议当事人双方可能不时根据中国证监会的意见修改托管协议草案。托管协议以中国证监会备案的文本为正式文本。</w:t>
      </w:r>
    </w:p>
    <w:p w14:paraId="62948556">
      <w:pPr>
        <w:spacing w:line="360" w:lineRule="auto"/>
        <w:ind w:firstLine="480" w:firstLineChars="200"/>
        <w:rPr>
          <w:rFonts w:ascii="宋体" w:hAnsi="宋体"/>
          <w:sz w:val="24"/>
          <w:szCs w:val="30"/>
        </w:rPr>
      </w:pPr>
      <w:r>
        <w:rPr>
          <w:rFonts w:hint="eastAsia" w:ascii="宋体" w:hAnsi="宋体"/>
          <w:sz w:val="24"/>
        </w:rPr>
        <w:t>（二）基金托管协议自《基金合同》成立之日起成立，自《基金合同》生效之日起生效。基金托管协议的有效期自其生效之日起至基金财产清算结果报中国证监会备案并公告之日止。</w:t>
      </w:r>
    </w:p>
    <w:p w14:paraId="624981C5">
      <w:pPr>
        <w:spacing w:line="360" w:lineRule="auto"/>
        <w:ind w:firstLine="480" w:firstLineChars="200"/>
        <w:rPr>
          <w:rFonts w:ascii="宋体" w:hAnsi="宋体"/>
          <w:sz w:val="24"/>
        </w:rPr>
      </w:pPr>
      <w:r>
        <w:rPr>
          <w:rFonts w:hint="eastAsia" w:ascii="宋体" w:hAnsi="宋体"/>
          <w:sz w:val="24"/>
        </w:rPr>
        <w:t>（三）基金托管协议自生效之日对托管协议当事人具有同等的法律约束力。</w:t>
      </w:r>
    </w:p>
    <w:p w14:paraId="5125D1F9">
      <w:pPr>
        <w:spacing w:line="360" w:lineRule="auto"/>
        <w:ind w:firstLine="480" w:firstLineChars="200"/>
        <w:rPr>
          <w:rFonts w:ascii="宋体" w:hAnsi="宋体"/>
          <w:sz w:val="24"/>
        </w:rPr>
      </w:pPr>
      <w:r>
        <w:rPr>
          <w:rFonts w:hint="eastAsia" w:ascii="宋体" w:hAnsi="宋体"/>
          <w:sz w:val="24"/>
        </w:rPr>
        <w:t>（四）基金托管协议正本一式3份，除上报有关监管机构一式1份外，基金管理人和基金托管人分别持有1份，每份具有同等的法律效力。</w:t>
      </w:r>
    </w:p>
    <w:p w14:paraId="3F3B9EFF">
      <w:pPr>
        <w:pStyle w:val="2"/>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70" w:name="_Toc123626186"/>
      <w:bookmarkStart w:id="171" w:name="_Toc124749955"/>
      <w:bookmarkStart w:id="172" w:name="_Toc125361092"/>
      <w:bookmarkStart w:id="173" w:name="_Toc140002355"/>
      <w:bookmarkStart w:id="174" w:name="_Toc124749242"/>
      <w:r>
        <w:rPr>
          <w:rFonts w:hint="eastAsia" w:ascii="宋体" w:hAnsi="宋体" w:cs="Arial"/>
          <w:sz w:val="30"/>
        </w:rPr>
        <w:t>基金托管协议的签订</w:t>
      </w:r>
      <w:bookmarkEnd w:id="170"/>
      <w:bookmarkEnd w:id="171"/>
      <w:bookmarkEnd w:id="172"/>
      <w:bookmarkEnd w:id="173"/>
      <w:bookmarkEnd w:id="174"/>
    </w:p>
    <w:p w14:paraId="19D41EC6">
      <w:pPr>
        <w:spacing w:line="360" w:lineRule="auto"/>
        <w:ind w:firstLine="480" w:firstLineChars="200"/>
        <w:rPr>
          <w:rFonts w:ascii="宋体" w:hAnsi="宋体"/>
          <w:sz w:val="24"/>
        </w:rPr>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ascii="宋体" w:hAnsi="宋体"/>
          <w:sz w:val="24"/>
        </w:rPr>
        <w:t>本托管协议经基金管理人和基金托管人认可后，由该双方当事人在基金托管协议上盖章，并由各自的法定代表人或授权代表签字或盖章，并注明基金托管协议的签订地点和签订日期。</w:t>
      </w:r>
    </w:p>
    <w:p w14:paraId="12D1FDD6">
      <w:pPr>
        <w:spacing w:line="360" w:lineRule="auto"/>
        <w:rPr>
          <w:sz w:val="24"/>
        </w:rPr>
      </w:pPr>
      <w:r>
        <w:rPr>
          <w:rFonts w:hint="eastAsia"/>
          <w:sz w:val="24"/>
        </w:rPr>
        <w:t>（本页无正文，为《财通资管中证500指数增强型证券投资基金托管协议》的签署页）</w:t>
      </w:r>
    </w:p>
    <w:p w14:paraId="1A3CE0AD">
      <w:pPr>
        <w:spacing w:line="360" w:lineRule="auto"/>
        <w:ind w:firstLine="480"/>
        <w:rPr>
          <w:sz w:val="24"/>
        </w:rPr>
      </w:pPr>
    </w:p>
    <w:p w14:paraId="79D88254">
      <w:pPr>
        <w:spacing w:line="360" w:lineRule="auto"/>
        <w:ind w:firstLine="480"/>
        <w:rPr>
          <w:sz w:val="24"/>
        </w:rPr>
      </w:pPr>
    </w:p>
    <w:p w14:paraId="6EC44AC5">
      <w:pPr>
        <w:spacing w:line="360" w:lineRule="auto"/>
        <w:ind w:firstLine="480"/>
        <w:rPr>
          <w:sz w:val="24"/>
        </w:rPr>
      </w:pPr>
      <w:r>
        <w:rPr>
          <w:rFonts w:hint="eastAsia"/>
          <w:sz w:val="24"/>
        </w:rPr>
        <w:t>基金管理人：财通证券资产管理有限公司（盖章）</w:t>
      </w:r>
    </w:p>
    <w:p w14:paraId="066F0244">
      <w:pPr>
        <w:spacing w:line="360" w:lineRule="auto"/>
        <w:ind w:firstLine="480"/>
        <w:rPr>
          <w:sz w:val="24"/>
        </w:rPr>
      </w:pPr>
    </w:p>
    <w:p w14:paraId="5CBE7349">
      <w:pPr>
        <w:spacing w:line="360" w:lineRule="auto"/>
        <w:ind w:firstLine="480"/>
        <w:rPr>
          <w:sz w:val="24"/>
        </w:rPr>
      </w:pPr>
    </w:p>
    <w:p w14:paraId="4DC9A4D3">
      <w:pPr>
        <w:spacing w:line="360" w:lineRule="auto"/>
        <w:ind w:firstLine="480"/>
        <w:rPr>
          <w:sz w:val="24"/>
        </w:rPr>
      </w:pPr>
    </w:p>
    <w:p w14:paraId="2186232A">
      <w:pPr>
        <w:spacing w:line="360" w:lineRule="auto"/>
        <w:ind w:firstLine="480"/>
        <w:rPr>
          <w:sz w:val="24"/>
        </w:rPr>
      </w:pPr>
      <w:r>
        <w:rPr>
          <w:rFonts w:hint="eastAsia"/>
          <w:sz w:val="24"/>
        </w:rPr>
        <w:t>法定代表人或授权代表（签字或盖章）：</w:t>
      </w:r>
    </w:p>
    <w:p w14:paraId="51896C7F">
      <w:pPr>
        <w:spacing w:line="360" w:lineRule="auto"/>
        <w:ind w:firstLine="480"/>
        <w:rPr>
          <w:sz w:val="24"/>
        </w:rPr>
      </w:pPr>
    </w:p>
    <w:p w14:paraId="02502010">
      <w:pPr>
        <w:spacing w:line="360" w:lineRule="auto"/>
        <w:ind w:firstLine="480"/>
        <w:rPr>
          <w:sz w:val="24"/>
        </w:rPr>
      </w:pPr>
    </w:p>
    <w:p w14:paraId="3124DCC6">
      <w:pPr>
        <w:spacing w:line="360" w:lineRule="auto"/>
        <w:ind w:firstLine="480"/>
        <w:rPr>
          <w:sz w:val="24"/>
        </w:rPr>
      </w:pPr>
    </w:p>
    <w:p w14:paraId="196BAFCF">
      <w:pPr>
        <w:snapToGrid w:val="0"/>
        <w:spacing w:line="336" w:lineRule="auto"/>
        <w:ind w:right="26" w:firstLine="482" w:firstLineChars="200"/>
        <w:rPr>
          <w:rFonts w:ascii="宋体" w:hAnsi="宋体"/>
          <w:b/>
          <w:sz w:val="24"/>
        </w:rPr>
      </w:pPr>
      <w:r>
        <w:rPr>
          <w:rFonts w:hint="eastAsia" w:ascii="宋体" w:hAnsi="宋体"/>
          <w:b/>
          <w:sz w:val="24"/>
        </w:rPr>
        <w:t>签订地点：</w:t>
      </w:r>
    </w:p>
    <w:p w14:paraId="181C53A4">
      <w:pPr>
        <w:snapToGrid w:val="0"/>
        <w:spacing w:line="336" w:lineRule="auto"/>
        <w:ind w:right="26" w:firstLine="482" w:firstLineChars="200"/>
        <w:rPr>
          <w:rFonts w:ascii="宋体" w:hAnsi="宋体"/>
          <w:b/>
          <w:sz w:val="24"/>
        </w:rPr>
      </w:pPr>
      <w:r>
        <w:rPr>
          <w:rFonts w:hint="eastAsia" w:ascii="宋体" w:hAnsi="宋体"/>
          <w:b/>
          <w:sz w:val="24"/>
        </w:rPr>
        <w:t>签 订 日：    年    月    日</w:t>
      </w:r>
    </w:p>
    <w:p w14:paraId="7F3F774B">
      <w:pPr>
        <w:spacing w:line="360" w:lineRule="auto"/>
        <w:ind w:firstLine="480"/>
        <w:rPr>
          <w:sz w:val="24"/>
        </w:rPr>
      </w:pPr>
    </w:p>
    <w:p w14:paraId="49AE1FEE">
      <w:pPr>
        <w:spacing w:line="360" w:lineRule="auto"/>
        <w:ind w:firstLine="480"/>
        <w:rPr>
          <w:sz w:val="24"/>
        </w:rPr>
      </w:pPr>
    </w:p>
    <w:p w14:paraId="6A608A3C">
      <w:pPr>
        <w:spacing w:line="360" w:lineRule="auto"/>
        <w:ind w:firstLine="480"/>
        <w:rPr>
          <w:sz w:val="24"/>
        </w:rPr>
      </w:pPr>
    </w:p>
    <w:p w14:paraId="0F7D2A75">
      <w:pPr>
        <w:spacing w:line="360" w:lineRule="auto"/>
        <w:ind w:firstLine="480"/>
        <w:rPr>
          <w:sz w:val="24"/>
        </w:rPr>
      </w:pPr>
    </w:p>
    <w:p w14:paraId="6EDBD19A">
      <w:pPr>
        <w:spacing w:line="360" w:lineRule="auto"/>
        <w:ind w:firstLine="480"/>
        <w:rPr>
          <w:sz w:val="24"/>
        </w:rPr>
      </w:pPr>
      <w:r>
        <w:rPr>
          <w:rFonts w:hint="eastAsia"/>
          <w:sz w:val="24"/>
        </w:rPr>
        <w:t>基金托管人：中信银行股份有限公司（盖章）</w:t>
      </w:r>
    </w:p>
    <w:p w14:paraId="7A1AEDCC">
      <w:pPr>
        <w:spacing w:line="360" w:lineRule="auto"/>
        <w:ind w:firstLine="480"/>
        <w:rPr>
          <w:sz w:val="24"/>
        </w:rPr>
      </w:pPr>
    </w:p>
    <w:p w14:paraId="15EBCF85">
      <w:pPr>
        <w:spacing w:line="360" w:lineRule="auto"/>
        <w:ind w:firstLine="480"/>
        <w:rPr>
          <w:sz w:val="24"/>
        </w:rPr>
      </w:pPr>
    </w:p>
    <w:p w14:paraId="21B0FB7E">
      <w:pPr>
        <w:spacing w:line="360" w:lineRule="auto"/>
        <w:ind w:firstLine="480"/>
        <w:rPr>
          <w:sz w:val="24"/>
        </w:rPr>
      </w:pPr>
    </w:p>
    <w:p w14:paraId="64795429">
      <w:pPr>
        <w:spacing w:line="360" w:lineRule="auto"/>
        <w:ind w:firstLine="480"/>
        <w:rPr>
          <w:sz w:val="24"/>
        </w:rPr>
      </w:pPr>
      <w:r>
        <w:rPr>
          <w:rFonts w:hint="eastAsia"/>
          <w:sz w:val="24"/>
        </w:rPr>
        <w:t>法定代表人或授权代表（签字或盖章）：</w:t>
      </w:r>
    </w:p>
    <w:p w14:paraId="3832080F">
      <w:pPr>
        <w:spacing w:line="360" w:lineRule="auto"/>
        <w:ind w:firstLine="480"/>
        <w:rPr>
          <w:sz w:val="24"/>
        </w:rPr>
      </w:pPr>
    </w:p>
    <w:p w14:paraId="03D22FBA">
      <w:pPr>
        <w:spacing w:line="360" w:lineRule="auto"/>
        <w:ind w:firstLine="480"/>
        <w:rPr>
          <w:sz w:val="24"/>
        </w:rPr>
      </w:pPr>
    </w:p>
    <w:p w14:paraId="463F4195">
      <w:pPr>
        <w:spacing w:line="360" w:lineRule="auto"/>
        <w:ind w:firstLine="480"/>
        <w:rPr>
          <w:sz w:val="24"/>
        </w:rPr>
      </w:pPr>
    </w:p>
    <w:p w14:paraId="5C51E80B">
      <w:pPr>
        <w:snapToGrid w:val="0"/>
        <w:spacing w:line="336" w:lineRule="auto"/>
        <w:ind w:right="26" w:firstLine="482" w:firstLineChars="200"/>
        <w:rPr>
          <w:rFonts w:ascii="宋体" w:hAnsi="宋体"/>
          <w:b/>
          <w:sz w:val="24"/>
        </w:rPr>
      </w:pPr>
      <w:r>
        <w:rPr>
          <w:rFonts w:hint="eastAsia" w:ascii="宋体" w:hAnsi="宋体"/>
          <w:b/>
          <w:sz w:val="24"/>
        </w:rPr>
        <w:t>签订地点：</w:t>
      </w:r>
    </w:p>
    <w:p w14:paraId="478F402D">
      <w:pPr>
        <w:snapToGrid w:val="0"/>
        <w:spacing w:line="336" w:lineRule="auto"/>
        <w:ind w:right="26" w:firstLine="482" w:firstLineChars="200"/>
        <w:rPr>
          <w:rFonts w:ascii="宋体" w:hAnsi="宋体"/>
          <w:b/>
          <w:sz w:val="24"/>
        </w:rPr>
      </w:pPr>
      <w:r>
        <w:rPr>
          <w:rFonts w:hint="eastAsia" w:ascii="宋体" w:hAnsi="宋体"/>
          <w:b/>
          <w:sz w:val="24"/>
        </w:rPr>
        <w:t>签 订 日：    年    月    日</w:t>
      </w:r>
    </w:p>
    <w:sectPr>
      <w:headerReference r:id="rId8" w:type="default"/>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0366">
    <w:pPr>
      <w:pStyle w:val="9"/>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2FA37">
    <w:pPr>
      <w:pStyle w:val="9"/>
      <w:framePr w:wrap="around" w:vAnchor="text" w:hAnchor="margin" w:xAlign="right" w:y="1"/>
      <w:rPr>
        <w:rStyle w:val="17"/>
      </w:rPr>
    </w:pPr>
    <w:r>
      <w:fldChar w:fldCharType="begin"/>
    </w:r>
    <w:r>
      <w:rPr>
        <w:rStyle w:val="17"/>
      </w:rPr>
      <w:instrText xml:space="preserve">PAGE  </w:instrText>
    </w:r>
    <w:r>
      <w:fldChar w:fldCharType="end"/>
    </w:r>
  </w:p>
  <w:p w14:paraId="1F0E832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AFC8D">
    <w:pPr>
      <w:pStyle w:val="9"/>
      <w:ind w:right="360"/>
      <w:jc w:val="center"/>
    </w:pPr>
    <w:r>
      <w:fldChar w:fldCharType="begin"/>
    </w:r>
    <w:r>
      <w:rPr>
        <w:rStyle w:val="17"/>
      </w:rPr>
      <w:instrText xml:space="preserve"> PAGE </w:instrText>
    </w:r>
    <w:r>
      <w:fldChar w:fldCharType="separate"/>
    </w:r>
    <w:r>
      <w:rPr>
        <w:rStyle w:val="17"/>
      </w:rPr>
      <w:t>13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1541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3F1ED">
    <w:pPr>
      <w:pStyle w:val="10"/>
    </w:pPr>
    <w:r>
      <w:rPr>
        <w:rFonts w:hint="eastAsia"/>
      </w:rPr>
      <w:t xml:space="preserve">财通资管中证500指数增强型证券投资基金    </w:t>
    </w:r>
    <w:r>
      <w:t xml:space="preserve">                     </w:t>
    </w:r>
    <w:r>
      <w:rPr>
        <w:rFonts w:hint="eastAsia"/>
      </w:rPr>
      <w:t xml:space="preserve">     </w:t>
    </w:r>
    <w:r>
      <w:t xml:space="preserve">       </w:t>
    </w:r>
    <w:r>
      <w:rPr>
        <w:rFonts w:hint="eastAsia"/>
        <w:lang w:val="en-US" w:eastAsia="zh-CN"/>
      </w:rPr>
      <w:t xml:space="preserve">       </w:t>
    </w:r>
    <w:r>
      <w:t xml:space="preserve">  </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6974">
    <w:pPr>
      <w:pStyle w:val="10"/>
    </w:pPr>
    <w:r>
      <w:rPr>
        <w:rFonts w:hint="eastAsia"/>
      </w:rPr>
      <w:t xml:space="preserve">财通资管中证500指数增强型证券投资基金    </w:t>
    </w:r>
    <w:r>
      <w:t xml:space="preserve">                    </w:t>
    </w:r>
    <w:r>
      <w:rPr>
        <w:rFonts w:hint="eastAsia"/>
      </w:rPr>
      <w:t xml:space="preserve">     </w:t>
    </w:r>
    <w:r>
      <w:t xml:space="preserve">       </w:t>
    </w:r>
    <w:r>
      <w:rPr>
        <w:rFonts w:hint="eastAsia"/>
        <w:lang w:val="en-US" w:eastAsia="zh-CN"/>
      </w:rPr>
      <w:t xml:space="preserve">        </w:t>
    </w:r>
    <w:r>
      <w:t xml:space="preserve">  </w:t>
    </w:r>
    <w:r>
      <w:rPr>
        <w:rFonts w:hint="eastAsia"/>
      </w:rP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3BB7A">
    <w:pPr>
      <w:pStyle w:val="10"/>
      <w:tabs>
        <w:tab w:val="center" w:pos="4252"/>
        <w:tab w:val="right" w:pos="8504"/>
        <w:tab w:val="clear" w:pos="4153"/>
        <w:tab w:val="clear" w:pos="8306"/>
      </w:tabs>
      <w:jc w:val="left"/>
      <w:rPr>
        <w:rFonts w:ascii="宋体" w:hAnsi="宋体"/>
      </w:rPr>
    </w:pPr>
    <w:r>
      <w:rPr>
        <w:rFonts w:hint="eastAsia"/>
      </w:rPr>
      <w:t>财通资管中证500指数增强型证券投资基金</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52C2D"/>
    <w:multiLevelType w:val="multilevel"/>
    <w:tmpl w:val="5F952C2D"/>
    <w:lvl w:ilvl="0" w:tentative="0">
      <w:start w:val="1"/>
      <w:numFmt w:val="chineseCountingThousand"/>
      <w:suff w:val="nothing"/>
      <w:lvlText w:val="%1、"/>
      <w:lvlJc w:val="center"/>
      <w:pPr>
        <w:ind w:left="0" w:firstLine="288"/>
      </w:pPr>
      <w:rPr>
        <w:rFonts w:hint="eastAsia"/>
        <w:sz w:val="30"/>
        <w:szCs w:val="30"/>
      </w:rPr>
    </w:lvl>
    <w:lvl w:ilvl="1" w:tentative="0">
      <w:start w:val="1"/>
      <w:numFmt w:val="japaneseCounting"/>
      <w:lvlText w:val="（%2）"/>
      <w:lvlJc w:val="left"/>
      <w:pPr>
        <w:tabs>
          <w:tab w:val="left" w:pos="720"/>
        </w:tabs>
        <w:ind w:left="720" w:hanging="720"/>
      </w:pPr>
      <w:rPr>
        <w:rFonts w:hint="default"/>
      </w:rPr>
    </w:lvl>
    <w:lvl w:ilvl="2" w:tentative="0">
      <w:start w:val="1"/>
      <w:numFmt w:val="decimal"/>
      <w:lvlText w:val="%3."/>
      <w:lvlJc w:val="left"/>
      <w:pPr>
        <w:tabs>
          <w:tab w:val="left" w:pos="360"/>
        </w:tabs>
        <w:ind w:left="0" w:firstLine="0"/>
      </w:pPr>
      <w:rPr>
        <w:rFonts w:hint="eastAsia"/>
      </w:rPr>
    </w:lvl>
    <w:lvl w:ilvl="3" w:tentative="0">
      <w:start w:val="1"/>
      <w:numFmt w:val="decimal"/>
      <w:lvlText w:val="（%4）"/>
      <w:lvlJc w:val="left"/>
      <w:pPr>
        <w:tabs>
          <w:tab w:val="left" w:pos="720"/>
        </w:tabs>
        <w:ind w:left="0" w:firstLine="0"/>
      </w:pPr>
      <w:rPr>
        <w:rFonts w:hint="default" w:ascii="Times New Roman" w:hAnsi="Times New Roman" w:eastAsia="宋体"/>
        <w:sz w:val="21"/>
      </w:rPr>
    </w:lvl>
    <w:lvl w:ilvl="4" w:tentative="0">
      <w:start w:val="1"/>
      <w:numFmt w:val="none"/>
      <w:lvlText w:val=""/>
      <w:lvlJc w:val="left"/>
      <w:pPr>
        <w:tabs>
          <w:tab w:val="left" w:pos="360"/>
        </w:tabs>
        <w:ind w:left="0" w:firstLine="0"/>
      </w:pPr>
      <w:rPr>
        <w:rFonts w:hint="eastAsia"/>
        <w:sz w:val="24"/>
      </w:rPr>
    </w:lvl>
    <w:lvl w:ilvl="5" w:tentative="0">
      <w:start w:val="1"/>
      <w:numFmt w:val="upperLetter"/>
      <w:lvlText w:val="%6."/>
      <w:lvlJc w:val="left"/>
      <w:pPr>
        <w:tabs>
          <w:tab w:val="left" w:pos="927"/>
        </w:tabs>
        <w:ind w:left="0" w:firstLine="567"/>
      </w:pPr>
      <w:rPr>
        <w:rFonts w:hint="eastAsia"/>
        <w:sz w:val="24"/>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C8"/>
    <w:rsid w:val="00002AFB"/>
    <w:rsid w:val="0000506B"/>
    <w:rsid w:val="00011686"/>
    <w:rsid w:val="00012408"/>
    <w:rsid w:val="0001253C"/>
    <w:rsid w:val="00013363"/>
    <w:rsid w:val="00014B62"/>
    <w:rsid w:val="000152B9"/>
    <w:rsid w:val="00016E82"/>
    <w:rsid w:val="000225F9"/>
    <w:rsid w:val="000230F6"/>
    <w:rsid w:val="00026F02"/>
    <w:rsid w:val="000316D5"/>
    <w:rsid w:val="00031F62"/>
    <w:rsid w:val="00040F31"/>
    <w:rsid w:val="000432A0"/>
    <w:rsid w:val="00044B49"/>
    <w:rsid w:val="00071B8C"/>
    <w:rsid w:val="000803C1"/>
    <w:rsid w:val="00080E56"/>
    <w:rsid w:val="00084563"/>
    <w:rsid w:val="00085511"/>
    <w:rsid w:val="00092A33"/>
    <w:rsid w:val="00094F01"/>
    <w:rsid w:val="000A0CEE"/>
    <w:rsid w:val="000A5EFC"/>
    <w:rsid w:val="000A5F3D"/>
    <w:rsid w:val="000B0DF5"/>
    <w:rsid w:val="000B3933"/>
    <w:rsid w:val="000B4F8D"/>
    <w:rsid w:val="000B5F57"/>
    <w:rsid w:val="000B72BE"/>
    <w:rsid w:val="000C10B5"/>
    <w:rsid w:val="000C1759"/>
    <w:rsid w:val="000C1ECC"/>
    <w:rsid w:val="000C31B6"/>
    <w:rsid w:val="000C61C3"/>
    <w:rsid w:val="000D1585"/>
    <w:rsid w:val="000D186A"/>
    <w:rsid w:val="000D5394"/>
    <w:rsid w:val="000D74E4"/>
    <w:rsid w:val="000E360E"/>
    <w:rsid w:val="000E38D1"/>
    <w:rsid w:val="000E60FC"/>
    <w:rsid w:val="000F269C"/>
    <w:rsid w:val="00100949"/>
    <w:rsid w:val="0010240F"/>
    <w:rsid w:val="001046E6"/>
    <w:rsid w:val="00105E19"/>
    <w:rsid w:val="00106FE8"/>
    <w:rsid w:val="001128F7"/>
    <w:rsid w:val="00116735"/>
    <w:rsid w:val="001167AE"/>
    <w:rsid w:val="00116D4F"/>
    <w:rsid w:val="00117732"/>
    <w:rsid w:val="0012191C"/>
    <w:rsid w:val="00124593"/>
    <w:rsid w:val="00124A2E"/>
    <w:rsid w:val="00131898"/>
    <w:rsid w:val="00132912"/>
    <w:rsid w:val="0013501A"/>
    <w:rsid w:val="00135D55"/>
    <w:rsid w:val="001372D5"/>
    <w:rsid w:val="00141D52"/>
    <w:rsid w:val="0014596B"/>
    <w:rsid w:val="001473A9"/>
    <w:rsid w:val="00147A55"/>
    <w:rsid w:val="00147CCC"/>
    <w:rsid w:val="00150272"/>
    <w:rsid w:val="00154F2B"/>
    <w:rsid w:val="001568C9"/>
    <w:rsid w:val="00161E8B"/>
    <w:rsid w:val="001653AD"/>
    <w:rsid w:val="001713B3"/>
    <w:rsid w:val="00176EAA"/>
    <w:rsid w:val="00180A2D"/>
    <w:rsid w:val="00181800"/>
    <w:rsid w:val="001820DE"/>
    <w:rsid w:val="00186103"/>
    <w:rsid w:val="001907A4"/>
    <w:rsid w:val="0019531C"/>
    <w:rsid w:val="001A183A"/>
    <w:rsid w:val="001A1E1B"/>
    <w:rsid w:val="001A41C9"/>
    <w:rsid w:val="001A6386"/>
    <w:rsid w:val="001A7255"/>
    <w:rsid w:val="001B6041"/>
    <w:rsid w:val="001B62EB"/>
    <w:rsid w:val="001B702A"/>
    <w:rsid w:val="001B78D4"/>
    <w:rsid w:val="001C2AF3"/>
    <w:rsid w:val="001C2BDB"/>
    <w:rsid w:val="001C3B71"/>
    <w:rsid w:val="001D4047"/>
    <w:rsid w:val="001D4208"/>
    <w:rsid w:val="001D441B"/>
    <w:rsid w:val="001D4918"/>
    <w:rsid w:val="001E02BC"/>
    <w:rsid w:val="001E0587"/>
    <w:rsid w:val="001E2935"/>
    <w:rsid w:val="001E2C4C"/>
    <w:rsid w:val="001E3E1C"/>
    <w:rsid w:val="001E4A77"/>
    <w:rsid w:val="001E4FCA"/>
    <w:rsid w:val="001F17EC"/>
    <w:rsid w:val="001F7D89"/>
    <w:rsid w:val="0020128A"/>
    <w:rsid w:val="00203012"/>
    <w:rsid w:val="00204DA9"/>
    <w:rsid w:val="002066CB"/>
    <w:rsid w:val="002069F7"/>
    <w:rsid w:val="00207D70"/>
    <w:rsid w:val="0021031D"/>
    <w:rsid w:val="00210871"/>
    <w:rsid w:val="00215586"/>
    <w:rsid w:val="002202AE"/>
    <w:rsid w:val="002232C3"/>
    <w:rsid w:val="00223D98"/>
    <w:rsid w:val="00225388"/>
    <w:rsid w:val="00226710"/>
    <w:rsid w:val="00227104"/>
    <w:rsid w:val="002324A1"/>
    <w:rsid w:val="002354B0"/>
    <w:rsid w:val="00237A4C"/>
    <w:rsid w:val="00240975"/>
    <w:rsid w:val="00241D28"/>
    <w:rsid w:val="00244EDF"/>
    <w:rsid w:val="0024633B"/>
    <w:rsid w:val="00247F18"/>
    <w:rsid w:val="00252475"/>
    <w:rsid w:val="0025387E"/>
    <w:rsid w:val="00260A0F"/>
    <w:rsid w:val="0026200A"/>
    <w:rsid w:val="00263FB8"/>
    <w:rsid w:val="00270D95"/>
    <w:rsid w:val="00271B1D"/>
    <w:rsid w:val="002743B6"/>
    <w:rsid w:val="00275EE9"/>
    <w:rsid w:val="00277AF6"/>
    <w:rsid w:val="0028040A"/>
    <w:rsid w:val="00284676"/>
    <w:rsid w:val="002852E5"/>
    <w:rsid w:val="0029349E"/>
    <w:rsid w:val="002A10F4"/>
    <w:rsid w:val="002A5BC0"/>
    <w:rsid w:val="002A5C05"/>
    <w:rsid w:val="002B4E0E"/>
    <w:rsid w:val="002B4E9B"/>
    <w:rsid w:val="002B54A4"/>
    <w:rsid w:val="002B5CF2"/>
    <w:rsid w:val="002C2F8B"/>
    <w:rsid w:val="002C4C95"/>
    <w:rsid w:val="002C6122"/>
    <w:rsid w:val="002C62E5"/>
    <w:rsid w:val="002D0FCB"/>
    <w:rsid w:val="002D1B92"/>
    <w:rsid w:val="002D3560"/>
    <w:rsid w:val="002D4FC6"/>
    <w:rsid w:val="002D6031"/>
    <w:rsid w:val="002D79BE"/>
    <w:rsid w:val="002E2FB5"/>
    <w:rsid w:val="002E3DF9"/>
    <w:rsid w:val="002E44DB"/>
    <w:rsid w:val="002E5917"/>
    <w:rsid w:val="002E6699"/>
    <w:rsid w:val="002E69E0"/>
    <w:rsid w:val="002F0756"/>
    <w:rsid w:val="002F0883"/>
    <w:rsid w:val="002F39D6"/>
    <w:rsid w:val="00300329"/>
    <w:rsid w:val="00300B94"/>
    <w:rsid w:val="00303C01"/>
    <w:rsid w:val="00304C31"/>
    <w:rsid w:val="00304F9B"/>
    <w:rsid w:val="00305181"/>
    <w:rsid w:val="003053B0"/>
    <w:rsid w:val="003065A5"/>
    <w:rsid w:val="00311459"/>
    <w:rsid w:val="003114F9"/>
    <w:rsid w:val="00317517"/>
    <w:rsid w:val="003230EC"/>
    <w:rsid w:val="00324D44"/>
    <w:rsid w:val="0032581F"/>
    <w:rsid w:val="00326C80"/>
    <w:rsid w:val="00326F49"/>
    <w:rsid w:val="00327215"/>
    <w:rsid w:val="00341915"/>
    <w:rsid w:val="00345333"/>
    <w:rsid w:val="00352324"/>
    <w:rsid w:val="003557B7"/>
    <w:rsid w:val="00357731"/>
    <w:rsid w:val="00362EBF"/>
    <w:rsid w:val="00366C20"/>
    <w:rsid w:val="003743D1"/>
    <w:rsid w:val="00374DFC"/>
    <w:rsid w:val="00377219"/>
    <w:rsid w:val="00381638"/>
    <w:rsid w:val="00381F6C"/>
    <w:rsid w:val="003822AF"/>
    <w:rsid w:val="00385D04"/>
    <w:rsid w:val="00391AB3"/>
    <w:rsid w:val="003933C7"/>
    <w:rsid w:val="00394581"/>
    <w:rsid w:val="00396273"/>
    <w:rsid w:val="003A2D35"/>
    <w:rsid w:val="003A30F2"/>
    <w:rsid w:val="003A3AE1"/>
    <w:rsid w:val="003A3EEA"/>
    <w:rsid w:val="003B141C"/>
    <w:rsid w:val="003B3106"/>
    <w:rsid w:val="003B4CD6"/>
    <w:rsid w:val="003C2790"/>
    <w:rsid w:val="003C2FF1"/>
    <w:rsid w:val="003C5D1A"/>
    <w:rsid w:val="003C76DE"/>
    <w:rsid w:val="003D2A6B"/>
    <w:rsid w:val="003D2D67"/>
    <w:rsid w:val="003D612B"/>
    <w:rsid w:val="003E4CFF"/>
    <w:rsid w:val="003E6F51"/>
    <w:rsid w:val="003F2521"/>
    <w:rsid w:val="003F6866"/>
    <w:rsid w:val="00400011"/>
    <w:rsid w:val="00403F5A"/>
    <w:rsid w:val="0040553B"/>
    <w:rsid w:val="0040673B"/>
    <w:rsid w:val="0041519A"/>
    <w:rsid w:val="00417E65"/>
    <w:rsid w:val="004208DC"/>
    <w:rsid w:val="00427A25"/>
    <w:rsid w:val="0043252E"/>
    <w:rsid w:val="004344B0"/>
    <w:rsid w:val="00440754"/>
    <w:rsid w:val="0044348B"/>
    <w:rsid w:val="00444237"/>
    <w:rsid w:val="00452171"/>
    <w:rsid w:val="00452849"/>
    <w:rsid w:val="00452E4D"/>
    <w:rsid w:val="00456557"/>
    <w:rsid w:val="00462D17"/>
    <w:rsid w:val="004736EE"/>
    <w:rsid w:val="00473F85"/>
    <w:rsid w:val="0047407D"/>
    <w:rsid w:val="0047497C"/>
    <w:rsid w:val="00480911"/>
    <w:rsid w:val="004818D1"/>
    <w:rsid w:val="00484376"/>
    <w:rsid w:val="004850A6"/>
    <w:rsid w:val="00486091"/>
    <w:rsid w:val="00490265"/>
    <w:rsid w:val="004933E1"/>
    <w:rsid w:val="00494B39"/>
    <w:rsid w:val="0049584C"/>
    <w:rsid w:val="00495E4C"/>
    <w:rsid w:val="00496D5E"/>
    <w:rsid w:val="00497E84"/>
    <w:rsid w:val="004A6FE8"/>
    <w:rsid w:val="004B5961"/>
    <w:rsid w:val="004B6A0B"/>
    <w:rsid w:val="004B7960"/>
    <w:rsid w:val="004C0A9D"/>
    <w:rsid w:val="004C15A3"/>
    <w:rsid w:val="004C3190"/>
    <w:rsid w:val="004C6DCE"/>
    <w:rsid w:val="004D3018"/>
    <w:rsid w:val="004D6C90"/>
    <w:rsid w:val="004E0237"/>
    <w:rsid w:val="004E22F9"/>
    <w:rsid w:val="004E3577"/>
    <w:rsid w:val="004E4D31"/>
    <w:rsid w:val="004E7249"/>
    <w:rsid w:val="004E7BFE"/>
    <w:rsid w:val="004F22C3"/>
    <w:rsid w:val="004F7013"/>
    <w:rsid w:val="00500849"/>
    <w:rsid w:val="005026CC"/>
    <w:rsid w:val="00502B80"/>
    <w:rsid w:val="005140AE"/>
    <w:rsid w:val="00516A0D"/>
    <w:rsid w:val="005201E8"/>
    <w:rsid w:val="00520958"/>
    <w:rsid w:val="0052738D"/>
    <w:rsid w:val="005274DC"/>
    <w:rsid w:val="00530CE3"/>
    <w:rsid w:val="005317B9"/>
    <w:rsid w:val="005327C5"/>
    <w:rsid w:val="0053367C"/>
    <w:rsid w:val="00536968"/>
    <w:rsid w:val="00540137"/>
    <w:rsid w:val="00540638"/>
    <w:rsid w:val="005417C8"/>
    <w:rsid w:val="00542806"/>
    <w:rsid w:val="00543332"/>
    <w:rsid w:val="0054446C"/>
    <w:rsid w:val="00547AA2"/>
    <w:rsid w:val="00551F15"/>
    <w:rsid w:val="00552022"/>
    <w:rsid w:val="0055522C"/>
    <w:rsid w:val="005574D2"/>
    <w:rsid w:val="00560291"/>
    <w:rsid w:val="00560F37"/>
    <w:rsid w:val="00560FED"/>
    <w:rsid w:val="005614BC"/>
    <w:rsid w:val="00561612"/>
    <w:rsid w:val="0056356F"/>
    <w:rsid w:val="0057311D"/>
    <w:rsid w:val="005774CD"/>
    <w:rsid w:val="00585CF3"/>
    <w:rsid w:val="00594605"/>
    <w:rsid w:val="0059484A"/>
    <w:rsid w:val="005952C9"/>
    <w:rsid w:val="00597759"/>
    <w:rsid w:val="005A0B1E"/>
    <w:rsid w:val="005A0BDF"/>
    <w:rsid w:val="005A13D6"/>
    <w:rsid w:val="005A416B"/>
    <w:rsid w:val="005A762C"/>
    <w:rsid w:val="005A7BA1"/>
    <w:rsid w:val="005B06A0"/>
    <w:rsid w:val="005B19D8"/>
    <w:rsid w:val="005B4369"/>
    <w:rsid w:val="005B5A9C"/>
    <w:rsid w:val="005C3D76"/>
    <w:rsid w:val="005C3DA8"/>
    <w:rsid w:val="005D258F"/>
    <w:rsid w:val="005D3748"/>
    <w:rsid w:val="005E23DC"/>
    <w:rsid w:val="005E2F68"/>
    <w:rsid w:val="005F3974"/>
    <w:rsid w:val="005F4322"/>
    <w:rsid w:val="005F7351"/>
    <w:rsid w:val="005F779A"/>
    <w:rsid w:val="006009F0"/>
    <w:rsid w:val="006021BA"/>
    <w:rsid w:val="0060693C"/>
    <w:rsid w:val="0060697B"/>
    <w:rsid w:val="00606D45"/>
    <w:rsid w:val="00607D2C"/>
    <w:rsid w:val="0061578C"/>
    <w:rsid w:val="006206C7"/>
    <w:rsid w:val="00620F60"/>
    <w:rsid w:val="00621ACF"/>
    <w:rsid w:val="00627B2F"/>
    <w:rsid w:val="00631169"/>
    <w:rsid w:val="00631664"/>
    <w:rsid w:val="0063382B"/>
    <w:rsid w:val="006342A5"/>
    <w:rsid w:val="00634E4F"/>
    <w:rsid w:val="00635890"/>
    <w:rsid w:val="00636690"/>
    <w:rsid w:val="00641EC0"/>
    <w:rsid w:val="00642B9B"/>
    <w:rsid w:val="006440D6"/>
    <w:rsid w:val="0064473B"/>
    <w:rsid w:val="00645AAE"/>
    <w:rsid w:val="006471AB"/>
    <w:rsid w:val="006524BE"/>
    <w:rsid w:val="00656522"/>
    <w:rsid w:val="00657F52"/>
    <w:rsid w:val="00662325"/>
    <w:rsid w:val="00662DEA"/>
    <w:rsid w:val="00663D56"/>
    <w:rsid w:val="00664D00"/>
    <w:rsid w:val="00665016"/>
    <w:rsid w:val="006650A3"/>
    <w:rsid w:val="00667557"/>
    <w:rsid w:val="00672635"/>
    <w:rsid w:val="00674C70"/>
    <w:rsid w:val="006757D2"/>
    <w:rsid w:val="00682FBF"/>
    <w:rsid w:val="00683FE6"/>
    <w:rsid w:val="006846EF"/>
    <w:rsid w:val="00687C60"/>
    <w:rsid w:val="00692167"/>
    <w:rsid w:val="00692B75"/>
    <w:rsid w:val="00695B6A"/>
    <w:rsid w:val="00696B83"/>
    <w:rsid w:val="006A0175"/>
    <w:rsid w:val="006A3B70"/>
    <w:rsid w:val="006A48B9"/>
    <w:rsid w:val="006A4ECC"/>
    <w:rsid w:val="006A502F"/>
    <w:rsid w:val="006B0988"/>
    <w:rsid w:val="006B2ED7"/>
    <w:rsid w:val="006B6FB4"/>
    <w:rsid w:val="006C0EB7"/>
    <w:rsid w:val="006C33BF"/>
    <w:rsid w:val="006C4039"/>
    <w:rsid w:val="006D1A17"/>
    <w:rsid w:val="006D249E"/>
    <w:rsid w:val="006D3040"/>
    <w:rsid w:val="006D4084"/>
    <w:rsid w:val="006D436A"/>
    <w:rsid w:val="006D520E"/>
    <w:rsid w:val="006E01CA"/>
    <w:rsid w:val="006E69E1"/>
    <w:rsid w:val="006F385D"/>
    <w:rsid w:val="006F4419"/>
    <w:rsid w:val="006F55F9"/>
    <w:rsid w:val="006F5860"/>
    <w:rsid w:val="00700C05"/>
    <w:rsid w:val="00702B52"/>
    <w:rsid w:val="0070624E"/>
    <w:rsid w:val="00707677"/>
    <w:rsid w:val="007118A2"/>
    <w:rsid w:val="00711959"/>
    <w:rsid w:val="00714EAC"/>
    <w:rsid w:val="00723B4B"/>
    <w:rsid w:val="00723F14"/>
    <w:rsid w:val="007308B8"/>
    <w:rsid w:val="00733A24"/>
    <w:rsid w:val="0073473C"/>
    <w:rsid w:val="007356A1"/>
    <w:rsid w:val="007360D9"/>
    <w:rsid w:val="007434B5"/>
    <w:rsid w:val="00746213"/>
    <w:rsid w:val="00750917"/>
    <w:rsid w:val="00752CEF"/>
    <w:rsid w:val="00753504"/>
    <w:rsid w:val="00754C3A"/>
    <w:rsid w:val="00756B1F"/>
    <w:rsid w:val="00765DE9"/>
    <w:rsid w:val="00767659"/>
    <w:rsid w:val="007723AD"/>
    <w:rsid w:val="007726B7"/>
    <w:rsid w:val="007731A0"/>
    <w:rsid w:val="0077380B"/>
    <w:rsid w:val="00775D2E"/>
    <w:rsid w:val="00777081"/>
    <w:rsid w:val="00777330"/>
    <w:rsid w:val="00777B69"/>
    <w:rsid w:val="00777C3B"/>
    <w:rsid w:val="00784D16"/>
    <w:rsid w:val="007871C0"/>
    <w:rsid w:val="007927CF"/>
    <w:rsid w:val="00794ED9"/>
    <w:rsid w:val="00795267"/>
    <w:rsid w:val="00795E7D"/>
    <w:rsid w:val="007A1A67"/>
    <w:rsid w:val="007A2551"/>
    <w:rsid w:val="007A36F4"/>
    <w:rsid w:val="007A3C5C"/>
    <w:rsid w:val="007B0875"/>
    <w:rsid w:val="007B19B9"/>
    <w:rsid w:val="007B28C6"/>
    <w:rsid w:val="007B3DD5"/>
    <w:rsid w:val="007B69F5"/>
    <w:rsid w:val="007B7023"/>
    <w:rsid w:val="007C0144"/>
    <w:rsid w:val="007C25BD"/>
    <w:rsid w:val="007C3058"/>
    <w:rsid w:val="007C7C01"/>
    <w:rsid w:val="007D104D"/>
    <w:rsid w:val="007D1ED9"/>
    <w:rsid w:val="007D575F"/>
    <w:rsid w:val="007D6275"/>
    <w:rsid w:val="007D7C0B"/>
    <w:rsid w:val="007E2F59"/>
    <w:rsid w:val="007E46BA"/>
    <w:rsid w:val="007E597E"/>
    <w:rsid w:val="007F43B1"/>
    <w:rsid w:val="007F4CC5"/>
    <w:rsid w:val="00800440"/>
    <w:rsid w:val="00801C02"/>
    <w:rsid w:val="0080276A"/>
    <w:rsid w:val="00804596"/>
    <w:rsid w:val="00805CDC"/>
    <w:rsid w:val="00805E5D"/>
    <w:rsid w:val="0080620B"/>
    <w:rsid w:val="008066D8"/>
    <w:rsid w:val="0081638F"/>
    <w:rsid w:val="00816CE7"/>
    <w:rsid w:val="00821284"/>
    <w:rsid w:val="00823D74"/>
    <w:rsid w:val="00826EE1"/>
    <w:rsid w:val="008359F1"/>
    <w:rsid w:val="00837B85"/>
    <w:rsid w:val="0084425A"/>
    <w:rsid w:val="0084522E"/>
    <w:rsid w:val="00845729"/>
    <w:rsid w:val="00847AF8"/>
    <w:rsid w:val="008521F0"/>
    <w:rsid w:val="00852B3B"/>
    <w:rsid w:val="0085791E"/>
    <w:rsid w:val="00860CED"/>
    <w:rsid w:val="00861BDE"/>
    <w:rsid w:val="00865139"/>
    <w:rsid w:val="00865A43"/>
    <w:rsid w:val="00866765"/>
    <w:rsid w:val="00871F84"/>
    <w:rsid w:val="00876A7E"/>
    <w:rsid w:val="00883861"/>
    <w:rsid w:val="00892309"/>
    <w:rsid w:val="0089404C"/>
    <w:rsid w:val="008A007A"/>
    <w:rsid w:val="008A0DEF"/>
    <w:rsid w:val="008A1C1C"/>
    <w:rsid w:val="008A2B49"/>
    <w:rsid w:val="008A396F"/>
    <w:rsid w:val="008A43C9"/>
    <w:rsid w:val="008A5BDE"/>
    <w:rsid w:val="008A63C7"/>
    <w:rsid w:val="008A7806"/>
    <w:rsid w:val="008A7AEC"/>
    <w:rsid w:val="008B420D"/>
    <w:rsid w:val="008B7D0E"/>
    <w:rsid w:val="008C18EA"/>
    <w:rsid w:val="008C381A"/>
    <w:rsid w:val="008D0F3F"/>
    <w:rsid w:val="008D5577"/>
    <w:rsid w:val="008E069F"/>
    <w:rsid w:val="008E1BF8"/>
    <w:rsid w:val="008E45A8"/>
    <w:rsid w:val="008E684E"/>
    <w:rsid w:val="008E7431"/>
    <w:rsid w:val="008E777B"/>
    <w:rsid w:val="008F0464"/>
    <w:rsid w:val="008F0C2B"/>
    <w:rsid w:val="008F21DA"/>
    <w:rsid w:val="008F27F9"/>
    <w:rsid w:val="008F610C"/>
    <w:rsid w:val="008F7059"/>
    <w:rsid w:val="0090543C"/>
    <w:rsid w:val="00910F87"/>
    <w:rsid w:val="00911D70"/>
    <w:rsid w:val="009129E9"/>
    <w:rsid w:val="0091502F"/>
    <w:rsid w:val="00916FBA"/>
    <w:rsid w:val="0092180D"/>
    <w:rsid w:val="0092275A"/>
    <w:rsid w:val="00922D0E"/>
    <w:rsid w:val="00924E62"/>
    <w:rsid w:val="00925764"/>
    <w:rsid w:val="00927696"/>
    <w:rsid w:val="009364E4"/>
    <w:rsid w:val="0094138F"/>
    <w:rsid w:val="00943FF0"/>
    <w:rsid w:val="00944DA9"/>
    <w:rsid w:val="00950B8E"/>
    <w:rsid w:val="0095232B"/>
    <w:rsid w:val="009533F1"/>
    <w:rsid w:val="009552EE"/>
    <w:rsid w:val="009560E5"/>
    <w:rsid w:val="0096144C"/>
    <w:rsid w:val="00975B96"/>
    <w:rsid w:val="00980742"/>
    <w:rsid w:val="009835BB"/>
    <w:rsid w:val="009839EF"/>
    <w:rsid w:val="009850E7"/>
    <w:rsid w:val="009850F0"/>
    <w:rsid w:val="00992F72"/>
    <w:rsid w:val="00993888"/>
    <w:rsid w:val="0099611F"/>
    <w:rsid w:val="009A04CC"/>
    <w:rsid w:val="009A2CC2"/>
    <w:rsid w:val="009A53D9"/>
    <w:rsid w:val="009A78A7"/>
    <w:rsid w:val="009B15AC"/>
    <w:rsid w:val="009B5F4A"/>
    <w:rsid w:val="009B72BF"/>
    <w:rsid w:val="009C0F5A"/>
    <w:rsid w:val="009C1244"/>
    <w:rsid w:val="009C710F"/>
    <w:rsid w:val="009D11E1"/>
    <w:rsid w:val="009D4ABC"/>
    <w:rsid w:val="009E2BD2"/>
    <w:rsid w:val="00A01B0C"/>
    <w:rsid w:val="00A070D3"/>
    <w:rsid w:val="00A1381F"/>
    <w:rsid w:val="00A13E29"/>
    <w:rsid w:val="00A14B19"/>
    <w:rsid w:val="00A16BEA"/>
    <w:rsid w:val="00A2215D"/>
    <w:rsid w:val="00A3148E"/>
    <w:rsid w:val="00A42AD4"/>
    <w:rsid w:val="00A43482"/>
    <w:rsid w:val="00A471E5"/>
    <w:rsid w:val="00A57D47"/>
    <w:rsid w:val="00A60C14"/>
    <w:rsid w:val="00A61399"/>
    <w:rsid w:val="00A62FF8"/>
    <w:rsid w:val="00A63085"/>
    <w:rsid w:val="00A644B4"/>
    <w:rsid w:val="00A714D3"/>
    <w:rsid w:val="00A83105"/>
    <w:rsid w:val="00A84D3D"/>
    <w:rsid w:val="00A90310"/>
    <w:rsid w:val="00A918EF"/>
    <w:rsid w:val="00A92661"/>
    <w:rsid w:val="00A94AA3"/>
    <w:rsid w:val="00A968F6"/>
    <w:rsid w:val="00A973DF"/>
    <w:rsid w:val="00AA2E59"/>
    <w:rsid w:val="00AA3FDA"/>
    <w:rsid w:val="00AB1782"/>
    <w:rsid w:val="00AB38D4"/>
    <w:rsid w:val="00AB3A42"/>
    <w:rsid w:val="00AB76DB"/>
    <w:rsid w:val="00AC2F52"/>
    <w:rsid w:val="00AC6C1A"/>
    <w:rsid w:val="00AD5BC1"/>
    <w:rsid w:val="00AE2F9B"/>
    <w:rsid w:val="00AE4049"/>
    <w:rsid w:val="00AE5BFD"/>
    <w:rsid w:val="00AF0752"/>
    <w:rsid w:val="00AF17EB"/>
    <w:rsid w:val="00AF51D0"/>
    <w:rsid w:val="00AF59B5"/>
    <w:rsid w:val="00AF7B09"/>
    <w:rsid w:val="00B0235E"/>
    <w:rsid w:val="00B03043"/>
    <w:rsid w:val="00B030D0"/>
    <w:rsid w:val="00B03431"/>
    <w:rsid w:val="00B0418D"/>
    <w:rsid w:val="00B05DE2"/>
    <w:rsid w:val="00B108C3"/>
    <w:rsid w:val="00B131B2"/>
    <w:rsid w:val="00B14BEB"/>
    <w:rsid w:val="00B16CBC"/>
    <w:rsid w:val="00B255C6"/>
    <w:rsid w:val="00B26883"/>
    <w:rsid w:val="00B37064"/>
    <w:rsid w:val="00B475DF"/>
    <w:rsid w:val="00B51DE2"/>
    <w:rsid w:val="00B523AC"/>
    <w:rsid w:val="00B560EC"/>
    <w:rsid w:val="00B60C7A"/>
    <w:rsid w:val="00B62346"/>
    <w:rsid w:val="00B6462E"/>
    <w:rsid w:val="00B64BC8"/>
    <w:rsid w:val="00B67657"/>
    <w:rsid w:val="00B71CBD"/>
    <w:rsid w:val="00B71E13"/>
    <w:rsid w:val="00B72FEE"/>
    <w:rsid w:val="00B74156"/>
    <w:rsid w:val="00B774DD"/>
    <w:rsid w:val="00B840E9"/>
    <w:rsid w:val="00B84BDB"/>
    <w:rsid w:val="00B8653A"/>
    <w:rsid w:val="00B918F5"/>
    <w:rsid w:val="00B94143"/>
    <w:rsid w:val="00B951B5"/>
    <w:rsid w:val="00B966D4"/>
    <w:rsid w:val="00B96E7B"/>
    <w:rsid w:val="00BA297C"/>
    <w:rsid w:val="00BA374D"/>
    <w:rsid w:val="00BA3788"/>
    <w:rsid w:val="00BA5D43"/>
    <w:rsid w:val="00BB2726"/>
    <w:rsid w:val="00BB3002"/>
    <w:rsid w:val="00BB67A7"/>
    <w:rsid w:val="00BB7C40"/>
    <w:rsid w:val="00BC0259"/>
    <w:rsid w:val="00BC2042"/>
    <w:rsid w:val="00BC6E6E"/>
    <w:rsid w:val="00BC7564"/>
    <w:rsid w:val="00BD241B"/>
    <w:rsid w:val="00BE1EDE"/>
    <w:rsid w:val="00BE2AD1"/>
    <w:rsid w:val="00BE342A"/>
    <w:rsid w:val="00BE5FBE"/>
    <w:rsid w:val="00BF3E7D"/>
    <w:rsid w:val="00BF73A9"/>
    <w:rsid w:val="00BF76B1"/>
    <w:rsid w:val="00C01677"/>
    <w:rsid w:val="00C032FB"/>
    <w:rsid w:val="00C120C3"/>
    <w:rsid w:val="00C156AB"/>
    <w:rsid w:val="00C2003F"/>
    <w:rsid w:val="00C21ACA"/>
    <w:rsid w:val="00C2389F"/>
    <w:rsid w:val="00C27F26"/>
    <w:rsid w:val="00C328E6"/>
    <w:rsid w:val="00C3657B"/>
    <w:rsid w:val="00C36867"/>
    <w:rsid w:val="00C36B5C"/>
    <w:rsid w:val="00C37852"/>
    <w:rsid w:val="00C40BC5"/>
    <w:rsid w:val="00C429FD"/>
    <w:rsid w:val="00C45519"/>
    <w:rsid w:val="00C46A1C"/>
    <w:rsid w:val="00C559E4"/>
    <w:rsid w:val="00C5600A"/>
    <w:rsid w:val="00C72B9F"/>
    <w:rsid w:val="00C74EAD"/>
    <w:rsid w:val="00C769EA"/>
    <w:rsid w:val="00C81E1D"/>
    <w:rsid w:val="00C81F56"/>
    <w:rsid w:val="00C81FF3"/>
    <w:rsid w:val="00C84072"/>
    <w:rsid w:val="00C87316"/>
    <w:rsid w:val="00C90ECA"/>
    <w:rsid w:val="00C949B7"/>
    <w:rsid w:val="00C9632C"/>
    <w:rsid w:val="00C97435"/>
    <w:rsid w:val="00C97961"/>
    <w:rsid w:val="00CA0EFF"/>
    <w:rsid w:val="00CA5CDB"/>
    <w:rsid w:val="00CB14D6"/>
    <w:rsid w:val="00CB16C6"/>
    <w:rsid w:val="00CB26FB"/>
    <w:rsid w:val="00CB3492"/>
    <w:rsid w:val="00CB50D1"/>
    <w:rsid w:val="00CB5CFC"/>
    <w:rsid w:val="00CB721F"/>
    <w:rsid w:val="00CC0FDE"/>
    <w:rsid w:val="00CC1C03"/>
    <w:rsid w:val="00CC1E95"/>
    <w:rsid w:val="00CC7E6B"/>
    <w:rsid w:val="00CD01C6"/>
    <w:rsid w:val="00CD1E61"/>
    <w:rsid w:val="00CD2C5D"/>
    <w:rsid w:val="00CD3D04"/>
    <w:rsid w:val="00CD4326"/>
    <w:rsid w:val="00CD58F1"/>
    <w:rsid w:val="00CE1C8A"/>
    <w:rsid w:val="00CE3187"/>
    <w:rsid w:val="00CE7E53"/>
    <w:rsid w:val="00CF0D26"/>
    <w:rsid w:val="00CF2A9F"/>
    <w:rsid w:val="00CF4326"/>
    <w:rsid w:val="00CF4FAB"/>
    <w:rsid w:val="00CF501E"/>
    <w:rsid w:val="00CF5E01"/>
    <w:rsid w:val="00D00308"/>
    <w:rsid w:val="00D0315B"/>
    <w:rsid w:val="00D04107"/>
    <w:rsid w:val="00D1349F"/>
    <w:rsid w:val="00D16272"/>
    <w:rsid w:val="00D221A6"/>
    <w:rsid w:val="00D22AC5"/>
    <w:rsid w:val="00D2312B"/>
    <w:rsid w:val="00D24E42"/>
    <w:rsid w:val="00D265E6"/>
    <w:rsid w:val="00D31221"/>
    <w:rsid w:val="00D322AE"/>
    <w:rsid w:val="00D326F4"/>
    <w:rsid w:val="00D3304E"/>
    <w:rsid w:val="00D339CF"/>
    <w:rsid w:val="00D3485A"/>
    <w:rsid w:val="00D4007A"/>
    <w:rsid w:val="00D435FD"/>
    <w:rsid w:val="00D54A08"/>
    <w:rsid w:val="00D55E7E"/>
    <w:rsid w:val="00D565C6"/>
    <w:rsid w:val="00D56AFC"/>
    <w:rsid w:val="00D60A6C"/>
    <w:rsid w:val="00D640AF"/>
    <w:rsid w:val="00D647AE"/>
    <w:rsid w:val="00D66269"/>
    <w:rsid w:val="00D66EB5"/>
    <w:rsid w:val="00D66FD4"/>
    <w:rsid w:val="00D7345E"/>
    <w:rsid w:val="00D82DF5"/>
    <w:rsid w:val="00D91253"/>
    <w:rsid w:val="00D93029"/>
    <w:rsid w:val="00D97A88"/>
    <w:rsid w:val="00DA1438"/>
    <w:rsid w:val="00DA184F"/>
    <w:rsid w:val="00DA497A"/>
    <w:rsid w:val="00DB034E"/>
    <w:rsid w:val="00DB096A"/>
    <w:rsid w:val="00DB0D5B"/>
    <w:rsid w:val="00DB211F"/>
    <w:rsid w:val="00DB2BC9"/>
    <w:rsid w:val="00DB68FE"/>
    <w:rsid w:val="00DB6C51"/>
    <w:rsid w:val="00DC63CD"/>
    <w:rsid w:val="00DD3140"/>
    <w:rsid w:val="00DD34A4"/>
    <w:rsid w:val="00DD75D4"/>
    <w:rsid w:val="00DE0F5C"/>
    <w:rsid w:val="00DE3A9A"/>
    <w:rsid w:val="00DE4A34"/>
    <w:rsid w:val="00DE58A8"/>
    <w:rsid w:val="00DF17FE"/>
    <w:rsid w:val="00DF1AEA"/>
    <w:rsid w:val="00DF39E3"/>
    <w:rsid w:val="00DF3C7F"/>
    <w:rsid w:val="00DF5BF8"/>
    <w:rsid w:val="00E02D18"/>
    <w:rsid w:val="00E03E4A"/>
    <w:rsid w:val="00E04088"/>
    <w:rsid w:val="00E06223"/>
    <w:rsid w:val="00E1029D"/>
    <w:rsid w:val="00E11684"/>
    <w:rsid w:val="00E149E5"/>
    <w:rsid w:val="00E16646"/>
    <w:rsid w:val="00E20452"/>
    <w:rsid w:val="00E214B9"/>
    <w:rsid w:val="00E21860"/>
    <w:rsid w:val="00E2248F"/>
    <w:rsid w:val="00E233C7"/>
    <w:rsid w:val="00E271FF"/>
    <w:rsid w:val="00E27D86"/>
    <w:rsid w:val="00E31D14"/>
    <w:rsid w:val="00E320C1"/>
    <w:rsid w:val="00E338DA"/>
    <w:rsid w:val="00E363D6"/>
    <w:rsid w:val="00E371F1"/>
    <w:rsid w:val="00E37A0A"/>
    <w:rsid w:val="00E400C8"/>
    <w:rsid w:val="00E44282"/>
    <w:rsid w:val="00E5011C"/>
    <w:rsid w:val="00E52C1E"/>
    <w:rsid w:val="00E627AA"/>
    <w:rsid w:val="00E63887"/>
    <w:rsid w:val="00E64CDB"/>
    <w:rsid w:val="00E654BF"/>
    <w:rsid w:val="00E82E48"/>
    <w:rsid w:val="00E84BC3"/>
    <w:rsid w:val="00E84C14"/>
    <w:rsid w:val="00E85945"/>
    <w:rsid w:val="00E859DD"/>
    <w:rsid w:val="00E868E0"/>
    <w:rsid w:val="00E87558"/>
    <w:rsid w:val="00E90DB3"/>
    <w:rsid w:val="00E911AA"/>
    <w:rsid w:val="00E93411"/>
    <w:rsid w:val="00E93F37"/>
    <w:rsid w:val="00E965A6"/>
    <w:rsid w:val="00E96878"/>
    <w:rsid w:val="00EA1717"/>
    <w:rsid w:val="00EA26A3"/>
    <w:rsid w:val="00EA5117"/>
    <w:rsid w:val="00EA6D26"/>
    <w:rsid w:val="00EA7D08"/>
    <w:rsid w:val="00EB6B78"/>
    <w:rsid w:val="00EC1FE6"/>
    <w:rsid w:val="00EC2B77"/>
    <w:rsid w:val="00EC7547"/>
    <w:rsid w:val="00EC7DE9"/>
    <w:rsid w:val="00ED3E59"/>
    <w:rsid w:val="00ED49F1"/>
    <w:rsid w:val="00ED6081"/>
    <w:rsid w:val="00ED727C"/>
    <w:rsid w:val="00EE03F1"/>
    <w:rsid w:val="00EE3A62"/>
    <w:rsid w:val="00EE3AF5"/>
    <w:rsid w:val="00EE3B18"/>
    <w:rsid w:val="00EE4215"/>
    <w:rsid w:val="00EE5BD4"/>
    <w:rsid w:val="00EF254E"/>
    <w:rsid w:val="00EF3B6D"/>
    <w:rsid w:val="00EF3D03"/>
    <w:rsid w:val="00EF405C"/>
    <w:rsid w:val="00EF54F2"/>
    <w:rsid w:val="00EF7B25"/>
    <w:rsid w:val="00F03E8F"/>
    <w:rsid w:val="00F06F3C"/>
    <w:rsid w:val="00F12F9C"/>
    <w:rsid w:val="00F2132D"/>
    <w:rsid w:val="00F23C4D"/>
    <w:rsid w:val="00F27A7C"/>
    <w:rsid w:val="00F339E0"/>
    <w:rsid w:val="00F36BDD"/>
    <w:rsid w:val="00F37243"/>
    <w:rsid w:val="00F42548"/>
    <w:rsid w:val="00F42EBF"/>
    <w:rsid w:val="00F46F9B"/>
    <w:rsid w:val="00F550FF"/>
    <w:rsid w:val="00F55E38"/>
    <w:rsid w:val="00F600DE"/>
    <w:rsid w:val="00F6151F"/>
    <w:rsid w:val="00F62577"/>
    <w:rsid w:val="00F655C9"/>
    <w:rsid w:val="00F7098D"/>
    <w:rsid w:val="00F73CCD"/>
    <w:rsid w:val="00F74AE8"/>
    <w:rsid w:val="00F774B6"/>
    <w:rsid w:val="00F82233"/>
    <w:rsid w:val="00F85ECC"/>
    <w:rsid w:val="00F864A9"/>
    <w:rsid w:val="00F87DFC"/>
    <w:rsid w:val="00F9065C"/>
    <w:rsid w:val="00F906D9"/>
    <w:rsid w:val="00F91121"/>
    <w:rsid w:val="00FA1A6F"/>
    <w:rsid w:val="00FA3D61"/>
    <w:rsid w:val="00FA49C9"/>
    <w:rsid w:val="00FA50EE"/>
    <w:rsid w:val="00FA6EF1"/>
    <w:rsid w:val="00FB371F"/>
    <w:rsid w:val="00FB6512"/>
    <w:rsid w:val="00FC03AE"/>
    <w:rsid w:val="00FC20F2"/>
    <w:rsid w:val="00FC3019"/>
    <w:rsid w:val="00FC3DBD"/>
    <w:rsid w:val="00FC799C"/>
    <w:rsid w:val="00FD078A"/>
    <w:rsid w:val="00FD4200"/>
    <w:rsid w:val="00FD47D7"/>
    <w:rsid w:val="00FD49B4"/>
    <w:rsid w:val="00FD6B33"/>
    <w:rsid w:val="00FD710F"/>
    <w:rsid w:val="00FE0564"/>
    <w:rsid w:val="00FE2185"/>
    <w:rsid w:val="00FE644E"/>
    <w:rsid w:val="00FF1D6D"/>
    <w:rsid w:val="00FF4820"/>
    <w:rsid w:val="00FF5670"/>
    <w:rsid w:val="01463664"/>
    <w:rsid w:val="079352CC"/>
    <w:rsid w:val="07A0357A"/>
    <w:rsid w:val="09131431"/>
    <w:rsid w:val="09C13CCC"/>
    <w:rsid w:val="0BD0168A"/>
    <w:rsid w:val="0C9B606F"/>
    <w:rsid w:val="0FB94C73"/>
    <w:rsid w:val="10DA10A1"/>
    <w:rsid w:val="139B59EE"/>
    <w:rsid w:val="1576604F"/>
    <w:rsid w:val="1590419A"/>
    <w:rsid w:val="1889233B"/>
    <w:rsid w:val="1C4F0876"/>
    <w:rsid w:val="2362525E"/>
    <w:rsid w:val="2731598F"/>
    <w:rsid w:val="27ED4D69"/>
    <w:rsid w:val="2CFD16E7"/>
    <w:rsid w:val="2E6E6B62"/>
    <w:rsid w:val="32060A94"/>
    <w:rsid w:val="336E61B1"/>
    <w:rsid w:val="37537E51"/>
    <w:rsid w:val="385D3D5A"/>
    <w:rsid w:val="39001931"/>
    <w:rsid w:val="39D733F3"/>
    <w:rsid w:val="3B036EF7"/>
    <w:rsid w:val="43164623"/>
    <w:rsid w:val="443D58AA"/>
    <w:rsid w:val="4B8B0FB0"/>
    <w:rsid w:val="4C18295A"/>
    <w:rsid w:val="4D0C3ECE"/>
    <w:rsid w:val="515C1BE5"/>
    <w:rsid w:val="530906ED"/>
    <w:rsid w:val="585B3450"/>
    <w:rsid w:val="58EC27F2"/>
    <w:rsid w:val="5A9A118D"/>
    <w:rsid w:val="5B702BDF"/>
    <w:rsid w:val="5DFE6275"/>
    <w:rsid w:val="5E8D242E"/>
    <w:rsid w:val="60AF5A13"/>
    <w:rsid w:val="651F19C7"/>
    <w:rsid w:val="673E7B48"/>
    <w:rsid w:val="681171B5"/>
    <w:rsid w:val="69787099"/>
    <w:rsid w:val="6F144B11"/>
    <w:rsid w:val="75491C81"/>
    <w:rsid w:val="75FE24DE"/>
    <w:rsid w:val="76B80955"/>
    <w:rsid w:val="77EB7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578" w:lineRule="auto"/>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Indent"/>
    <w:basedOn w:val="1"/>
    <w:qFormat/>
    <w:uiPriority w:val="0"/>
    <w:pPr>
      <w:spacing w:after="120"/>
      <w:ind w:left="420" w:leftChars="200"/>
    </w:pPr>
    <w:rPr>
      <w:szCs w:val="20"/>
    </w:rPr>
  </w:style>
  <w:style w:type="paragraph" w:styleId="6">
    <w:name w:val="Plain Text"/>
    <w:basedOn w:val="1"/>
    <w:qFormat/>
    <w:uiPriority w:val="0"/>
    <w:pPr>
      <w:adjustRightInd w:val="0"/>
      <w:spacing w:line="360" w:lineRule="atLeast"/>
      <w:textAlignment w:val="baseline"/>
    </w:pPr>
    <w:rPr>
      <w:rFonts w:ascii="宋体" w:hAnsi="Courier New"/>
      <w:szCs w:val="20"/>
    </w:rPr>
  </w:style>
  <w:style w:type="paragraph" w:styleId="7">
    <w:name w:val="Body Text Indent 2"/>
    <w:basedOn w:val="1"/>
    <w:qFormat/>
    <w:uiPriority w:val="0"/>
    <w:pPr>
      <w:spacing w:after="120" w:line="360" w:lineRule="auto"/>
      <w:ind w:firstLine="480" w:firstLineChars="200"/>
    </w:pPr>
    <w:rPr>
      <w:rFonts w:ascii="宋体" w:hAnsi="宋体"/>
      <w:color w:val="FF0000"/>
      <w:sz w:val="24"/>
    </w:rPr>
  </w:style>
  <w:style w:type="paragraph" w:styleId="8">
    <w:name w:val="Balloon Text"/>
    <w:basedOn w:val="1"/>
    <w:semiHidden/>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spacing w:before="360"/>
      <w:jc w:val="left"/>
    </w:pPr>
    <w:rPr>
      <w:rFonts w:ascii="Arial" w:hAnsi="Arial" w:cs="Arial"/>
      <w:b/>
      <w:bCs/>
      <w:caps/>
      <w:sz w:val="24"/>
    </w:rPr>
  </w:style>
  <w:style w:type="paragraph" w:styleId="12">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宋体"/>
      <w:sz w:val="24"/>
      <w:szCs w:val="24"/>
      <w:lang w:val="en-US" w:eastAsia="zh-CN" w:bidi="ar-SA"/>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4"/>
    <w:next w:val="4"/>
    <w:semiHidden/>
    <w:qFormat/>
    <w:uiPriority w:val="0"/>
    <w:rPr>
      <w:b/>
      <w:bCs/>
    </w:rPr>
  </w:style>
  <w:style w:type="character" w:styleId="17">
    <w:name w:val="page number"/>
    <w:qFormat/>
    <w:uiPriority w:val="0"/>
  </w:style>
  <w:style w:type="character" w:styleId="18">
    <w:name w:val="FollowedHyperlink"/>
    <w:qFormat/>
    <w:uiPriority w:val="0"/>
    <w:rPr>
      <w:color w:val="800080"/>
      <w:u w:val="single"/>
    </w:rPr>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字符"/>
    <w:link w:val="4"/>
    <w:qFormat/>
    <w:uiPriority w:val="0"/>
    <w:rPr>
      <w:kern w:val="2"/>
      <w:sz w:val="21"/>
      <w:szCs w:val="24"/>
    </w:rPr>
  </w:style>
  <w:style w:type="character" w:customStyle="1" w:styleId="22">
    <w:name w:val="页脚 字符"/>
    <w:link w:val="9"/>
    <w:qFormat/>
    <w:uiPriority w:val="99"/>
    <w:rPr>
      <w:kern w:val="2"/>
      <w:sz w:val="18"/>
      <w:szCs w:val="18"/>
    </w:rPr>
  </w:style>
  <w:style w:type="character" w:customStyle="1" w:styleId="23">
    <w:name w:val="页眉 字符1"/>
    <w:link w:val="10"/>
    <w:qFormat/>
    <w:uiPriority w:val="0"/>
    <w:rPr>
      <w:kern w:val="2"/>
      <w:sz w:val="18"/>
      <w:szCs w:val="18"/>
    </w:rPr>
  </w:style>
  <w:style w:type="paragraph" w:customStyle="1" w:styleId="24">
    <w:name w:val="Char Char5"/>
    <w:basedOn w:val="1"/>
    <w:qFormat/>
    <w:uiPriority w:val="0"/>
    <w:rPr>
      <w:rFonts w:ascii="Calibri" w:hAnsi="Calibri"/>
      <w:szCs w:val="20"/>
    </w:rPr>
  </w:style>
  <w:style w:type="paragraph" w:customStyle="1" w:styleId="25">
    <w:name w:val="Char Char"/>
    <w:basedOn w:val="1"/>
    <w:qFormat/>
    <w:uiPriority w:val="0"/>
  </w:style>
  <w:style w:type="paragraph" w:customStyle="1" w:styleId="26">
    <w:name w:val="Char Char Char Char1"/>
    <w:basedOn w:val="1"/>
    <w:qFormat/>
    <w:uiPriority w:val="0"/>
    <w:rPr>
      <w:szCs w:val="20"/>
    </w:rPr>
  </w:style>
  <w:style w:type="paragraph" w:customStyle="1" w:styleId="27">
    <w:name w:val="Char Char Char Char"/>
    <w:basedOn w:val="1"/>
    <w:qFormat/>
    <w:uiPriority w:val="0"/>
    <w:pPr>
      <w:tabs>
        <w:tab w:val="left" w:pos="360"/>
      </w:tabs>
    </w:pPr>
    <w:rPr>
      <w:sz w:val="24"/>
    </w:rPr>
  </w:style>
  <w:style w:type="paragraph" w:customStyle="1" w:styleId="28">
    <w:name w:val="_Style 26"/>
    <w:semiHidden/>
    <w:qFormat/>
    <w:uiPriority w:val="99"/>
    <w:rPr>
      <w:rFonts w:ascii="Times New Roman" w:hAnsi="Times New Roman" w:eastAsia="宋体" w:cs="Times New Roman"/>
      <w:kern w:val="2"/>
      <w:sz w:val="21"/>
      <w:szCs w:val="24"/>
      <w:lang w:val="en-US" w:eastAsia="zh-CN" w:bidi="ar-SA"/>
    </w:rPr>
  </w:style>
  <w:style w:type="character" w:customStyle="1" w:styleId="29">
    <w:name w:val="read"/>
    <w:qFormat/>
    <w:uiPriority w:val="0"/>
  </w:style>
  <w:style w:type="character" w:customStyle="1" w:styleId="30">
    <w:name w:val="页眉 字符"/>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15470</Words>
  <Characters>15652</Characters>
  <Lines>189</Lines>
  <Paragraphs>53</Paragraphs>
  <TotalTime>0</TotalTime>
  <ScaleCrop>false</ScaleCrop>
  <LinksUpToDate>false</LinksUpToDate>
  <CharactersWithSpaces>15695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2020-05-19T02:21:00Z</dcterms:created>
  <dc:creator>CTZG-X13-LIKAI</dc:creator>
  <cp:lastModifiedBy>罗天雅</cp:lastModifiedBy>
  <cp:lastPrinted>2024-07-02T07:48:00Z</cp:lastPrinted>
  <dcterms:modified xsi:type="dcterms:W3CDTF">2025-11-10T05:34:55Z</dcterms:modified>
  <dc:title>XX基金管理有限公司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eyJoZGlkIjoiOTE4Mzk2YjliNTc0M2Q5NTQwNjc5MmQxYThhYjkyNTciLCJ1c2VySWQiOiIxNDcxOTgzODg4In0=</vt:lpwstr>
  </property>
  <property fmtid="{D5CDD505-2E9C-101B-9397-08002B2CF9AE}" pid="4" name="ICV">
    <vt:lpwstr>619C946CAC494F47B1E7680040B4BE4A_13</vt:lpwstr>
  </property>
</Properties>
</file>