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048" w:firstLineChars="850"/>
        <w:rPr>
          <w:rFonts w:ascii="仿宋_GB2312" w:hAnsi="宋体" w:eastAsia="仿宋_GB2312"/>
          <w:b/>
          <w:sz w:val="24"/>
          <w:szCs w:val="24"/>
        </w:rPr>
      </w:pPr>
    </w:p>
    <w:p>
      <w:pPr>
        <w:spacing w:line="360" w:lineRule="auto"/>
        <w:rPr>
          <w:rFonts w:ascii="仿宋_GB2312" w:hAnsi="宋体" w:eastAsia="仿宋_GB2312"/>
          <w:sz w:val="24"/>
          <w:szCs w:val="24"/>
        </w:rPr>
      </w:pPr>
    </w:p>
    <w:p>
      <w:pPr>
        <w:spacing w:line="360" w:lineRule="auto"/>
        <w:jc w:val="center"/>
        <w:rPr>
          <w:rFonts w:ascii="黑体" w:hAnsi="黑体" w:eastAsia="黑体"/>
          <w:b/>
          <w:bCs/>
          <w:sz w:val="40"/>
          <w:szCs w:val="40"/>
        </w:rPr>
      </w:pPr>
      <w:r>
        <w:rPr>
          <w:rFonts w:hint="eastAsia" w:ascii="黑体" w:hAnsi="黑体" w:eastAsia="黑体"/>
          <w:b/>
          <w:bCs/>
          <w:sz w:val="40"/>
          <w:szCs w:val="40"/>
        </w:rPr>
        <w:t>渤银理财有限责任公司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hAnsi="黑体" w:eastAsia="黑体"/>
          <w:b/>
          <w:bCs/>
          <w:sz w:val="40"/>
          <w:szCs w:val="40"/>
        </w:rPr>
      </w:pPr>
    </w:p>
    <w:p>
      <w:pPr>
        <w:spacing w:line="360" w:lineRule="auto"/>
        <w:jc w:val="center"/>
        <w:rPr>
          <w:rFonts w:ascii="黑体" w:hAnsi="黑体" w:eastAsia="黑体"/>
          <w:b/>
          <w:bCs/>
          <w:sz w:val="40"/>
          <w:szCs w:val="40"/>
        </w:rPr>
      </w:pPr>
      <w:r>
        <w:rPr>
          <w:rFonts w:hint="eastAsia" w:ascii="黑体" w:hAnsi="黑体" w:eastAsia="黑体"/>
          <w:b/>
          <w:bCs/>
          <w:sz w:val="40"/>
          <w:szCs w:val="40"/>
        </w:rPr>
        <w:t>理财产品托管协议</w:t>
      </w:r>
    </w:p>
    <w:p>
      <w:pPr>
        <w:spacing w:line="360" w:lineRule="auto"/>
        <w:jc w:val="center"/>
        <w:rPr>
          <w:rFonts w:ascii="仿宋_GB2312" w:eastAsia="仿宋_GB2312"/>
          <w:b/>
          <w:sz w:val="24"/>
          <w:szCs w:val="24"/>
        </w:rPr>
      </w:pPr>
      <w:r>
        <w:rPr>
          <w:rFonts w:hint="eastAsia" w:ascii="仿宋_GB2312" w:eastAsia="仿宋_GB2312"/>
          <w:b/>
          <w:sz w:val="24"/>
          <w:szCs w:val="24"/>
        </w:rPr>
        <w:t xml:space="preserve"> (</w:t>
      </w:r>
      <w:r>
        <w:rPr>
          <w:rFonts w:hint="eastAsia" w:ascii="仿宋_GB2312" w:hAnsi="宋体" w:eastAsia="仿宋_GB2312"/>
          <w:b/>
          <w:bCs/>
          <w:sz w:val="24"/>
          <w:szCs w:val="24"/>
        </w:rPr>
        <w:t>统签版</w:t>
      </w:r>
      <w:r>
        <w:rPr>
          <w:rFonts w:hint="eastAsia" w:ascii="仿宋_GB2312" w:eastAsia="仿宋_GB2312"/>
          <w:b/>
          <w:sz w:val="24"/>
          <w:szCs w:val="24"/>
        </w:rPr>
        <w:t>)</w:t>
      </w:r>
    </w:p>
    <w:p>
      <w:pPr>
        <w:spacing w:line="360" w:lineRule="auto"/>
        <w:jc w:val="center"/>
        <w:rPr>
          <w:rFonts w:ascii="仿宋_GB2312" w:hAnsi="宋体" w:eastAsia="仿宋_GB2312"/>
          <w:b/>
          <w:bCs/>
          <w:sz w:val="24"/>
          <w:szCs w:val="24"/>
        </w:rPr>
      </w:pPr>
    </w:p>
    <w:p>
      <w:pPr>
        <w:spacing w:line="360" w:lineRule="auto"/>
        <w:jc w:val="center"/>
        <w:rPr>
          <w:rFonts w:ascii="仿宋_GB2312" w:eastAsia="仿宋_GB2312"/>
          <w:b/>
          <w:sz w:val="40"/>
          <w:szCs w:val="40"/>
        </w:rPr>
      </w:pPr>
    </w:p>
    <w:p>
      <w:pPr>
        <w:spacing w:line="360" w:lineRule="auto"/>
        <w:jc w:val="center"/>
        <w:rPr>
          <w:rFonts w:ascii="仿宋_GB2312" w:hAnsi="宋体" w:eastAsia="仿宋_GB2312"/>
          <w:b/>
          <w:color w:val="FF0000"/>
          <w:sz w:val="28"/>
          <w:szCs w:val="28"/>
        </w:rPr>
      </w:pP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合同编号：【TGBY202</w:t>
      </w:r>
      <w:r>
        <w:rPr>
          <w:rFonts w:hint="eastAsia" w:ascii="仿宋_GB2312" w:hAnsi="宋体" w:eastAsia="仿宋_GB2312"/>
          <w:sz w:val="24"/>
          <w:szCs w:val="24"/>
          <w:lang w:val="en-US" w:eastAsia="zh-CN"/>
        </w:rPr>
        <w:t>5</w:t>
      </w:r>
      <w:r>
        <w:rPr>
          <w:rFonts w:hint="eastAsia" w:ascii="仿宋_GB2312" w:hAnsi="宋体" w:eastAsia="仿宋_GB2312"/>
          <w:sz w:val="24"/>
          <w:szCs w:val="24"/>
        </w:rPr>
        <w:t>0</w:t>
      </w:r>
      <w:r>
        <w:rPr>
          <w:rFonts w:hint="eastAsia" w:ascii="仿宋_GB2312" w:hAnsi="宋体" w:eastAsia="仿宋_GB2312"/>
          <w:sz w:val="24"/>
          <w:szCs w:val="24"/>
          <w:lang w:val="en-US" w:eastAsia="zh-CN"/>
        </w:rPr>
        <w:t>6</w:t>
      </w:r>
      <w:r>
        <w:rPr>
          <w:rFonts w:hint="eastAsia" w:ascii="仿宋_GB2312" w:hAnsi="宋体" w:eastAsia="仿宋_GB2312"/>
          <w:sz w:val="24"/>
          <w:szCs w:val="24"/>
        </w:rPr>
        <w:t>】</w:t>
      </w:r>
      <w:r>
        <w:rPr>
          <w:rFonts w:ascii="仿宋_GB2312" w:hAnsi="宋体" w:eastAsia="仿宋_GB2312"/>
          <w:sz w:val="24"/>
          <w:szCs w:val="24"/>
        </w:rPr>
        <w:t xml:space="preserve"> </w:t>
      </w:r>
    </w:p>
    <w:p>
      <w:pPr>
        <w:spacing w:line="360" w:lineRule="auto"/>
        <w:ind w:firstLine="2389" w:firstLineChars="850"/>
        <w:rPr>
          <w:rFonts w:ascii="仿宋_GB2312" w:hAnsi="宋体" w:eastAsia="仿宋_GB2312"/>
          <w:b/>
          <w:sz w:val="28"/>
          <w:szCs w:val="28"/>
        </w:rPr>
      </w:pPr>
    </w:p>
    <w:p>
      <w:pPr>
        <w:spacing w:line="360" w:lineRule="auto"/>
        <w:ind w:firstLine="2389" w:firstLineChars="850"/>
        <w:rPr>
          <w:rFonts w:ascii="仿宋_GB2312" w:hAnsi="宋体" w:eastAsia="仿宋_GB2312"/>
          <w:b/>
          <w:sz w:val="28"/>
          <w:szCs w:val="28"/>
        </w:rPr>
      </w:pPr>
    </w:p>
    <w:p>
      <w:pPr>
        <w:spacing w:line="360" w:lineRule="auto"/>
        <w:ind w:firstLine="2389" w:firstLineChars="850"/>
        <w:rPr>
          <w:rFonts w:ascii="仿宋_GB2312" w:hAnsi="宋体" w:eastAsia="仿宋_GB2312"/>
          <w:b/>
          <w:sz w:val="28"/>
          <w:szCs w:val="28"/>
        </w:rPr>
      </w:pPr>
    </w:p>
    <w:p>
      <w:pPr>
        <w:spacing w:line="360" w:lineRule="auto"/>
        <w:ind w:firstLine="2040" w:firstLineChars="850"/>
        <w:rPr>
          <w:rFonts w:ascii="仿宋_GB2312" w:hAnsi="宋体" w:eastAsia="仿宋_GB2312"/>
          <w:sz w:val="24"/>
          <w:szCs w:val="24"/>
        </w:rPr>
      </w:pPr>
    </w:p>
    <w:p>
      <w:pPr>
        <w:spacing w:line="360" w:lineRule="auto"/>
        <w:ind w:firstLine="2040" w:firstLineChars="850"/>
        <w:rPr>
          <w:rFonts w:ascii="仿宋_GB2312" w:hAnsi="宋体" w:eastAsia="仿宋_GB2312"/>
          <w:sz w:val="24"/>
          <w:szCs w:val="24"/>
        </w:rPr>
      </w:pPr>
    </w:p>
    <w:p>
      <w:pPr>
        <w:spacing w:line="360" w:lineRule="auto"/>
        <w:ind w:firstLine="2040" w:firstLineChars="850"/>
        <w:rPr>
          <w:rFonts w:ascii="仿宋_GB2312" w:hAnsi="宋体" w:eastAsia="仿宋_GB2312"/>
          <w:sz w:val="24"/>
          <w:szCs w:val="24"/>
        </w:rPr>
      </w:pPr>
    </w:p>
    <w:p>
      <w:pPr>
        <w:spacing w:line="360" w:lineRule="auto"/>
        <w:ind w:firstLine="2040" w:firstLineChars="850"/>
        <w:rPr>
          <w:rFonts w:ascii="仿宋_GB2312" w:hAnsi="宋体" w:eastAsia="仿宋_GB2312"/>
          <w:sz w:val="24"/>
          <w:szCs w:val="24"/>
        </w:rPr>
      </w:pPr>
    </w:p>
    <w:p>
      <w:pPr>
        <w:spacing w:line="360" w:lineRule="auto"/>
        <w:ind w:firstLine="2040" w:firstLineChars="850"/>
        <w:rPr>
          <w:rFonts w:ascii="仿宋_GB2312" w:hAnsi="宋体" w:eastAsia="仿宋_GB2312"/>
          <w:sz w:val="24"/>
          <w:szCs w:val="24"/>
        </w:rPr>
      </w:pPr>
    </w:p>
    <w:p>
      <w:pPr>
        <w:spacing w:line="360" w:lineRule="auto"/>
        <w:jc w:val="center"/>
        <w:rPr>
          <w:rFonts w:ascii="仿宋_GB2312" w:hAnsi="宋体" w:eastAsia="仿宋_GB2312"/>
          <w:sz w:val="24"/>
          <w:szCs w:val="24"/>
        </w:rPr>
      </w:pPr>
      <w:r>
        <w:rPr>
          <w:rFonts w:hint="eastAsia" w:ascii="仿宋_GB2312" w:hAnsi="宋体" w:eastAsia="仿宋_GB2312"/>
          <w:sz w:val="24"/>
          <w:szCs w:val="24"/>
        </w:rPr>
        <w:t>甲方（理财产品管理人）：渤银理财有限责任公司</w:t>
      </w:r>
    </w:p>
    <w:p>
      <w:pPr>
        <w:spacing w:line="360" w:lineRule="auto"/>
        <w:jc w:val="center"/>
        <w:rPr>
          <w:rFonts w:ascii="仿宋_GB2312" w:hAnsi="宋体" w:eastAsia="仿宋_GB2312"/>
          <w:sz w:val="24"/>
        </w:rPr>
      </w:pPr>
      <w:r>
        <w:rPr>
          <w:rFonts w:hint="eastAsia" w:ascii="仿宋_GB2312" w:hAnsi="宋体" w:eastAsia="仿宋_GB2312"/>
          <w:sz w:val="24"/>
          <w:szCs w:val="24"/>
        </w:rPr>
        <w:t>乙方（理财产品托管人）：</w:t>
      </w:r>
      <w:r>
        <w:rPr>
          <w:rFonts w:hint="eastAsia" w:ascii="仿宋_GB2312" w:hAnsi="宋体" w:eastAsia="仿宋_GB2312"/>
          <w:sz w:val="24"/>
          <w:szCs w:val="24"/>
          <w:lang w:eastAsia="zh-CN"/>
        </w:rPr>
        <w:t>中信银行股份有限公司</w:t>
      </w:r>
      <w:r>
        <w:rPr>
          <w:rFonts w:hint="eastAsia" w:ascii="仿宋_GB2312" w:hAnsi="宋体" w:eastAsia="仿宋_GB2312"/>
          <w:sz w:val="24"/>
        </w:rPr>
        <w:br w:type="page"/>
      </w:r>
    </w:p>
    <w:sdt>
      <w:sdtPr>
        <w:rPr>
          <w:rFonts w:ascii="Times New Roman" w:hAnsi="Times New Roman" w:eastAsia="宋体" w:cs="Times New Roman"/>
          <w:color w:val="auto"/>
          <w:kern w:val="2"/>
          <w:sz w:val="21"/>
          <w:szCs w:val="24"/>
          <w:lang w:val="zh-CN"/>
        </w:rPr>
        <w:id w:val="-688534222"/>
      </w:sdtPr>
      <w:sdtEndPr>
        <w:rPr>
          <w:rFonts w:ascii="Times New Roman" w:hAnsi="Times New Roman" w:eastAsia="宋体" w:cs="Times New Roman"/>
          <w:b/>
          <w:bCs/>
          <w:color w:val="auto"/>
          <w:kern w:val="2"/>
          <w:sz w:val="21"/>
          <w:szCs w:val="24"/>
          <w:lang w:val="zh-CN"/>
        </w:rPr>
      </w:sdtEndPr>
      <w:sdtContent>
        <w:p>
          <w:pPr>
            <w:pStyle w:val="42"/>
            <w:jc w:val="center"/>
            <w:rPr>
              <w:rFonts w:ascii="黑体" w:hAnsi="黑体" w:eastAsia="黑体"/>
            </w:rPr>
          </w:pPr>
          <w:r>
            <w:rPr>
              <w:rFonts w:hint="eastAsia" w:ascii="黑体" w:hAnsi="黑体" w:eastAsia="黑体"/>
              <w:lang w:val="zh-CN"/>
            </w:rPr>
            <w:t>目录</w:t>
          </w:r>
        </w:p>
        <w:p>
          <w:pPr>
            <w:pStyle w:val="18"/>
            <w:tabs>
              <w:tab w:val="right" w:leader="dot" w:pos="8312"/>
              <w:tab w:val="clear" w:pos="8400"/>
            </w:tabs>
          </w:pPr>
          <w:r>
            <w:rPr>
              <w:b/>
              <w:bCs/>
              <w:lang w:val="zh-CN"/>
            </w:rPr>
            <w:fldChar w:fldCharType="begin"/>
          </w:r>
          <w:r>
            <w:rPr>
              <w:b/>
              <w:bCs/>
              <w:lang w:val="zh-CN"/>
            </w:rPr>
            <w:instrText xml:space="preserve"> TOC \o "1-3" \h \z \u </w:instrText>
          </w:r>
          <w:r>
            <w:rPr>
              <w:b/>
              <w:bCs/>
              <w:lang w:val="zh-CN"/>
            </w:rPr>
            <w:fldChar w:fldCharType="separate"/>
          </w:r>
          <w:r>
            <w:rPr>
              <w:bCs/>
              <w:lang w:val="zh-CN"/>
            </w:rPr>
            <w:fldChar w:fldCharType="begin"/>
          </w:r>
          <w:r>
            <w:rPr>
              <w:bCs/>
              <w:lang w:val="zh-CN"/>
            </w:rPr>
            <w:instrText xml:space="preserve"> HYPERLINK \l _Toc11502 </w:instrText>
          </w:r>
          <w:r>
            <w:rPr>
              <w:bCs/>
              <w:lang w:val="zh-CN"/>
            </w:rPr>
            <w:fldChar w:fldCharType="separate"/>
          </w:r>
          <w:r>
            <w:rPr>
              <w:rFonts w:hint="eastAsia" w:ascii="仿宋_GB2312" w:hAnsi="宋体" w:eastAsia="仿宋_GB2312"/>
              <w:kern w:val="0"/>
            </w:rPr>
            <w:t>第一章  协议当事人</w:t>
          </w:r>
          <w:r>
            <w:tab/>
          </w:r>
          <w:r>
            <w:fldChar w:fldCharType="begin"/>
          </w:r>
          <w:r>
            <w:instrText xml:space="preserve"> PAGEREF _Toc11502 \h </w:instrText>
          </w:r>
          <w:r>
            <w:fldChar w:fldCharType="separate"/>
          </w:r>
          <w:r>
            <w:t>1</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_Toc6390 </w:instrText>
          </w:r>
          <w:r>
            <w:rPr>
              <w:bCs/>
              <w:lang w:val="zh-CN"/>
            </w:rPr>
            <w:fldChar w:fldCharType="separate"/>
          </w:r>
          <w:r>
            <w:rPr>
              <w:rFonts w:hint="eastAsia" w:ascii="仿宋_GB2312" w:hAnsi="宋体" w:eastAsia="仿宋_GB2312"/>
              <w:kern w:val="0"/>
            </w:rPr>
            <w:t>第二章</w:t>
          </w:r>
          <w:r>
            <w:rPr>
              <w:rFonts w:ascii="仿宋_GB2312" w:hAnsi="宋体" w:eastAsia="仿宋_GB2312"/>
              <w:kern w:val="0"/>
            </w:rPr>
            <w:t xml:space="preserve">  </w:t>
          </w:r>
          <w:r>
            <w:rPr>
              <w:rFonts w:hint="eastAsia" w:ascii="仿宋_GB2312" w:hAnsi="宋体" w:eastAsia="仿宋_GB2312"/>
              <w:kern w:val="0"/>
            </w:rPr>
            <w:t>当事人的权利与义务</w:t>
          </w:r>
          <w:r>
            <w:tab/>
          </w:r>
          <w:r>
            <w:fldChar w:fldCharType="begin"/>
          </w:r>
          <w:r>
            <w:instrText xml:space="preserve"> PAGEREF _Toc6390 \h </w:instrText>
          </w:r>
          <w:r>
            <w:fldChar w:fldCharType="separate"/>
          </w:r>
          <w:r>
            <w:t>2</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_Toc7079 </w:instrText>
          </w:r>
          <w:r>
            <w:rPr>
              <w:bCs/>
              <w:lang w:val="zh-CN"/>
            </w:rPr>
            <w:fldChar w:fldCharType="separate"/>
          </w:r>
          <w:r>
            <w:rPr>
              <w:rFonts w:hint="eastAsia" w:ascii="仿宋_GB2312" w:hAnsi="宋体" w:eastAsia="仿宋_GB2312"/>
            </w:rPr>
            <w:t xml:space="preserve">第三章  </w:t>
          </w:r>
          <w:r>
            <w:rPr>
              <w:rFonts w:hint="eastAsia" w:ascii="仿宋_GB2312" w:hAnsi="宋体" w:eastAsia="仿宋_GB2312"/>
              <w:szCs w:val="24"/>
            </w:rPr>
            <w:t>理财产品的类型</w:t>
          </w:r>
          <w:r>
            <w:tab/>
          </w:r>
          <w:r>
            <w:fldChar w:fldCharType="begin"/>
          </w:r>
          <w:r>
            <w:instrText xml:space="preserve"> PAGEREF _Toc7079 \h </w:instrText>
          </w:r>
          <w:r>
            <w:fldChar w:fldCharType="separate"/>
          </w:r>
          <w:r>
            <w:t>6</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_Toc3685 </w:instrText>
          </w:r>
          <w:r>
            <w:rPr>
              <w:bCs/>
              <w:lang w:val="zh-CN"/>
            </w:rPr>
            <w:fldChar w:fldCharType="separate"/>
          </w:r>
          <w:r>
            <w:rPr>
              <w:rFonts w:hint="eastAsia" w:ascii="仿宋_GB2312" w:hAnsi="宋体" w:eastAsia="仿宋_GB2312"/>
              <w:szCs w:val="24"/>
            </w:rPr>
            <w:t>第四章  理财产品成立时理财资金及资料的交付</w:t>
          </w:r>
          <w:r>
            <w:tab/>
          </w:r>
          <w:r>
            <w:fldChar w:fldCharType="begin"/>
          </w:r>
          <w:r>
            <w:instrText xml:space="preserve"> PAGEREF _Toc3685 \h </w:instrText>
          </w:r>
          <w:r>
            <w:fldChar w:fldCharType="separate"/>
          </w:r>
          <w:r>
            <w:t>6</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_Toc6183 </w:instrText>
          </w:r>
          <w:r>
            <w:rPr>
              <w:bCs/>
              <w:lang w:val="zh-CN"/>
            </w:rPr>
            <w:fldChar w:fldCharType="separate"/>
          </w:r>
          <w:r>
            <w:rPr>
              <w:rFonts w:hint="eastAsia" w:ascii="仿宋_GB2312" w:hAnsi="宋体" w:eastAsia="仿宋_GB2312"/>
              <w:szCs w:val="24"/>
            </w:rPr>
            <w:t>第五章  理财产品资产的保管和账户</w:t>
          </w:r>
          <w:r>
            <w:tab/>
          </w:r>
          <w:r>
            <w:fldChar w:fldCharType="begin"/>
          </w:r>
          <w:r>
            <w:instrText xml:space="preserve"> PAGEREF _Toc6183 \h </w:instrText>
          </w:r>
          <w:r>
            <w:fldChar w:fldCharType="separate"/>
          </w:r>
          <w:r>
            <w:t>7</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_Toc7586 </w:instrText>
          </w:r>
          <w:r>
            <w:rPr>
              <w:bCs/>
              <w:lang w:val="zh-CN"/>
            </w:rPr>
            <w:fldChar w:fldCharType="separate"/>
          </w:r>
          <w:r>
            <w:rPr>
              <w:rFonts w:hint="eastAsia" w:ascii="仿宋_GB2312" w:hAnsi="宋体" w:eastAsia="仿宋_GB2312"/>
              <w:szCs w:val="24"/>
            </w:rPr>
            <w:t>第六章  理财</w:t>
          </w:r>
          <w:r>
            <w:rPr>
              <w:rFonts w:hint="eastAsia" w:ascii="仿宋_GB2312" w:hAnsi="宋体" w:eastAsia="仿宋_GB2312"/>
              <w:kern w:val="0"/>
              <w:szCs w:val="24"/>
            </w:rPr>
            <w:t>资金运用划款指令</w:t>
          </w:r>
          <w:r>
            <w:rPr>
              <w:rFonts w:hint="eastAsia" w:ascii="仿宋_GB2312" w:hAnsi="宋体" w:eastAsia="仿宋_GB2312"/>
              <w:szCs w:val="24"/>
            </w:rPr>
            <w:t>的确认与执行</w:t>
          </w:r>
          <w:r>
            <w:tab/>
          </w:r>
          <w:r>
            <w:fldChar w:fldCharType="begin"/>
          </w:r>
          <w:r>
            <w:instrText xml:space="preserve"> PAGEREF _Toc7586 \h </w:instrText>
          </w:r>
          <w:r>
            <w:fldChar w:fldCharType="separate"/>
          </w:r>
          <w:r>
            <w:t>10</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_Toc2782 </w:instrText>
          </w:r>
          <w:r>
            <w:rPr>
              <w:bCs/>
              <w:lang w:val="zh-CN"/>
            </w:rPr>
            <w:fldChar w:fldCharType="separate"/>
          </w:r>
          <w:r>
            <w:rPr>
              <w:rFonts w:hint="eastAsia" w:ascii="仿宋_GB2312" w:hAnsi="宋体" w:eastAsia="仿宋_GB2312"/>
              <w:szCs w:val="24"/>
            </w:rPr>
            <w:t>第七章  理财产品的投资交易及其资金清算</w:t>
          </w:r>
          <w:r>
            <w:tab/>
          </w:r>
          <w:r>
            <w:fldChar w:fldCharType="begin"/>
          </w:r>
          <w:r>
            <w:instrText xml:space="preserve"> PAGEREF _Toc2782 \h </w:instrText>
          </w:r>
          <w:r>
            <w:fldChar w:fldCharType="separate"/>
          </w:r>
          <w:r>
            <w:t>13</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_Toc22608 </w:instrText>
          </w:r>
          <w:r>
            <w:rPr>
              <w:bCs/>
              <w:lang w:val="zh-CN"/>
            </w:rPr>
            <w:fldChar w:fldCharType="separate"/>
          </w:r>
          <w:r>
            <w:rPr>
              <w:rFonts w:hint="eastAsia" w:ascii="仿宋_GB2312" w:hAnsi="宋体" w:eastAsia="仿宋_GB2312"/>
              <w:kern w:val="0"/>
              <w:szCs w:val="24"/>
            </w:rPr>
            <w:t>第八章  理财产品的会计核算</w:t>
          </w:r>
          <w:r>
            <w:tab/>
          </w:r>
          <w:r>
            <w:fldChar w:fldCharType="begin"/>
          </w:r>
          <w:r>
            <w:instrText xml:space="preserve"> PAGEREF _Toc22608 \h </w:instrText>
          </w:r>
          <w:r>
            <w:fldChar w:fldCharType="separate"/>
          </w:r>
          <w:r>
            <w:t>15</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_Toc17912 </w:instrText>
          </w:r>
          <w:r>
            <w:rPr>
              <w:bCs/>
              <w:lang w:val="zh-CN"/>
            </w:rPr>
            <w:fldChar w:fldCharType="separate"/>
          </w:r>
          <w:r>
            <w:rPr>
              <w:rFonts w:hint="eastAsia" w:ascii="仿宋_GB2312" w:hAnsi="宋体" w:eastAsia="仿宋_GB2312"/>
              <w:kern w:val="0"/>
              <w:szCs w:val="24"/>
            </w:rPr>
            <w:t>第九章  理财产品托管档案的保存</w:t>
          </w:r>
          <w:r>
            <w:tab/>
          </w:r>
          <w:r>
            <w:fldChar w:fldCharType="begin"/>
          </w:r>
          <w:r>
            <w:instrText xml:space="preserve"> PAGEREF _Toc17912 \h </w:instrText>
          </w:r>
          <w:r>
            <w:fldChar w:fldCharType="separate"/>
          </w:r>
          <w:r>
            <w:t>22</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_Toc31417 </w:instrText>
          </w:r>
          <w:r>
            <w:rPr>
              <w:bCs/>
              <w:lang w:val="zh-CN"/>
            </w:rPr>
            <w:fldChar w:fldCharType="separate"/>
          </w:r>
          <w:r>
            <w:rPr>
              <w:rFonts w:hint="eastAsia" w:ascii="仿宋_GB2312" w:hAnsi="宋体" w:eastAsia="仿宋_GB2312"/>
              <w:kern w:val="0"/>
              <w:szCs w:val="24"/>
            </w:rPr>
            <w:t>第十章  理财产品托管人对理财</w:t>
          </w:r>
          <w:r>
            <w:rPr>
              <w:rFonts w:ascii="仿宋_GB2312" w:hAnsi="宋体" w:eastAsia="仿宋_GB2312"/>
              <w:kern w:val="0"/>
              <w:szCs w:val="24"/>
            </w:rPr>
            <w:t>产品</w:t>
          </w:r>
          <w:r>
            <w:rPr>
              <w:rFonts w:hint="eastAsia" w:ascii="仿宋_GB2312" w:hAnsi="宋体" w:eastAsia="仿宋_GB2312"/>
              <w:kern w:val="0"/>
              <w:szCs w:val="24"/>
            </w:rPr>
            <w:t>管理人的业务监督与核查</w:t>
          </w:r>
          <w:r>
            <w:tab/>
          </w:r>
          <w:r>
            <w:fldChar w:fldCharType="begin"/>
          </w:r>
          <w:r>
            <w:instrText xml:space="preserve"> PAGEREF _Toc31417 \h </w:instrText>
          </w:r>
          <w:r>
            <w:fldChar w:fldCharType="separate"/>
          </w:r>
          <w:r>
            <w:t>22</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_Toc9268 </w:instrText>
          </w:r>
          <w:r>
            <w:rPr>
              <w:bCs/>
              <w:lang w:val="zh-CN"/>
            </w:rPr>
            <w:fldChar w:fldCharType="separate"/>
          </w:r>
          <w:r>
            <w:rPr>
              <w:rFonts w:hint="eastAsia" w:ascii="仿宋_GB2312" w:hAnsi="宋体" w:eastAsia="仿宋_GB2312"/>
              <w:szCs w:val="24"/>
            </w:rPr>
            <w:t>第十一章  费用</w:t>
          </w:r>
          <w:r>
            <w:tab/>
          </w:r>
          <w:r>
            <w:fldChar w:fldCharType="begin"/>
          </w:r>
          <w:r>
            <w:instrText xml:space="preserve"> PAGEREF _Toc9268 \h </w:instrText>
          </w:r>
          <w:r>
            <w:fldChar w:fldCharType="separate"/>
          </w:r>
          <w:r>
            <w:t>24</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_Toc19899 </w:instrText>
          </w:r>
          <w:r>
            <w:rPr>
              <w:bCs/>
              <w:lang w:val="zh-CN"/>
            </w:rPr>
            <w:fldChar w:fldCharType="separate"/>
          </w:r>
          <w:r>
            <w:rPr>
              <w:rFonts w:hint="eastAsia" w:ascii="仿宋_GB2312" w:hAnsi="宋体" w:eastAsia="仿宋_GB2312"/>
              <w:bCs w:val="0"/>
              <w:kern w:val="2"/>
              <w:szCs w:val="24"/>
            </w:rPr>
            <w:t>第十二章  信息披露</w:t>
          </w:r>
          <w:r>
            <w:tab/>
          </w:r>
          <w:r>
            <w:fldChar w:fldCharType="begin"/>
          </w:r>
          <w:r>
            <w:instrText xml:space="preserve"> PAGEREF _Toc19899 \h </w:instrText>
          </w:r>
          <w:r>
            <w:fldChar w:fldCharType="separate"/>
          </w:r>
          <w:r>
            <w:t>25</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_Toc10161 </w:instrText>
          </w:r>
          <w:r>
            <w:rPr>
              <w:bCs/>
              <w:lang w:val="zh-CN"/>
            </w:rPr>
            <w:fldChar w:fldCharType="separate"/>
          </w:r>
          <w:r>
            <w:rPr>
              <w:rFonts w:hint="eastAsia" w:ascii="仿宋_GB2312" w:hAnsi="宋体" w:eastAsia="仿宋_GB2312"/>
              <w:szCs w:val="24"/>
            </w:rPr>
            <w:t>第十三章  理财产品变更、终止、清算与分配</w:t>
          </w:r>
          <w:r>
            <w:tab/>
          </w:r>
          <w:r>
            <w:fldChar w:fldCharType="begin"/>
          </w:r>
          <w:r>
            <w:instrText xml:space="preserve"> PAGEREF _Toc10161 \h </w:instrText>
          </w:r>
          <w:r>
            <w:fldChar w:fldCharType="separate"/>
          </w:r>
          <w:r>
            <w:t>27</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_Toc31967 </w:instrText>
          </w:r>
          <w:r>
            <w:rPr>
              <w:bCs/>
              <w:lang w:val="zh-CN"/>
            </w:rPr>
            <w:fldChar w:fldCharType="separate"/>
          </w:r>
          <w:r>
            <w:rPr>
              <w:rFonts w:hint="eastAsia" w:ascii="仿宋_GB2312" w:hAnsi="宋体" w:eastAsia="仿宋_GB2312"/>
              <w:szCs w:val="24"/>
            </w:rPr>
            <w:t>第十四章  违约责任</w:t>
          </w:r>
          <w:r>
            <w:tab/>
          </w:r>
          <w:r>
            <w:fldChar w:fldCharType="begin"/>
          </w:r>
          <w:r>
            <w:instrText xml:space="preserve"> PAGEREF _Toc31967 \h </w:instrText>
          </w:r>
          <w:r>
            <w:fldChar w:fldCharType="separate"/>
          </w:r>
          <w:r>
            <w:t>28</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_Toc24591 </w:instrText>
          </w:r>
          <w:r>
            <w:rPr>
              <w:bCs/>
              <w:lang w:val="zh-CN"/>
            </w:rPr>
            <w:fldChar w:fldCharType="separate"/>
          </w:r>
          <w:r>
            <w:rPr>
              <w:rFonts w:hint="eastAsia" w:ascii="仿宋_GB2312" w:hAnsi="宋体" w:eastAsia="仿宋_GB2312"/>
              <w:szCs w:val="24"/>
            </w:rPr>
            <w:t>第十五章  其他事项</w:t>
          </w:r>
          <w:r>
            <w:tab/>
          </w:r>
          <w:r>
            <w:fldChar w:fldCharType="begin"/>
          </w:r>
          <w:r>
            <w:instrText xml:space="preserve"> PAGEREF _Toc24591 \h </w:instrText>
          </w:r>
          <w:r>
            <w:fldChar w:fldCharType="separate"/>
          </w:r>
          <w:r>
            <w:t>29</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_Toc10884 </w:instrText>
          </w:r>
          <w:r>
            <w:rPr>
              <w:bCs/>
              <w:lang w:val="zh-CN"/>
            </w:rPr>
            <w:fldChar w:fldCharType="separate"/>
          </w:r>
          <w:r>
            <w:rPr>
              <w:rFonts w:hint="eastAsia" w:ascii="仿宋_GB2312" w:hAnsi="宋体" w:eastAsia="仿宋_GB2312"/>
            </w:rPr>
            <w:t>附件1：托管运作起始通知书（格式）</w:t>
          </w:r>
          <w:r>
            <w:tab/>
          </w:r>
          <w:r>
            <w:fldChar w:fldCharType="begin"/>
          </w:r>
          <w:r>
            <w:instrText xml:space="preserve"> PAGEREF _Toc10884 \h </w:instrText>
          </w:r>
          <w:r>
            <w:fldChar w:fldCharType="separate"/>
          </w:r>
          <w:r>
            <w:t>32</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_Toc23176 </w:instrText>
          </w:r>
          <w:r>
            <w:rPr>
              <w:bCs/>
              <w:lang w:val="zh-CN"/>
            </w:rPr>
            <w:fldChar w:fldCharType="separate"/>
          </w:r>
          <w:r>
            <w:rPr>
              <w:rFonts w:hint="eastAsia" w:ascii="仿宋_GB2312" w:hAnsi="宋体" w:eastAsia="仿宋_GB2312"/>
            </w:rPr>
            <w:t>附件2：托管专户划款指令授权书</w:t>
          </w:r>
          <w:r>
            <w:tab/>
          </w:r>
          <w:r>
            <w:fldChar w:fldCharType="begin"/>
          </w:r>
          <w:r>
            <w:instrText xml:space="preserve"> PAGEREF _Toc23176 \h </w:instrText>
          </w:r>
          <w:r>
            <w:fldChar w:fldCharType="separate"/>
          </w:r>
          <w:r>
            <w:t>33</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_Toc6658 </w:instrText>
          </w:r>
          <w:r>
            <w:rPr>
              <w:bCs/>
              <w:lang w:val="zh-CN"/>
            </w:rPr>
            <w:fldChar w:fldCharType="separate"/>
          </w:r>
          <w:r>
            <w:rPr>
              <w:rFonts w:hint="eastAsia" w:ascii="仿宋_GB2312" w:hAnsi="宋体" w:eastAsia="仿宋_GB2312"/>
            </w:rPr>
            <w:t>附件3：理财产品理财资金运用划款指令（样本）</w:t>
          </w:r>
          <w:r>
            <w:tab/>
          </w:r>
          <w:r>
            <w:fldChar w:fldCharType="begin"/>
          </w:r>
          <w:r>
            <w:instrText xml:space="preserve"> PAGEREF _Toc6658 \h </w:instrText>
          </w:r>
          <w:r>
            <w:fldChar w:fldCharType="separate"/>
          </w:r>
          <w:r>
            <w:t>34</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_Toc18470 </w:instrText>
          </w:r>
          <w:r>
            <w:rPr>
              <w:bCs/>
              <w:lang w:val="zh-CN"/>
            </w:rPr>
            <w:fldChar w:fldCharType="separate"/>
          </w:r>
          <w:r>
            <w:rPr>
              <w:rFonts w:hint="eastAsia" w:ascii="仿宋_GB2312" w:hAnsi="宋体" w:eastAsia="仿宋_GB2312"/>
            </w:rPr>
            <w:t>附件4</w:t>
          </w:r>
          <w:r>
            <w:rPr>
              <w:rFonts w:ascii="仿宋_GB2312" w:hAnsi="宋体" w:eastAsia="仿宋_GB2312"/>
            </w:rPr>
            <w:t>-1</w:t>
          </w:r>
          <w:r>
            <w:rPr>
              <w:rFonts w:hint="eastAsia" w:ascii="仿宋_GB2312" w:hAnsi="宋体" w:eastAsia="仿宋_GB2312"/>
            </w:rPr>
            <w:t>：理财</w:t>
          </w:r>
          <w:r>
            <w:rPr>
              <w:rFonts w:ascii="仿宋_GB2312" w:hAnsi="宋体" w:eastAsia="仿宋_GB2312"/>
            </w:rPr>
            <w:t>产品</w:t>
          </w:r>
          <w:r>
            <w:rPr>
              <w:rFonts w:hint="eastAsia" w:ascii="仿宋_GB2312" w:hAnsi="宋体" w:eastAsia="仿宋_GB2312"/>
            </w:rPr>
            <w:t>管理人（渤银理财有限责任公司）业务联系名册暨有关业务往来印章和具体操作人员授权书</w:t>
          </w:r>
          <w:r>
            <w:tab/>
          </w:r>
          <w:r>
            <w:fldChar w:fldCharType="begin"/>
          </w:r>
          <w:r>
            <w:instrText xml:space="preserve"> PAGEREF _Toc18470 \h </w:instrText>
          </w:r>
          <w:r>
            <w:fldChar w:fldCharType="separate"/>
          </w:r>
          <w:r>
            <w:t>35</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_Toc25566 </w:instrText>
          </w:r>
          <w:r>
            <w:rPr>
              <w:bCs/>
              <w:lang w:val="zh-CN"/>
            </w:rPr>
            <w:fldChar w:fldCharType="separate"/>
          </w:r>
          <w:r>
            <w:rPr>
              <w:rFonts w:hint="eastAsia" w:ascii="仿宋_GB2312" w:hAnsi="宋体" w:eastAsia="仿宋_GB2312"/>
            </w:rPr>
            <w:t>附件4</w:t>
          </w:r>
          <w:r>
            <w:rPr>
              <w:rFonts w:ascii="仿宋_GB2312" w:hAnsi="宋体" w:eastAsia="仿宋_GB2312"/>
            </w:rPr>
            <w:t>-2</w:t>
          </w:r>
          <w:r>
            <w:rPr>
              <w:rFonts w:hint="eastAsia" w:ascii="仿宋_GB2312" w:hAnsi="宋体" w:eastAsia="仿宋_GB2312"/>
            </w:rPr>
            <w:t>：托管人业务联系名册</w:t>
          </w:r>
          <w:r>
            <w:tab/>
          </w:r>
          <w:r>
            <w:fldChar w:fldCharType="begin"/>
          </w:r>
          <w:r>
            <w:instrText xml:space="preserve"> PAGEREF _Toc25566 \h </w:instrText>
          </w:r>
          <w:r>
            <w:fldChar w:fldCharType="separate"/>
          </w:r>
          <w:r>
            <w:t>36</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_Toc19596 </w:instrText>
          </w:r>
          <w:r>
            <w:rPr>
              <w:bCs/>
              <w:lang w:val="zh-CN"/>
            </w:rPr>
            <w:fldChar w:fldCharType="separate"/>
          </w:r>
          <w:r>
            <w:rPr>
              <w:rFonts w:hint="eastAsia" w:ascii="仿宋_GB2312" w:hAnsi="宋体" w:eastAsia="仿宋_GB2312"/>
            </w:rPr>
            <w:t>附件5：理财产品托管专户收款通知书（样本）</w:t>
          </w:r>
          <w:r>
            <w:tab/>
          </w:r>
          <w:r>
            <w:fldChar w:fldCharType="begin"/>
          </w:r>
          <w:r>
            <w:instrText xml:space="preserve"> PAGEREF _Toc19596 \h </w:instrText>
          </w:r>
          <w:r>
            <w:fldChar w:fldCharType="separate"/>
          </w:r>
          <w:r>
            <w:t>37</w:t>
          </w:r>
          <w:r>
            <w:fldChar w:fldCharType="end"/>
          </w:r>
          <w:r>
            <w:rPr>
              <w:bCs/>
              <w:lang w:val="zh-CN"/>
            </w:rPr>
            <w:fldChar w:fldCharType="end"/>
          </w:r>
        </w:p>
        <w:p>
          <w:pPr>
            <w:pStyle w:val="18"/>
            <w:tabs>
              <w:tab w:val="right" w:leader="dot" w:pos="8312"/>
              <w:tab w:val="clear" w:pos="8400"/>
            </w:tabs>
          </w:pPr>
          <w:r>
            <w:rPr>
              <w:bCs/>
              <w:lang w:val="zh-CN"/>
            </w:rPr>
            <w:fldChar w:fldCharType="begin"/>
          </w:r>
          <w:r>
            <w:rPr>
              <w:bCs/>
              <w:lang w:val="zh-CN"/>
            </w:rPr>
            <w:instrText xml:space="preserve"> HYPERLINK \l _Toc20725 </w:instrText>
          </w:r>
          <w:r>
            <w:rPr>
              <w:bCs/>
              <w:lang w:val="zh-CN"/>
            </w:rPr>
            <w:fldChar w:fldCharType="separate"/>
          </w:r>
          <w:r>
            <w:rPr>
              <w:rFonts w:hint="eastAsia" w:ascii="仿宋_GB2312" w:hAnsi="宋体" w:eastAsia="仿宋_GB2312"/>
            </w:rPr>
            <w:t>附件6：关联方名单</w:t>
          </w:r>
          <w:r>
            <w:tab/>
          </w:r>
          <w:r>
            <w:fldChar w:fldCharType="begin"/>
          </w:r>
          <w:r>
            <w:instrText xml:space="preserve"> PAGEREF _Toc20725 \h </w:instrText>
          </w:r>
          <w:r>
            <w:fldChar w:fldCharType="separate"/>
          </w:r>
          <w:r>
            <w:t>38</w:t>
          </w:r>
          <w:r>
            <w:fldChar w:fldCharType="end"/>
          </w:r>
          <w:r>
            <w:rPr>
              <w:bCs/>
              <w:lang w:val="zh-CN"/>
            </w:rPr>
            <w:fldChar w:fldCharType="end"/>
          </w:r>
        </w:p>
        <w:p>
          <w:r>
            <w:rPr>
              <w:b/>
              <w:bCs/>
              <w:lang w:val="zh-CN"/>
            </w:rPr>
            <w:fldChar w:fldCharType="end"/>
          </w:r>
        </w:p>
      </w:sdtContent>
    </w:sdt>
    <w:p>
      <w:pPr>
        <w:spacing w:line="360" w:lineRule="auto"/>
        <w:jc w:val="center"/>
        <w:rPr>
          <w:rFonts w:ascii="仿宋_GB2312" w:hAnsi="宋体" w:eastAsia="仿宋_GB2312"/>
          <w:b/>
          <w:sz w:val="24"/>
        </w:rPr>
      </w:pPr>
    </w:p>
    <w:p>
      <w:pPr>
        <w:spacing w:line="360" w:lineRule="auto"/>
        <w:rPr>
          <w:rFonts w:ascii="仿宋_GB2312" w:hAnsi="宋体" w:eastAsia="仿宋_GB2312"/>
          <w:sz w:val="24"/>
        </w:rPr>
        <w:sectPr>
          <w:headerReference r:id="rId4" w:type="first"/>
          <w:headerReference r:id="rId3" w:type="default"/>
          <w:footerReference r:id="rId5" w:type="default"/>
          <w:footerReference r:id="rId6" w:type="even"/>
          <w:pgSz w:w="11906" w:h="16838"/>
          <w:pgMar w:top="1417" w:right="1797" w:bottom="1417" w:left="1797" w:header="851" w:footer="992" w:gutter="0"/>
          <w:pgNumType w:start="0"/>
          <w:cols w:space="720" w:num="1"/>
          <w:titlePg/>
          <w:docGrid w:linePitch="312" w:charSpace="0"/>
        </w:sectPr>
      </w:pP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bookmarkStart w:id="0" w:name="_Toc135473431"/>
      <w:r>
        <w:rPr>
          <w:rFonts w:hint="eastAsia" w:ascii="仿宋_GB2312" w:hAnsi="宋体" w:eastAsia="仿宋_GB2312"/>
          <w:sz w:val="22"/>
          <w:szCs w:val="22"/>
          <w:u w:val="none"/>
        </w:rPr>
        <w:t>鉴于渤银理财有限责任公司（以下简称“甲方”）作为理财产品管理人拟设立多款理财产品</w:t>
      </w:r>
      <w:r>
        <w:rPr>
          <w:rFonts w:hint="eastAsia" w:ascii="仿宋_GB2312" w:hAnsi="宋体" w:eastAsia="仿宋_GB2312"/>
          <w:kern w:val="0"/>
          <w:sz w:val="22"/>
          <w:szCs w:val="22"/>
          <w:u w:val="none"/>
        </w:rPr>
        <w:t>，并委托</w:t>
      </w:r>
      <w:r>
        <w:rPr>
          <w:rFonts w:hint="eastAsia" w:ascii="仿宋_GB2312" w:hAnsi="宋体" w:eastAsia="仿宋_GB2312"/>
          <w:kern w:val="0"/>
          <w:sz w:val="22"/>
          <w:szCs w:val="22"/>
          <w:u w:val="none"/>
          <w:lang w:val="en-US" w:eastAsia="zh-CN"/>
        </w:rPr>
        <w:t>中信银行股份有限公司</w:t>
      </w:r>
      <w:r>
        <w:rPr>
          <w:rFonts w:hint="eastAsia" w:ascii="仿宋_GB2312" w:hAnsi="宋体" w:eastAsia="仿宋_GB2312"/>
          <w:kern w:val="0"/>
          <w:sz w:val="22"/>
          <w:szCs w:val="22"/>
        </w:rPr>
        <w:t>（以下简称“乙方”）担任该等理财产品的托管人，为明确双方的权利、义务和责任，促进甲方理财产品项下资产独立、安全、稳健运行，保障甲方理财产品投资者的合法权益，根据《关于规范金融机构资产管理业务的指导意见》（银发〔2018〕106号）、《商业银行理财业务监督管理办法》（银保监会令 2018年第6号）、《商业银行资产托管业务指引》及其他相关规定，订立本托管协议。除非本协议另有明确定义，否则本协议中涉及的理财业务专用名词的释义与法规或理财产品文件的释义相同。</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本协议项下，乙方接受甲方委托，在甲方委托范围内，办理甲方交付的相关资产的托管事宜。就该等委托托管事宜中双方当事人的权利、义务，乙方处理的委托事项及相关职责，双方协商一致，在本协议中作出约定。</w:t>
      </w:r>
    </w:p>
    <w:p>
      <w:pPr>
        <w:pStyle w:val="3"/>
        <w:pageBreakBefore w:val="0"/>
        <w:widowControl w:val="0"/>
        <w:tabs>
          <w:tab w:val="left" w:pos="0"/>
        </w:tabs>
        <w:kinsoku/>
        <w:wordWrap/>
        <w:overflowPunct/>
        <w:topLinePunct w:val="0"/>
        <w:bidi w:val="0"/>
        <w:adjustRightInd w:val="0"/>
        <w:snapToGrid w:val="0"/>
        <w:spacing w:before="0" w:after="0" w:line="360" w:lineRule="auto"/>
        <w:ind w:left="0"/>
        <w:jc w:val="center"/>
        <w:rPr>
          <w:rFonts w:ascii="仿宋_GB2312" w:hAnsi="宋体" w:eastAsia="仿宋_GB2312"/>
          <w:kern w:val="0"/>
          <w:sz w:val="22"/>
          <w:szCs w:val="40"/>
        </w:rPr>
      </w:pPr>
      <w:bookmarkStart w:id="1" w:name="_Toc10791"/>
      <w:bookmarkStart w:id="2" w:name="_Toc28091907"/>
      <w:bookmarkStart w:id="3" w:name="_Toc97719071"/>
      <w:bookmarkStart w:id="4" w:name="_Toc3615"/>
      <w:bookmarkStart w:id="5" w:name="_Toc11502"/>
      <w:bookmarkStart w:id="6" w:name="_Toc18168"/>
      <w:r>
        <w:rPr>
          <w:rFonts w:hint="eastAsia" w:ascii="仿宋_GB2312" w:hAnsi="宋体" w:eastAsia="仿宋_GB2312"/>
          <w:kern w:val="0"/>
          <w:sz w:val="22"/>
          <w:szCs w:val="40"/>
        </w:rPr>
        <w:t xml:space="preserve">第一章  </w:t>
      </w:r>
      <w:bookmarkStart w:id="7" w:name="_Toc27569703"/>
      <w:bookmarkEnd w:id="7"/>
      <w:bookmarkStart w:id="8" w:name="_Toc27569708"/>
      <w:bookmarkEnd w:id="8"/>
      <w:bookmarkStart w:id="9" w:name="_Toc27569707"/>
      <w:bookmarkEnd w:id="9"/>
      <w:bookmarkStart w:id="10" w:name="_Toc27569710"/>
      <w:bookmarkEnd w:id="10"/>
      <w:bookmarkStart w:id="11" w:name="_Toc27569702"/>
      <w:bookmarkEnd w:id="11"/>
      <w:bookmarkStart w:id="12" w:name="_Toc27569706"/>
      <w:bookmarkEnd w:id="12"/>
      <w:bookmarkStart w:id="13" w:name="_Toc27569709"/>
      <w:bookmarkEnd w:id="13"/>
      <w:bookmarkStart w:id="14" w:name="_Toc27569701"/>
      <w:bookmarkEnd w:id="14"/>
      <w:bookmarkStart w:id="15" w:name="_Toc27569704"/>
      <w:bookmarkEnd w:id="15"/>
      <w:bookmarkStart w:id="16" w:name="_Toc27569711"/>
      <w:bookmarkEnd w:id="16"/>
      <w:bookmarkStart w:id="17" w:name="_Toc27569705"/>
      <w:bookmarkEnd w:id="17"/>
      <w:bookmarkStart w:id="18" w:name="_Toc27569712"/>
      <w:bookmarkEnd w:id="18"/>
      <w:bookmarkStart w:id="19" w:name="_Toc27572648"/>
      <w:bookmarkStart w:id="20" w:name="_Toc162062286"/>
      <w:bookmarkStart w:id="21" w:name="_Toc141850056"/>
      <w:bookmarkStart w:id="22" w:name="_Toc160530122"/>
      <w:bookmarkStart w:id="23" w:name="_Toc301882193"/>
      <w:r>
        <w:rPr>
          <w:rFonts w:hint="eastAsia" w:ascii="仿宋_GB2312" w:hAnsi="宋体" w:eastAsia="仿宋_GB2312"/>
          <w:kern w:val="0"/>
          <w:sz w:val="22"/>
          <w:szCs w:val="40"/>
        </w:rPr>
        <w:t>协议当事人</w:t>
      </w:r>
      <w:bookmarkEnd w:id="0"/>
      <w:bookmarkEnd w:id="1"/>
      <w:bookmarkEnd w:id="2"/>
      <w:bookmarkEnd w:id="3"/>
      <w:bookmarkEnd w:id="4"/>
      <w:bookmarkEnd w:id="5"/>
      <w:bookmarkEnd w:id="6"/>
      <w:bookmarkEnd w:id="19"/>
      <w:bookmarkEnd w:id="20"/>
      <w:bookmarkEnd w:id="21"/>
      <w:bookmarkEnd w:id="22"/>
      <w:bookmarkEnd w:id="23"/>
    </w:p>
    <w:p>
      <w:pPr>
        <w:pageBreakBefore w:val="0"/>
        <w:widowControl w:val="0"/>
        <w:kinsoku/>
        <w:wordWrap/>
        <w:overflowPunct/>
        <w:topLinePunct w:val="0"/>
        <w:autoSpaceDE w:val="0"/>
        <w:autoSpaceDN w:val="0"/>
        <w:bidi w:val="0"/>
        <w:adjustRightInd w:val="0"/>
        <w:snapToGrid w:val="0"/>
        <w:spacing w:line="360" w:lineRule="auto"/>
        <w:ind w:left="0" w:firstLine="442" w:firstLineChars="200"/>
        <w:jc w:val="left"/>
        <w:rPr>
          <w:rFonts w:ascii="仿宋_GB2312" w:hAnsi="宋体" w:eastAsia="仿宋_GB2312"/>
          <w:b/>
          <w:kern w:val="0"/>
          <w:sz w:val="22"/>
          <w:szCs w:val="22"/>
        </w:rPr>
      </w:pPr>
      <w:r>
        <w:rPr>
          <w:rFonts w:hint="eastAsia" w:ascii="仿宋_GB2312" w:hAnsi="宋体" w:eastAsia="仿宋_GB2312"/>
          <w:b/>
          <w:kern w:val="0"/>
          <w:sz w:val="22"/>
          <w:szCs w:val="22"/>
        </w:rPr>
        <w:t>本协议由以下两方当事人签署：</w:t>
      </w:r>
    </w:p>
    <w:p>
      <w:pPr>
        <w:pageBreakBefore w:val="0"/>
        <w:widowControl w:val="0"/>
        <w:kinsoku/>
        <w:wordWrap/>
        <w:overflowPunct/>
        <w:topLinePunct w:val="0"/>
        <w:autoSpaceDE w:val="0"/>
        <w:autoSpaceDN w:val="0"/>
        <w:bidi w:val="0"/>
        <w:adjustRightInd w:val="0"/>
        <w:snapToGrid w:val="0"/>
        <w:spacing w:line="360" w:lineRule="auto"/>
        <w:ind w:left="0" w:firstLine="442" w:firstLineChars="200"/>
        <w:jc w:val="left"/>
        <w:rPr>
          <w:rFonts w:ascii="仿宋_GB2312" w:hAnsi="宋体" w:eastAsia="仿宋_GB2312"/>
          <w:b/>
          <w:kern w:val="0"/>
          <w:sz w:val="22"/>
          <w:szCs w:val="22"/>
        </w:rPr>
      </w:pPr>
      <w:r>
        <w:rPr>
          <w:rFonts w:hint="eastAsia" w:ascii="仿宋_GB2312" w:hAnsi="宋体" w:eastAsia="仿宋_GB2312"/>
          <w:b/>
          <w:kern w:val="0"/>
          <w:sz w:val="22"/>
          <w:szCs w:val="22"/>
        </w:rPr>
        <w:t>（一）理财产品管理人（甲方）：</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名称：渤银理财有限责任公司</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地址：天津市河东区八纬路219号中建中心6层局部和8-10层</w:t>
      </w:r>
      <w:r>
        <w:rPr>
          <w:rFonts w:ascii="仿宋_GB2312" w:hAnsi="宋体" w:eastAsia="仿宋_GB2312"/>
          <w:kern w:val="0"/>
          <w:sz w:val="22"/>
          <w:szCs w:val="22"/>
        </w:rPr>
        <w:t xml:space="preserve"> </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法定代表人：</w:t>
      </w:r>
      <w:r>
        <w:rPr>
          <w:rFonts w:hint="eastAsia" w:ascii="仿宋_GB2312" w:hAnsi="宋体" w:eastAsia="仿宋_GB2312"/>
          <w:kern w:val="0"/>
          <w:sz w:val="22"/>
          <w:szCs w:val="22"/>
          <w:lang w:eastAsia="zh-CN"/>
        </w:rPr>
        <w:t>金韬</w:t>
      </w:r>
      <w:r>
        <w:rPr>
          <w:rFonts w:hint="eastAsia" w:ascii="仿宋_GB2312" w:hAnsi="宋体" w:eastAsia="仿宋_GB2312"/>
          <w:kern w:val="0"/>
          <w:sz w:val="22"/>
          <w:szCs w:val="22"/>
        </w:rPr>
        <w:t xml:space="preserve"> </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联系人：刘鹏</w:t>
      </w:r>
    </w:p>
    <w:p>
      <w:pPr>
        <w:pageBreakBefore w:val="0"/>
        <w:widowControl w:val="0"/>
        <w:kinsoku/>
        <w:wordWrap/>
        <w:overflowPunct/>
        <w:topLinePunct w:val="0"/>
        <w:bidi w:val="0"/>
        <w:adjustRightInd w:val="0"/>
        <w:snapToGrid w:val="0"/>
        <w:spacing w:line="360" w:lineRule="auto"/>
        <w:ind w:left="0" w:firstLine="440" w:firstLineChars="200"/>
        <w:rPr>
          <w:rFonts w:ascii="仿宋_GB2312" w:hAnsi="宋体" w:eastAsia="仿宋_GB2312" w:cs="宋体"/>
          <w:sz w:val="22"/>
          <w:szCs w:val="22"/>
        </w:rPr>
      </w:pPr>
      <w:r>
        <w:rPr>
          <w:rFonts w:hint="eastAsia" w:ascii="仿宋_GB2312" w:hAnsi="宋体" w:eastAsia="仿宋_GB2312"/>
          <w:kern w:val="0"/>
          <w:sz w:val="22"/>
          <w:szCs w:val="22"/>
        </w:rPr>
        <w:t>联系电话：022-58065006</w:t>
      </w:r>
    </w:p>
    <w:p>
      <w:pPr>
        <w:pageBreakBefore w:val="0"/>
        <w:widowControl w:val="0"/>
        <w:kinsoku/>
        <w:wordWrap/>
        <w:overflowPunct/>
        <w:topLinePunct w:val="0"/>
        <w:bidi w:val="0"/>
        <w:adjustRightInd w:val="0"/>
        <w:snapToGrid w:val="0"/>
        <w:spacing w:line="360" w:lineRule="auto"/>
        <w:ind w:left="0" w:firstLine="440" w:firstLineChars="200"/>
        <w:rPr>
          <w:rFonts w:ascii="仿宋_GB2312" w:hAnsi="宋体" w:eastAsia="仿宋_GB2312"/>
          <w:kern w:val="0"/>
          <w:sz w:val="22"/>
          <w:szCs w:val="22"/>
        </w:rPr>
      </w:pPr>
    </w:p>
    <w:p>
      <w:pPr>
        <w:pageBreakBefore w:val="0"/>
        <w:widowControl w:val="0"/>
        <w:kinsoku/>
        <w:wordWrap/>
        <w:overflowPunct/>
        <w:topLinePunct w:val="0"/>
        <w:autoSpaceDE w:val="0"/>
        <w:autoSpaceDN w:val="0"/>
        <w:bidi w:val="0"/>
        <w:adjustRightInd w:val="0"/>
        <w:snapToGrid w:val="0"/>
        <w:spacing w:line="360" w:lineRule="auto"/>
        <w:ind w:left="0" w:firstLine="442" w:firstLineChars="200"/>
        <w:jc w:val="left"/>
        <w:rPr>
          <w:rFonts w:ascii="仿宋_GB2312" w:hAnsi="宋体" w:eastAsia="仿宋_GB2312"/>
          <w:b/>
          <w:kern w:val="0"/>
          <w:sz w:val="22"/>
          <w:szCs w:val="22"/>
        </w:rPr>
      </w:pPr>
      <w:r>
        <w:rPr>
          <w:rFonts w:hint="eastAsia" w:ascii="仿宋_GB2312" w:hAnsi="宋体" w:eastAsia="仿宋_GB2312"/>
          <w:b/>
          <w:kern w:val="0"/>
          <w:sz w:val="22"/>
          <w:szCs w:val="22"/>
        </w:rPr>
        <w:t>（二）理财产品托管人（乙方）：</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ascii="仿宋_GB2312" w:hAnsi="宋体" w:eastAsia="仿宋_GB2312"/>
          <w:kern w:val="0"/>
          <w:sz w:val="22"/>
          <w:szCs w:val="22"/>
        </w:rPr>
      </w:pPr>
      <w:r>
        <w:rPr>
          <w:rFonts w:hint="eastAsia" w:ascii="仿宋_GB2312" w:hAnsi="宋体" w:eastAsia="仿宋_GB2312"/>
          <w:kern w:val="0"/>
          <w:sz w:val="22"/>
          <w:szCs w:val="22"/>
        </w:rPr>
        <w:t>名称：</w:t>
      </w:r>
      <w:r>
        <w:rPr>
          <w:rFonts w:hint="eastAsia" w:ascii="仿宋_GB2312" w:hAnsi="宋体" w:eastAsia="仿宋_GB2312"/>
          <w:kern w:val="0"/>
          <w:sz w:val="22"/>
          <w:szCs w:val="22"/>
          <w:lang w:val="en-US" w:eastAsia="zh-CN"/>
        </w:rPr>
        <w:t>中信银行股份有限公司</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hint="default" w:ascii="仿宋_GB2312" w:hAnsi="宋体" w:eastAsia="仿宋_GB2312"/>
          <w:kern w:val="0"/>
          <w:sz w:val="22"/>
          <w:szCs w:val="22"/>
          <w:lang w:val="en-US" w:eastAsia="zh-CN"/>
        </w:rPr>
      </w:pPr>
      <w:r>
        <w:rPr>
          <w:rFonts w:hint="eastAsia" w:ascii="仿宋_GB2312" w:hAnsi="宋体" w:eastAsia="仿宋_GB2312"/>
          <w:kern w:val="0"/>
          <w:sz w:val="22"/>
          <w:szCs w:val="22"/>
        </w:rPr>
        <w:t>地址：</w:t>
      </w:r>
      <w:r>
        <w:rPr>
          <w:rFonts w:hint="eastAsia" w:ascii="仿宋_GB2312" w:hAnsi="宋体" w:eastAsia="仿宋_GB2312"/>
          <w:kern w:val="0"/>
          <w:sz w:val="22"/>
          <w:szCs w:val="22"/>
          <w:lang w:eastAsia="zh-CN"/>
        </w:rPr>
        <w:t>北京市朝阳区光华路</w:t>
      </w:r>
      <w:r>
        <w:rPr>
          <w:rFonts w:hint="eastAsia" w:ascii="仿宋_GB2312" w:hAnsi="宋体" w:eastAsia="仿宋_GB2312"/>
          <w:kern w:val="0"/>
          <w:sz w:val="22"/>
          <w:szCs w:val="22"/>
          <w:lang w:val="en-US" w:eastAsia="zh-CN"/>
        </w:rPr>
        <w:t>10号</w:t>
      </w:r>
      <w:r>
        <w:rPr>
          <w:rFonts w:hint="eastAsia" w:ascii="仿宋_GB2312" w:hAnsi="宋体" w:eastAsia="仿宋_GB2312"/>
          <w:kern w:val="0"/>
          <w:sz w:val="22"/>
          <w:szCs w:val="22"/>
        </w:rPr>
        <w:t xml:space="preserve"> </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hint="default" w:ascii="仿宋_GB2312" w:hAnsi="宋体" w:eastAsia="仿宋_GB2312"/>
          <w:kern w:val="0"/>
          <w:sz w:val="22"/>
          <w:szCs w:val="22"/>
          <w:lang w:val="en-US" w:eastAsia="zh-CN"/>
        </w:rPr>
      </w:pPr>
      <w:r>
        <w:rPr>
          <w:rFonts w:hint="eastAsia" w:ascii="仿宋_GB2312" w:hAnsi="宋体" w:eastAsia="仿宋_GB2312"/>
          <w:kern w:val="0"/>
          <w:sz w:val="22"/>
          <w:szCs w:val="22"/>
        </w:rPr>
        <w:t>法定代表人/负责人：</w:t>
      </w:r>
      <w:r>
        <w:rPr>
          <w:rFonts w:hint="eastAsia" w:ascii="仿宋_GB2312" w:hAnsi="宋体" w:eastAsia="仿宋_GB2312"/>
          <w:kern w:val="0"/>
          <w:sz w:val="22"/>
          <w:szCs w:val="22"/>
          <w:lang w:eastAsia="zh-CN"/>
        </w:rPr>
        <w:t>方合英</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hint="eastAsia" w:ascii="仿宋_GB2312" w:hAnsi="宋体" w:eastAsia="仿宋_GB2312"/>
          <w:kern w:val="0"/>
          <w:sz w:val="22"/>
          <w:szCs w:val="22"/>
          <w:lang w:eastAsia="zh-CN"/>
        </w:rPr>
      </w:pPr>
      <w:r>
        <w:rPr>
          <w:rFonts w:hint="eastAsia" w:ascii="仿宋_GB2312" w:hAnsi="宋体" w:eastAsia="仿宋_GB2312"/>
          <w:sz w:val="22"/>
          <w:szCs w:val="22"/>
        </w:rPr>
        <w:t>联系人：</w:t>
      </w:r>
      <w:r>
        <w:rPr>
          <w:rFonts w:hint="eastAsia" w:ascii="仿宋_GB2312" w:hAnsi="宋体" w:eastAsia="仿宋_GB2312"/>
          <w:sz w:val="22"/>
          <w:szCs w:val="22"/>
          <w:lang w:eastAsia="zh-CN"/>
        </w:rPr>
        <w:t>孙能浩</w:t>
      </w:r>
      <w:r>
        <w:rPr>
          <w:rFonts w:hint="eastAsia" w:ascii="仿宋" w:hAnsi="仿宋" w:eastAsia="仿宋"/>
          <w:sz w:val="22"/>
          <w:szCs w:val="22"/>
        </w:rPr>
        <w:t xml:space="preserve"> </w:t>
      </w:r>
    </w:p>
    <w:p>
      <w:pPr>
        <w:pageBreakBefore w:val="0"/>
        <w:widowControl w:val="0"/>
        <w:kinsoku/>
        <w:wordWrap/>
        <w:overflowPunct/>
        <w:topLinePunct w:val="0"/>
        <w:autoSpaceDE w:val="0"/>
        <w:autoSpaceDN w:val="0"/>
        <w:bidi w:val="0"/>
        <w:adjustRightInd w:val="0"/>
        <w:snapToGrid w:val="0"/>
        <w:spacing w:line="360" w:lineRule="auto"/>
        <w:ind w:left="0" w:firstLine="440" w:firstLineChars="200"/>
        <w:jc w:val="left"/>
        <w:rPr>
          <w:rFonts w:hint="default" w:ascii="仿宋_GB2312" w:hAnsi="宋体" w:eastAsia="仿宋_GB2312"/>
          <w:sz w:val="22"/>
          <w:szCs w:val="22"/>
          <w:lang w:val="en-US" w:eastAsia="zh-CN"/>
        </w:rPr>
      </w:pPr>
      <w:r>
        <w:rPr>
          <w:rFonts w:hint="eastAsia" w:ascii="仿宋_GB2312" w:hAnsi="宋体" w:eastAsia="仿宋_GB2312"/>
          <w:sz w:val="22"/>
          <w:szCs w:val="22"/>
        </w:rPr>
        <w:t>联系电话：</w:t>
      </w:r>
      <w:r>
        <w:rPr>
          <w:rFonts w:hint="eastAsia" w:ascii="仿宋_GB2312" w:hAnsi="宋体" w:eastAsia="仿宋_GB2312"/>
          <w:sz w:val="22"/>
          <w:szCs w:val="22"/>
          <w:lang w:val="en-US" w:eastAsia="zh-CN"/>
        </w:rPr>
        <w:t>010-66636346</w:t>
      </w:r>
    </w:p>
    <w:p>
      <w:pPr>
        <w:pStyle w:val="3"/>
        <w:pageBreakBefore w:val="0"/>
        <w:widowControl w:val="0"/>
        <w:tabs>
          <w:tab w:val="left" w:pos="0"/>
        </w:tabs>
        <w:kinsoku/>
        <w:wordWrap/>
        <w:overflowPunct/>
        <w:topLinePunct w:val="0"/>
        <w:bidi w:val="0"/>
        <w:adjustRightInd w:val="0"/>
        <w:snapToGrid w:val="0"/>
        <w:spacing w:before="0" w:after="0" w:line="329" w:lineRule="auto"/>
        <w:ind w:left="0" w:firstLine="883" w:firstLineChars="200"/>
        <w:jc w:val="center"/>
        <w:rPr>
          <w:sz w:val="44"/>
          <w:szCs w:val="44"/>
        </w:rPr>
      </w:pPr>
      <w:r>
        <w:rPr>
          <w:rFonts w:hint="eastAsia"/>
          <w:kern w:val="0"/>
        </w:rPr>
        <w:br w:type="page"/>
      </w:r>
      <w:bookmarkStart w:id="24" w:name="_Toc160530124"/>
      <w:bookmarkStart w:id="25" w:name="_Toc4534"/>
      <w:bookmarkStart w:id="26" w:name="_Toc6390"/>
      <w:bookmarkStart w:id="27" w:name="_Toc162062287"/>
      <w:bookmarkStart w:id="28" w:name="_Toc28091908"/>
      <w:bookmarkStart w:id="29" w:name="_Toc24980"/>
      <w:bookmarkStart w:id="30" w:name="_Toc301882194"/>
      <w:bookmarkStart w:id="31" w:name="_Toc97719072"/>
      <w:bookmarkStart w:id="32" w:name="_Toc10688"/>
      <w:r>
        <w:rPr>
          <w:rFonts w:hint="eastAsia" w:ascii="仿宋_GB2312" w:hAnsi="宋体" w:eastAsia="仿宋_GB2312"/>
          <w:kern w:val="0"/>
          <w:sz w:val="24"/>
          <w:szCs w:val="44"/>
        </w:rPr>
        <w:t>第二章</w:t>
      </w:r>
      <w:r>
        <w:rPr>
          <w:rFonts w:ascii="仿宋_GB2312" w:hAnsi="宋体" w:eastAsia="仿宋_GB2312"/>
          <w:kern w:val="0"/>
          <w:sz w:val="24"/>
          <w:szCs w:val="44"/>
        </w:rPr>
        <w:t xml:space="preserve">  </w:t>
      </w:r>
      <w:r>
        <w:rPr>
          <w:rFonts w:hint="eastAsia" w:ascii="仿宋_GB2312" w:hAnsi="宋体" w:eastAsia="仿宋_GB2312"/>
          <w:kern w:val="0"/>
          <w:sz w:val="24"/>
          <w:szCs w:val="44"/>
        </w:rPr>
        <w:t>当事人的权利与义务</w:t>
      </w:r>
      <w:bookmarkEnd w:id="24"/>
      <w:bookmarkEnd w:id="25"/>
      <w:bookmarkEnd w:id="26"/>
      <w:bookmarkEnd w:id="27"/>
      <w:bookmarkEnd w:id="28"/>
      <w:bookmarkEnd w:id="29"/>
      <w:bookmarkEnd w:id="30"/>
      <w:bookmarkEnd w:id="31"/>
      <w:bookmarkEnd w:id="32"/>
    </w:p>
    <w:p>
      <w:pPr>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rPr>
          <w:rFonts w:ascii="仿宋_GB2312" w:hAnsi="宋体" w:eastAsia="仿宋_GB2312"/>
          <w:b/>
          <w:kern w:val="0"/>
          <w:sz w:val="24"/>
          <w:szCs w:val="24"/>
        </w:rPr>
      </w:pPr>
      <w:r>
        <w:rPr>
          <w:rFonts w:hint="eastAsia" w:ascii="仿宋_GB2312" w:hAnsi="宋体" w:eastAsia="仿宋_GB2312"/>
          <w:b/>
          <w:kern w:val="0"/>
          <w:sz w:val="24"/>
          <w:szCs w:val="24"/>
        </w:rPr>
        <w:t>2.1 甲方的权利与义务</w:t>
      </w:r>
    </w:p>
    <w:p>
      <w:pPr>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rPr>
          <w:rFonts w:ascii="仿宋_GB2312" w:hAnsi="宋体" w:eastAsia="仿宋_GB2312"/>
          <w:b/>
          <w:kern w:val="0"/>
          <w:sz w:val="24"/>
          <w:szCs w:val="24"/>
        </w:rPr>
      </w:pPr>
      <w:r>
        <w:rPr>
          <w:rFonts w:hint="eastAsia" w:ascii="仿宋_GB2312" w:hAnsi="宋体" w:eastAsia="仿宋_GB2312"/>
          <w:b/>
          <w:kern w:val="0"/>
          <w:sz w:val="24"/>
          <w:szCs w:val="24"/>
        </w:rPr>
        <w:t xml:space="preserve">2.1.1 甲方的权利： </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（1）根据理财产品相关文件和本协议的有关约定，对理财产品进行管理、运用、处置和分配；</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（2）根据本协议的有关规定向乙方发出理财产品的理财资金运用划款指令；</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（3）法律法规规定的其他权利。</w:t>
      </w:r>
    </w:p>
    <w:p>
      <w:pPr>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rPr>
          <w:rFonts w:ascii="仿宋_GB2312" w:hAnsi="宋体" w:eastAsia="仿宋_GB2312"/>
          <w:b/>
          <w:kern w:val="0"/>
          <w:sz w:val="24"/>
          <w:szCs w:val="24"/>
        </w:rPr>
      </w:pPr>
      <w:r>
        <w:rPr>
          <w:rFonts w:hint="eastAsia" w:ascii="仿宋_GB2312" w:hAnsi="宋体" w:eastAsia="仿宋_GB2312"/>
          <w:b/>
          <w:kern w:val="0"/>
          <w:sz w:val="24"/>
          <w:szCs w:val="24"/>
        </w:rPr>
        <w:t>2.1.2甲方的义务：</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（1）依法募集资金，办理理财产品份额的发售和登记事宜。</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（2）办理理财产品登记备案或者注册手续。</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3）应当确保每只理财产品与所投资资产相对应，做到每只理财产品单独管理、单独建账和单独核算，不得开展或者参与具有滚动发行、集合运作、分离定价特征的资金池理财业务，单独管理是指对每只理财产品进行独立的投资管理。单独建账是指为每只理财产品建立投资明细账，确保投资资产逐项清晰明确。单独核算是指对每只理财产品单独进行会计账务处理，确保每只理财产品具有资产负债表、利润表、产品净值变动表等财务会计报表。</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（4）应当按照《企业会计准则》和《指导意见》等关于金融工具估值核算的相关规定，确认和计量理财产品的净值。</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（5）应当按照《商业银行理财子公司</w:t>
      </w:r>
      <w:r>
        <w:rPr>
          <w:rFonts w:ascii="仿宋_GB2312" w:hAnsi="宋体" w:eastAsia="仿宋_GB2312"/>
          <w:kern w:val="0"/>
          <w:sz w:val="24"/>
          <w:szCs w:val="24"/>
        </w:rPr>
        <w:t>净</w:t>
      </w:r>
      <w:r>
        <w:rPr>
          <w:rFonts w:hint="eastAsia" w:ascii="仿宋_GB2312" w:hAnsi="宋体" w:eastAsia="仿宋_GB2312"/>
          <w:kern w:val="0"/>
          <w:sz w:val="24"/>
          <w:szCs w:val="24"/>
        </w:rPr>
        <w:t xml:space="preserve">资本管理办法（试行）》的相关规定计提风险资本。 </w:t>
      </w:r>
      <w:r>
        <w:rPr>
          <w:rFonts w:ascii="仿宋_GB2312" w:hAnsi="宋体" w:eastAsia="仿宋_GB2312"/>
          <w:kern w:val="0"/>
          <w:sz w:val="24"/>
          <w:szCs w:val="24"/>
        </w:rPr>
        <w:t xml:space="preserve"> </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（6）按照理财产品销售文件的约定，</w:t>
      </w:r>
      <w:r>
        <w:rPr>
          <w:rFonts w:hint="eastAsia" w:ascii="仿宋_GB2312" w:hAnsi="宋体" w:eastAsia="仿宋_GB2312"/>
          <w:kern w:val="0"/>
          <w:sz w:val="24"/>
          <w:szCs w:val="21"/>
        </w:rPr>
        <w:t>确定收益分配方案，及时向投资者分配收益(如有)。</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（7）进行理财产品会计核算并编制理财产品财务会计报告。</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（8）依法计算并披露理财产品净值或者投资收益情况，确定申购、赎回价格（申购与赎回适用于开放式理财产品）。</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（9）按照法律法规、国务院银行业监督管理机构的规定及理财文件的约定办理与理财产品管理业务活动有关的信息披露事项。</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（10）保存理财产品财产管理业务活动的记录、账册、报表和其他相关资料。</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（11）以管理人名义，代表投资者利益行使诉讼权利或者实施其他法律行为。</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（12）在兑付理财产品资金及收益时，甲方应当保证理财产品资金及收益返回委托人的原账户、同名账户或者合同约定的受益人账户。</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（13）协助乙方为甲方理财产品开立托管所需的资金账户以及相关的资产账户。</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（14）按照本协议规定将理财资金或资产移交乙方托管。</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（15）按本协议规定方式和程序向乙方发出理财资金运用划款指令。</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（16）发生任何可能导致理财产品业务性质或投资范围发生重大变化或直接影响托管业务的重大事项时，须提前通知乙方。</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（17）根据国家有关规定和本协议的规定接受乙方的监督。</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18）甲方根据相关法律法规和授权文件，委托第三方服务机构为其提供估值核算服务。对于该服务机构在授权范围内实施的行为，甲方不得否认其效力，该等行为产生的法律后果由甲方承担。理财产品投资运作管理过程中，甲方应确保该服务机构按本协议履行相关职责义务，乙方不承担因该服务机构违反本协议约定所导致的风险和损失。如乙方与该服务机构无法达成一致的，乙方有权通知甲方，并执行甲方的意见，乙方不承担由此产生的延迟履行导致的风险或损失。</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19）甲方理财产品投资于本公司或托管机构，其主要股东、控股股东、实际控制人、一致行动人、最终受益人，其控股的机构或者与其有重大利害关系的公司发行或者承销的证券，或者从事其他重大关联交易的，应当符合理财产品的投资目标、投资策略和投资者利益优先原则，按照商业原则，以不优于对非关联方同类交易的条件进行，并向投资者充分披露信息。甲方应当按照金融监督管理部门关于关联交易的相关规定，建立健全理财业务关联交易内部评估和审批机制。理财业务涉及重大关联交易的，应当提交有权审批机构审批，并向银行业监督管理机构报告。甲方不得以理财资金与关联方进行不正当交易、利益输送、内幕交易和操纵市场，包括但不限于投资于关联方虚假项目、与关联方共同收购上市公司、向本公司注资等。</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ascii="仿宋_GB2312" w:hAnsi="宋体" w:eastAsia="仿宋_GB2312"/>
          <w:kern w:val="0"/>
          <w:sz w:val="24"/>
          <w:szCs w:val="24"/>
        </w:rPr>
      </w:pPr>
      <w:r>
        <w:rPr>
          <w:rFonts w:hint="eastAsia" w:ascii="仿宋_GB2312" w:hAnsi="宋体" w:eastAsia="仿宋_GB2312"/>
          <w:kern w:val="0"/>
          <w:sz w:val="24"/>
          <w:szCs w:val="24"/>
        </w:rPr>
        <w:t>（</w:t>
      </w:r>
      <w:r>
        <w:rPr>
          <w:rFonts w:ascii="仿宋_GB2312" w:hAnsi="宋体" w:eastAsia="仿宋_GB2312"/>
          <w:kern w:val="0"/>
          <w:sz w:val="24"/>
          <w:szCs w:val="24"/>
        </w:rPr>
        <w:t>2</w:t>
      </w:r>
      <w:r>
        <w:rPr>
          <w:rFonts w:hint="eastAsia" w:ascii="仿宋_GB2312" w:hAnsi="宋体" w:eastAsia="仿宋_GB2312"/>
          <w:kern w:val="0"/>
          <w:sz w:val="24"/>
          <w:szCs w:val="24"/>
        </w:rPr>
        <w:t>1）除必要的信息披露及监管要求外，甲方不得以乙方的名义进行营销宣传。</w:t>
      </w:r>
    </w:p>
    <w:p>
      <w:pPr>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rPr>
          <w:rFonts w:hint="eastAsia" w:ascii="仿宋_GB2312" w:hAnsi="宋体" w:eastAsia="仿宋_GB2312"/>
          <w:kern w:val="0"/>
          <w:sz w:val="24"/>
          <w:szCs w:val="24"/>
        </w:rPr>
      </w:pPr>
      <w:r>
        <w:rPr>
          <w:rFonts w:ascii="仿宋_GB2312" w:hAnsi="宋体" w:eastAsia="仿宋_GB2312"/>
          <w:sz w:val="24"/>
          <w:szCs w:val="24"/>
        </w:rPr>
        <w:t>（22）应按照反洗钱法律法规要求，建立反洗钱内部控制制度，落实客户身份识别、客户及交易尽职调查、客户身份资料和交易记录保存、可疑交易监控和</w:t>
      </w:r>
      <w:r>
        <w:rPr>
          <w:rFonts w:hint="eastAsia" w:ascii="仿宋_GB2312" w:hAnsi="宋体" w:eastAsia="仿宋_GB2312"/>
          <w:kern w:val="0"/>
          <w:sz w:val="24"/>
          <w:szCs w:val="24"/>
        </w:rPr>
        <w:t>报告、名单监控等反洗钱义务，并为乙方履行反洗钱义务提供必要协助。就甲方发行或管理的产品，甲方应按照监管要求开展产品尽职调查和受益所有人识别，登记客户身份基本信息</w:t>
      </w:r>
      <w:r>
        <w:rPr>
          <w:rFonts w:hint="eastAsia" w:ascii="仿宋_GB2312" w:hAnsi="宋体" w:eastAsia="仿宋_GB2312"/>
          <w:kern w:val="0"/>
          <w:sz w:val="24"/>
          <w:szCs w:val="24"/>
          <w:lang w:eastAsia="zh-CN"/>
        </w:rPr>
        <w:t>，</w:t>
      </w:r>
      <w:r>
        <w:rPr>
          <w:rFonts w:hint="eastAsia" w:ascii="仿宋_GB2312" w:hAnsi="宋体" w:eastAsia="仿宋_GB2312"/>
          <w:kern w:val="0"/>
          <w:sz w:val="24"/>
          <w:szCs w:val="24"/>
        </w:rPr>
        <w:t xml:space="preserve">并及时向乙方提供产品及其受益所有人信息、产品受益所有人的身份证明文件以及其他相关资料的复印件和影印件。如产品的受益所有人发生变化，甲方应及时通知乙方，并提供变更后的产品受益所有人信息及其身份证明文件。甲方应确保所管理资金来源及用途合规，不涉及洗钱、恐怖融资、制裁违规等违法违规行为。 </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hint="eastAsia" w:ascii="仿宋_GB2312" w:hAnsi="宋体" w:eastAsia="仿宋_GB2312"/>
          <w:kern w:val="0"/>
          <w:sz w:val="24"/>
          <w:szCs w:val="24"/>
        </w:rPr>
      </w:pPr>
      <w:r>
        <w:rPr>
          <w:rFonts w:hint="eastAsia" w:ascii="仿宋_GB2312" w:hAnsi="宋体" w:eastAsia="仿宋_GB2312"/>
          <w:kern w:val="0"/>
          <w:sz w:val="24"/>
          <w:szCs w:val="24"/>
        </w:rPr>
        <w:t>（23）法律法规规定及国务院银行业监督管理机构规定的其他义务。</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textAlignment w:val="auto"/>
        <w:rPr>
          <w:rFonts w:ascii="仿宋_GB2312" w:hAnsi="宋体" w:eastAsia="仿宋_GB2312"/>
          <w:b/>
          <w:kern w:val="0"/>
          <w:sz w:val="24"/>
          <w:szCs w:val="24"/>
        </w:rPr>
      </w:pPr>
      <w:r>
        <w:rPr>
          <w:rFonts w:hint="eastAsia" w:ascii="仿宋_GB2312" w:hAnsi="宋体" w:eastAsia="仿宋_GB2312"/>
          <w:b/>
          <w:kern w:val="0"/>
          <w:sz w:val="24"/>
          <w:szCs w:val="24"/>
        </w:rPr>
        <w:t>2.2 乙方的权利和义务</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textAlignment w:val="auto"/>
        <w:rPr>
          <w:rFonts w:ascii="仿宋_GB2312" w:hAnsi="宋体" w:eastAsia="仿宋_GB2312"/>
          <w:b/>
          <w:kern w:val="0"/>
          <w:sz w:val="24"/>
          <w:szCs w:val="24"/>
        </w:rPr>
      </w:pPr>
      <w:r>
        <w:rPr>
          <w:rFonts w:hint="eastAsia" w:ascii="仿宋_GB2312" w:hAnsi="宋体" w:eastAsia="仿宋_GB2312"/>
          <w:b/>
          <w:kern w:val="0"/>
          <w:sz w:val="24"/>
          <w:szCs w:val="24"/>
        </w:rPr>
        <w:t>2.2.1乙方的权利：</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（1）根据本协议之约定，行使对各项理财产品资产的托管；</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（2）按照本协议的约定及时、足额地收取托管费；</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 xml:space="preserve">（3）根据法律法规的规定和本协议的约定，对甲方的相关业务实施监督与核查。 </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w:t>
      </w:r>
      <w:r>
        <w:rPr>
          <w:rFonts w:hint="eastAsia" w:ascii="仿宋_GB2312" w:hAnsi="宋体" w:eastAsia="仿宋_GB2312"/>
          <w:kern w:val="0"/>
          <w:sz w:val="24"/>
          <w:szCs w:val="24"/>
          <w:lang w:val="en-US" w:eastAsia="zh-CN"/>
        </w:rPr>
        <w:t>4</w:t>
      </w:r>
      <w:r>
        <w:rPr>
          <w:rFonts w:hint="eastAsia" w:ascii="仿宋_GB2312" w:hAnsi="宋体" w:eastAsia="仿宋_GB2312"/>
          <w:kern w:val="0"/>
          <w:sz w:val="24"/>
          <w:szCs w:val="24"/>
        </w:rPr>
        <w:t>）法律法规规定和本协议约定的其他权利。</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textAlignment w:val="auto"/>
        <w:rPr>
          <w:rFonts w:ascii="仿宋_GB2312" w:hAnsi="宋体" w:eastAsia="仿宋_GB2312"/>
          <w:b/>
          <w:kern w:val="0"/>
          <w:sz w:val="24"/>
          <w:szCs w:val="24"/>
        </w:rPr>
      </w:pPr>
      <w:r>
        <w:rPr>
          <w:rFonts w:hint="eastAsia" w:ascii="仿宋_GB2312" w:hAnsi="宋体" w:eastAsia="仿宋_GB2312"/>
          <w:b/>
          <w:kern w:val="0"/>
          <w:sz w:val="24"/>
          <w:szCs w:val="24"/>
        </w:rPr>
        <w:t>2.2.2乙方的义务：</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（1）按本协议的约定，安全保管理财产品财产；</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（2）为每只理财产品开设独立的托管账户，不同托管账户中的资产应当相互独立；</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（3）按照托管协议约定和</w:t>
      </w:r>
      <w:r>
        <w:rPr>
          <w:rFonts w:hint="eastAsia" w:ascii="仿宋_GB2312" w:hAnsi="宋体" w:eastAsia="仿宋_GB2312"/>
          <w:kern w:val="0"/>
          <w:sz w:val="24"/>
          <w:szCs w:val="24"/>
          <w:lang w:eastAsia="zh-CN"/>
        </w:rPr>
        <w:t>甲方</w:t>
      </w:r>
      <w:r>
        <w:rPr>
          <w:rFonts w:hint="eastAsia" w:ascii="仿宋_GB2312" w:hAnsi="宋体" w:eastAsia="仿宋_GB2312"/>
          <w:kern w:val="0"/>
          <w:sz w:val="24"/>
          <w:szCs w:val="24"/>
        </w:rPr>
        <w:t>的划款指令，及时办理清算、交割事宜；</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（4）建立与</w:t>
      </w:r>
      <w:r>
        <w:rPr>
          <w:rFonts w:hint="eastAsia" w:ascii="仿宋_GB2312" w:hAnsi="宋体" w:eastAsia="仿宋_GB2312"/>
          <w:kern w:val="0"/>
          <w:sz w:val="24"/>
          <w:szCs w:val="24"/>
          <w:lang w:eastAsia="zh-CN"/>
        </w:rPr>
        <w:t>甲方</w:t>
      </w:r>
      <w:r>
        <w:rPr>
          <w:rFonts w:hint="eastAsia" w:ascii="仿宋_GB2312" w:hAnsi="宋体" w:eastAsia="仿宋_GB2312"/>
          <w:kern w:val="0"/>
          <w:sz w:val="24"/>
          <w:szCs w:val="24"/>
        </w:rPr>
        <w:t>的对账机制，复核、审查理财产品资金头寸、资产账目、资产净值、认购和赎回价格等数据，及时核查认购、赎回以及投资资金的支付和到账情况；</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（5）监督理财产品投资运作，发现理财产品违反法律、行政法规、规章规定或合同约定进行投资的，应当拒绝执行，及时通知理财产品管理人并</w:t>
      </w:r>
      <w:r>
        <w:rPr>
          <w:rFonts w:hint="eastAsia" w:ascii="仿宋_GB2312" w:hAnsi="宋体" w:eastAsia="仿宋_GB2312"/>
          <w:kern w:val="0"/>
          <w:sz w:val="24"/>
          <w:szCs w:val="24"/>
          <w:lang w:val="en-US" w:eastAsia="zh-CN"/>
        </w:rPr>
        <w:t>有权</w:t>
      </w:r>
      <w:r>
        <w:rPr>
          <w:rFonts w:hint="eastAsia" w:ascii="仿宋_GB2312" w:hAnsi="宋体" w:eastAsia="仿宋_GB2312"/>
          <w:kern w:val="0"/>
          <w:sz w:val="24"/>
          <w:szCs w:val="24"/>
        </w:rPr>
        <w:t>报告银行业监督管理机构；</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（7）保存理财产品托管业务活动的记录、账册、报表和其他相关资料不低于法律法规或监管规则规定的最低期限；</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（8）对理财产品投资信息和相关资料承担保密责任，除法律、行政法规、规章和本合同约定外，不得向任何机构或者个人提供相关信息和资料；</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（9）国务院银行业监督管理机构规定的其他职责。</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（10）乙方的董事、监事、高级管理人员和其他托管业务人员不得有《商业银行理财业务监督管理办法》（银保监会令 2018年第6号）第二十四条第二款所列行为。</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（11）如甲方需要，乙方应当配合向甲方提供乙方相应关联方信息。</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（12）法律法规规定的其他义务。</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2" w:firstLineChars="200"/>
        <w:jc w:val="left"/>
        <w:textAlignment w:val="auto"/>
        <w:rPr>
          <w:rFonts w:ascii="仿宋_GB2312" w:hAnsi="宋体" w:eastAsia="仿宋_GB2312"/>
          <w:b/>
          <w:bCs/>
          <w:kern w:val="0"/>
          <w:sz w:val="24"/>
          <w:szCs w:val="24"/>
        </w:rPr>
      </w:pPr>
      <w:r>
        <w:rPr>
          <w:rFonts w:hint="eastAsia" w:ascii="仿宋_GB2312" w:hAnsi="宋体" w:eastAsia="仿宋_GB2312"/>
          <w:b/>
          <w:bCs/>
          <w:kern w:val="0"/>
          <w:sz w:val="24"/>
          <w:szCs w:val="24"/>
        </w:rPr>
        <w:t>2.2.3  乙方托管职责的免除</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乙方按照恪尽职守、诚实信用、谨慎勤勉的原则安全托管理财财产。乙方承担的托管职责仅限于法律法规规定和托管协议约定，对于实际管控的托管资金账户内资产承担保管职责。</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除非法律法规另有规定或托管协议另有约定外，乙方的托管职责不包含以下内容：</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（1）投资者的适当性管理；</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（2）审核项目及交易信息真实性；</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（3）审查理财以及理财资金来源的合法合规性；</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（4）对理财本金及收益提供保证或承诺；</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（5）对已划出托管账户以及处于乙方实际控制之外的资产的保管责任；</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（6）对未兑付理财后续资金的追偿；</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（7）甲方未接受乙方的复核意见进行信息披露产生的相应责任；</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（8）因不可抗力，以及由于第三方（包括但不限于证券交易所、期货交易所、中国证券登记结算公司、中国期货市场监控中心等）发送或提供的数据错误及合理依赖上述信息操作给理财资产造成的损失；</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（9）提供保证或其他形式的担保；</w:t>
      </w:r>
    </w:p>
    <w:p>
      <w:pPr>
        <w:keepNext w:val="0"/>
        <w:keepLines w:val="0"/>
        <w:pageBreakBefore w:val="0"/>
        <w:widowControl w:val="0"/>
        <w:kinsoku/>
        <w:wordWrap/>
        <w:overflowPunct/>
        <w:topLinePunct w:val="0"/>
        <w:autoSpaceDE w:val="0"/>
        <w:autoSpaceDN w:val="0"/>
        <w:bidi w:val="0"/>
        <w:adjustRightInd w:val="0"/>
        <w:snapToGrid w:val="0"/>
        <w:spacing w:before="0" w:after="0" w:line="329" w:lineRule="auto"/>
        <w:ind w:firstLine="480" w:firstLineChars="200"/>
        <w:jc w:val="left"/>
        <w:textAlignment w:val="auto"/>
        <w:rPr>
          <w:rFonts w:ascii="仿宋_GB2312" w:hAnsi="宋体" w:eastAsia="仿宋_GB2312"/>
          <w:kern w:val="0"/>
          <w:sz w:val="24"/>
          <w:szCs w:val="24"/>
        </w:rPr>
      </w:pPr>
      <w:r>
        <w:rPr>
          <w:rFonts w:hint="eastAsia" w:ascii="仿宋_GB2312" w:hAnsi="宋体" w:eastAsia="仿宋_GB2312"/>
          <w:kern w:val="0"/>
          <w:sz w:val="24"/>
          <w:szCs w:val="24"/>
        </w:rPr>
        <w:t>（10）自身应尽职责之外的连带责任。</w:t>
      </w:r>
    </w:p>
    <w:p>
      <w:pPr>
        <w:pageBreakBefore w:val="0"/>
        <w:widowControl w:val="0"/>
        <w:kinsoku/>
        <w:wordWrap/>
        <w:overflowPunct/>
        <w:topLinePunct w:val="0"/>
        <w:autoSpaceDE w:val="0"/>
        <w:autoSpaceDN w:val="0"/>
        <w:bidi w:val="0"/>
        <w:adjustRightInd w:val="0"/>
        <w:snapToGrid w:val="0"/>
        <w:spacing w:before="156" w:beforeLines="50" w:after="156" w:afterLines="50" w:line="360" w:lineRule="auto"/>
        <w:ind w:firstLine="480" w:firstLineChars="200"/>
        <w:jc w:val="left"/>
        <w:rPr>
          <w:rFonts w:ascii="仿宋_GB2312" w:hAnsi="宋体" w:eastAsia="仿宋_GB2312"/>
          <w:kern w:val="0"/>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33" w:name="_Toc97719073"/>
      <w:bookmarkStart w:id="34" w:name="_Toc5618244"/>
      <w:bookmarkStart w:id="35" w:name="_Toc28091909"/>
      <w:bookmarkStart w:id="36" w:name="_Toc15825"/>
      <w:bookmarkStart w:id="37" w:name="_Toc961"/>
      <w:bookmarkStart w:id="38" w:name="_Toc1553635"/>
      <w:bookmarkStart w:id="39" w:name="_Toc10097"/>
      <w:bookmarkStart w:id="40" w:name="_Toc7079"/>
      <w:r>
        <w:rPr>
          <w:rFonts w:hint="eastAsia" w:ascii="仿宋_GB2312" w:hAnsi="宋体" w:eastAsia="仿宋_GB2312"/>
          <w:sz w:val="24"/>
        </w:rPr>
        <w:t xml:space="preserve">第三章  </w:t>
      </w:r>
      <w:r>
        <w:rPr>
          <w:rFonts w:hint="eastAsia" w:ascii="仿宋_GB2312" w:hAnsi="宋体" w:eastAsia="仿宋_GB2312"/>
          <w:sz w:val="24"/>
          <w:szCs w:val="24"/>
        </w:rPr>
        <w:t>理财产品的类型</w:t>
      </w:r>
      <w:bookmarkEnd w:id="33"/>
      <w:bookmarkEnd w:id="34"/>
      <w:bookmarkEnd w:id="35"/>
      <w:bookmarkEnd w:id="36"/>
      <w:bookmarkEnd w:id="37"/>
      <w:bookmarkEnd w:id="38"/>
      <w:bookmarkEnd w:id="39"/>
      <w:bookmarkEnd w:id="40"/>
      <w:r>
        <w:rPr>
          <w:rFonts w:ascii="仿宋_GB2312" w:hAnsi="宋体" w:eastAsia="仿宋_GB2312"/>
          <w:sz w:val="24"/>
          <w:szCs w:val="24"/>
        </w:rPr>
        <w:t xml:space="preserve"> </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r>
        <w:rPr>
          <w:rFonts w:hint="eastAsia" w:ascii="仿宋_GB2312" w:hAnsi="宋体" w:eastAsia="仿宋_GB2312"/>
          <w:b/>
          <w:sz w:val="24"/>
          <w:szCs w:val="24"/>
        </w:rPr>
        <w:t>3.1 理财产品的类型</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3.1.1 甲乙双方确认，所托管的各项理财产品中具体每款理财产品的类型具体以各理财产品说明书为准。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3.1.2 甲乙双方确认，本托管协议适用的理财产品包括理财产品管理人的本外币理财产品，但是不包括理财产品管理人代客境外理财产品。</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3.1.3 甲乙双方确认，本托管协议适用的理财产品为符合《关于规范金融机构资产管理业务的指导意见》（银发〔2018〕106号）、《商业银行理财业务监督管理办法》（银保监会令 2018年 第6号）规定要求发行运作的理财产品。</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kern w:val="0"/>
          <w:sz w:val="24"/>
        </w:rPr>
      </w:pPr>
      <w:bookmarkStart w:id="41" w:name="_Toc32063"/>
      <w:bookmarkStart w:id="42" w:name="_Toc97719074"/>
      <w:bookmarkStart w:id="43" w:name="_Toc3685"/>
      <w:bookmarkStart w:id="44" w:name="_Toc28091910"/>
      <w:bookmarkStart w:id="45" w:name="_Toc7893"/>
      <w:bookmarkStart w:id="46" w:name="_Toc10813"/>
      <w:bookmarkStart w:id="47" w:name="_Toc162062288"/>
      <w:bookmarkStart w:id="48" w:name="_Toc301882195"/>
      <w:bookmarkStart w:id="49" w:name="_Toc160530125"/>
      <w:r>
        <w:rPr>
          <w:rFonts w:hint="eastAsia" w:ascii="仿宋_GB2312" w:hAnsi="宋体" w:eastAsia="仿宋_GB2312"/>
          <w:sz w:val="24"/>
          <w:szCs w:val="24"/>
        </w:rPr>
        <w:t>第四章  理财产品成立时理财资金及资料的交付</w:t>
      </w:r>
      <w:bookmarkEnd w:id="41"/>
      <w:bookmarkEnd w:id="42"/>
      <w:bookmarkEnd w:id="43"/>
      <w:bookmarkEnd w:id="44"/>
      <w:bookmarkEnd w:id="45"/>
      <w:bookmarkEnd w:id="46"/>
      <w:bookmarkEnd w:id="47"/>
      <w:bookmarkEnd w:id="48"/>
      <w:bookmarkEnd w:id="49"/>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rPr>
      </w:pPr>
      <w:r>
        <w:rPr>
          <w:rFonts w:hint="eastAsia" w:ascii="仿宋_GB2312" w:hAnsi="宋体" w:eastAsia="仿宋_GB2312"/>
          <w:b/>
          <w:sz w:val="24"/>
        </w:rPr>
        <w:t>4.1 理财产品成立时相关文件资料的交付</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在各理财产品成立前，该理财产品的理财资金首次交易划款前，甲方应当向乙方提交下列文件、资料：</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hint="eastAsia" w:ascii="仿宋_GB2312" w:hAnsi="宋体" w:eastAsia="仿宋_GB2312"/>
          <w:kern w:val="0"/>
          <w:sz w:val="24"/>
        </w:rPr>
      </w:pPr>
      <w:r>
        <w:rPr>
          <w:rFonts w:hint="eastAsia" w:ascii="仿宋_GB2312" w:hAnsi="宋体" w:eastAsia="仿宋_GB2312"/>
          <w:kern w:val="0"/>
          <w:sz w:val="24"/>
          <w:lang w:eastAsia="zh-CN"/>
        </w:rPr>
        <w:t>（</w:t>
      </w:r>
      <w:r>
        <w:rPr>
          <w:rFonts w:hint="eastAsia" w:ascii="仿宋_GB2312" w:hAnsi="宋体" w:eastAsia="仿宋_GB2312"/>
          <w:kern w:val="0"/>
          <w:sz w:val="24"/>
          <w:lang w:val="en-US" w:eastAsia="zh-CN"/>
        </w:rPr>
        <w:t>1</w:t>
      </w:r>
      <w:r>
        <w:rPr>
          <w:rFonts w:hint="eastAsia" w:ascii="仿宋_GB2312" w:hAnsi="宋体" w:eastAsia="仿宋_GB2312"/>
          <w:kern w:val="0"/>
          <w:sz w:val="24"/>
          <w:lang w:eastAsia="zh-CN"/>
        </w:rPr>
        <w:t>）</w:t>
      </w:r>
      <w:r>
        <w:rPr>
          <w:rFonts w:hint="eastAsia" w:ascii="仿宋_GB2312" w:hAnsi="宋体" w:eastAsia="仿宋_GB2312"/>
          <w:kern w:val="0"/>
          <w:sz w:val="24"/>
        </w:rPr>
        <w:t>理财文件的样本或复印件</w:t>
      </w:r>
      <w:r>
        <w:rPr>
          <w:rFonts w:hint="eastAsia" w:ascii="仿宋_GB2312" w:hAnsi="宋体" w:eastAsia="仿宋_GB2312"/>
          <w:kern w:val="0"/>
          <w:sz w:val="24"/>
          <w:lang w:val="en-US" w:eastAsia="zh-CN"/>
        </w:rPr>
        <w:t>/扫描件</w:t>
      </w:r>
      <w:r>
        <w:rPr>
          <w:rFonts w:hint="eastAsia" w:ascii="仿宋_GB2312" w:hAnsi="宋体" w:eastAsia="仿宋_GB2312"/>
          <w:kern w:val="0"/>
          <w:sz w:val="24"/>
        </w:rPr>
        <w:t>：理财文件包括但不限于理财产品对应的理财产品说明书等。理财产品说明书应加盖甲方理财业务专用章，理财产品说明书中应注明的内容包括但不限于：该理财产品的基本情况，该理财产品估值方法，净值核对事项，该理财产品的托管费率、销售费率、管理费率，投资监督事项；</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hint="eastAsia" w:ascii="仿宋_GB2312" w:hAnsi="宋体" w:eastAsia="仿宋_GB2312"/>
          <w:kern w:val="0"/>
          <w:sz w:val="24"/>
        </w:rPr>
      </w:pPr>
      <w:r>
        <w:rPr>
          <w:rFonts w:hint="eastAsia" w:ascii="仿宋_GB2312" w:hAnsi="宋体" w:eastAsia="仿宋_GB2312"/>
          <w:kern w:val="0"/>
          <w:sz w:val="24"/>
          <w:lang w:eastAsia="zh-CN"/>
        </w:rPr>
        <w:t>（</w:t>
      </w:r>
      <w:r>
        <w:rPr>
          <w:rFonts w:hint="eastAsia" w:ascii="仿宋_GB2312" w:hAnsi="宋体" w:eastAsia="仿宋_GB2312"/>
          <w:kern w:val="0"/>
          <w:sz w:val="24"/>
          <w:lang w:val="en-US" w:eastAsia="zh-CN"/>
        </w:rPr>
        <w:t>2</w:t>
      </w:r>
      <w:r>
        <w:rPr>
          <w:rFonts w:hint="eastAsia" w:ascii="仿宋_GB2312" w:hAnsi="宋体" w:eastAsia="仿宋_GB2312"/>
          <w:kern w:val="0"/>
          <w:sz w:val="24"/>
          <w:lang w:eastAsia="zh-CN"/>
        </w:rPr>
        <w:t>）新系列产品托管前，管理人需至少提前</w:t>
      </w:r>
      <w:r>
        <w:rPr>
          <w:rFonts w:hint="eastAsia" w:ascii="仿宋_GB2312" w:hAnsi="宋体" w:eastAsia="仿宋_GB2312"/>
          <w:kern w:val="0"/>
          <w:sz w:val="24"/>
          <w:lang w:val="en-US" w:eastAsia="zh-CN"/>
        </w:rPr>
        <w:t>3个工作日将新系列产品说明书发送托管人进行内容确认。</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w:t>
      </w:r>
      <w:r>
        <w:rPr>
          <w:rFonts w:hint="eastAsia" w:ascii="仿宋_GB2312" w:hAnsi="宋体" w:eastAsia="仿宋_GB2312"/>
          <w:kern w:val="0"/>
          <w:sz w:val="24"/>
          <w:lang w:val="en-US" w:eastAsia="zh-CN"/>
        </w:rPr>
        <w:t>3</w:t>
      </w:r>
      <w:r>
        <w:rPr>
          <w:rFonts w:hint="eastAsia" w:ascii="仿宋_GB2312" w:hAnsi="宋体" w:eastAsia="仿宋_GB2312"/>
          <w:kern w:val="0"/>
          <w:sz w:val="24"/>
        </w:rPr>
        <w:t>）双方另行约定的其他文件资料。</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rPr>
      </w:pPr>
      <w:r>
        <w:rPr>
          <w:rFonts w:hint="eastAsia" w:ascii="仿宋_GB2312" w:hAnsi="宋体" w:eastAsia="仿宋_GB2312"/>
          <w:b/>
          <w:sz w:val="24"/>
        </w:rPr>
        <w:t>4.2理财产品资金的交付</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
          <w:sz w:val="24"/>
        </w:rPr>
      </w:pPr>
      <w:r>
        <w:rPr>
          <w:rFonts w:hint="eastAsia" w:ascii="仿宋_GB2312" w:hAnsi="宋体" w:eastAsia="仿宋_GB2312"/>
          <w:kern w:val="0"/>
          <w:sz w:val="24"/>
        </w:rPr>
        <w:t>甲方应在各理财产品成立当日，将该对应理财产品项下全部资金划至甲方理财产品托管专户，并向乙方发送托管运作起始通知书（格式见本协议附件1）</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sz w:val="24"/>
        </w:rPr>
        <w:t>4.3</w:t>
      </w:r>
      <w:r>
        <w:rPr>
          <w:rFonts w:hint="eastAsia" w:ascii="仿宋_GB2312" w:hAnsi="宋体" w:eastAsia="仿宋_GB2312"/>
          <w:kern w:val="0"/>
          <w:sz w:val="24"/>
        </w:rPr>
        <w:t>乙方根据本协议托管甲方某个理财产品后，双方在该理财产品托管业务中的权利义务关系受本协议的约束。</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sz w:val="24"/>
        </w:rPr>
        <w:t>4.4</w:t>
      </w:r>
      <w:r>
        <w:rPr>
          <w:rFonts w:hint="eastAsia" w:ascii="仿宋_GB2312" w:hAnsi="宋体" w:eastAsia="仿宋_GB2312"/>
          <w:sz w:val="24"/>
        </w:rPr>
        <w:t>乙方收到甲方发送的托管运作起始通知书，及该理财产品的</w:t>
      </w:r>
      <w:r>
        <w:rPr>
          <w:rFonts w:hint="eastAsia" w:ascii="仿宋_GB2312" w:hAnsi="宋体" w:eastAsia="仿宋_GB2312"/>
          <w:kern w:val="0"/>
          <w:sz w:val="24"/>
        </w:rPr>
        <w:t>相关文件资料，</w:t>
      </w:r>
      <w:r>
        <w:rPr>
          <w:rFonts w:hint="eastAsia" w:ascii="仿宋_GB2312" w:hAnsi="宋体" w:eastAsia="仿宋_GB2312"/>
          <w:sz w:val="24"/>
        </w:rPr>
        <w:t>并经核对确认理财产品托管专户内该理财产品理财资金无误后，</w:t>
      </w:r>
      <w:r>
        <w:rPr>
          <w:rFonts w:hint="eastAsia" w:ascii="仿宋_GB2312" w:hAnsi="宋体" w:eastAsia="仿宋_GB2312"/>
          <w:kern w:val="0"/>
          <w:sz w:val="24"/>
        </w:rPr>
        <w:t>乙方于该</w:t>
      </w:r>
      <w:r>
        <w:rPr>
          <w:rFonts w:hint="eastAsia" w:ascii="仿宋_GB2312" w:hAnsi="宋体" w:eastAsia="仿宋_GB2312"/>
          <w:sz w:val="24"/>
        </w:rPr>
        <w:t>理财产品资金到账之日起</w:t>
      </w:r>
      <w:r>
        <w:rPr>
          <w:rFonts w:hint="eastAsia" w:ascii="仿宋_GB2312" w:hAnsi="宋体" w:eastAsia="仿宋_GB2312"/>
          <w:kern w:val="0"/>
          <w:sz w:val="24"/>
        </w:rPr>
        <w:t>根据本协议的约定对甲方该理财产品履行托管职责。</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eastAsia="仿宋_GB2312"/>
          <w:kern w:val="0"/>
          <w:sz w:val="24"/>
          <w:szCs w:val="24"/>
        </w:rPr>
      </w:pPr>
      <w:r>
        <w:rPr>
          <w:rFonts w:hint="eastAsia" w:ascii="仿宋_GB2312" w:hAnsi="宋体" w:eastAsia="仿宋_GB2312"/>
          <w:b/>
          <w:kern w:val="0"/>
          <w:sz w:val="24"/>
          <w:szCs w:val="24"/>
        </w:rPr>
        <w:t>4.5</w:t>
      </w:r>
      <w:r>
        <w:rPr>
          <w:rFonts w:hint="eastAsia" w:ascii="仿宋_GB2312" w:eastAsia="仿宋_GB2312"/>
          <w:sz w:val="24"/>
          <w:szCs w:val="24"/>
        </w:rPr>
        <w:t>甲方提供给乙方的相关材料均应真实、完整、准确，并加盖甲方骑缝公章或理财业务专用章。甲方通过传真或电子扫描件方式向乙方递送的材料，乙方视其与正本文件具有相同效力。由于甲方提供材料有误或不完整而导致的相关责任由甲方承担。</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50" w:name="_Toc162062289"/>
      <w:bookmarkStart w:id="51" w:name="_Toc160530126"/>
      <w:bookmarkStart w:id="52" w:name="_Toc141850058"/>
      <w:bookmarkStart w:id="53" w:name="_Toc301882196"/>
      <w:bookmarkStart w:id="54" w:name="_Toc97719075"/>
      <w:bookmarkStart w:id="55" w:name="_Toc28530"/>
      <w:bookmarkStart w:id="56" w:name="_Toc9889"/>
      <w:bookmarkStart w:id="57" w:name="_Toc6183"/>
      <w:bookmarkStart w:id="58" w:name="_Toc178"/>
      <w:bookmarkStart w:id="59" w:name="_Toc28091911"/>
      <w:r>
        <w:rPr>
          <w:rFonts w:hint="eastAsia" w:ascii="仿宋_GB2312" w:hAnsi="宋体" w:eastAsia="仿宋_GB2312"/>
          <w:sz w:val="24"/>
          <w:szCs w:val="24"/>
        </w:rPr>
        <w:t>第五章  理财产品资产的</w:t>
      </w:r>
      <w:bookmarkEnd w:id="50"/>
      <w:bookmarkEnd w:id="51"/>
      <w:bookmarkEnd w:id="52"/>
      <w:r>
        <w:rPr>
          <w:rFonts w:hint="eastAsia" w:ascii="仿宋_GB2312" w:hAnsi="宋体" w:eastAsia="仿宋_GB2312"/>
          <w:sz w:val="24"/>
          <w:szCs w:val="24"/>
        </w:rPr>
        <w:t>保管</w:t>
      </w:r>
      <w:bookmarkEnd w:id="53"/>
      <w:r>
        <w:rPr>
          <w:rFonts w:hint="eastAsia" w:ascii="仿宋_GB2312" w:hAnsi="宋体" w:eastAsia="仿宋_GB2312"/>
          <w:sz w:val="24"/>
          <w:szCs w:val="24"/>
        </w:rPr>
        <w:t>和账户</w:t>
      </w:r>
      <w:bookmarkEnd w:id="54"/>
      <w:bookmarkEnd w:id="55"/>
      <w:bookmarkEnd w:id="56"/>
      <w:bookmarkEnd w:id="57"/>
      <w:bookmarkEnd w:id="58"/>
      <w:bookmarkEnd w:id="59"/>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r>
        <w:rPr>
          <w:rFonts w:hint="eastAsia" w:ascii="仿宋_GB2312" w:hAnsi="宋体" w:eastAsia="仿宋_GB2312"/>
          <w:b/>
          <w:sz w:val="24"/>
          <w:szCs w:val="24"/>
        </w:rPr>
        <w:t>5.1理财产品资产保管的原则</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Times New Roman" w:hAnsi="Times New Roman" w:eastAsia="宋体"/>
          <w:kern w:val="2"/>
          <w:sz w:val="21"/>
        </w:rPr>
      </w:pPr>
      <w:r>
        <w:rPr>
          <w:rFonts w:hint="eastAsia" w:ascii="仿宋_GB2312" w:hAnsi="宋体" w:eastAsia="仿宋_GB2312"/>
          <w:kern w:val="0"/>
          <w:sz w:val="24"/>
        </w:rPr>
        <w:t>（1）乙方应为甲方理财产品设立专用托管账户，单独保管相关资产；甲方理财产品财产应与甲方及乙方自有资产严格分开，与乙方托管的其他客户的理财产品资产严格分开。因国家有权机关对专用托管账户内的款项采取查询、冻结、扣划等措施时，乙方将按规定协助办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2）因甲方理财产品的管理、运用、处分或者其他情形而取得的财产，均归入该理财产品财产。甲乙双方均不得将理财产品财产归入其自有资产，因依法解散、被依法撤销或者被依法宣告破产等原因进行清算的，理财产品不属于甲乙双方的清算财产。甲方管理、运用和处分理财产品</w:t>
      </w:r>
      <w:r>
        <w:rPr>
          <w:rFonts w:hint="eastAsia" w:ascii="仿宋_GB2312" w:hAnsi="宋体" w:eastAsia="仿宋_GB2312"/>
          <w:kern w:val="0"/>
          <w:sz w:val="24"/>
          <w:lang w:val="en-US" w:eastAsia="zh-CN"/>
        </w:rPr>
        <w:t>所</w:t>
      </w:r>
      <w:r>
        <w:rPr>
          <w:rFonts w:hint="eastAsia" w:ascii="仿宋_GB2312" w:hAnsi="宋体" w:eastAsia="仿宋_GB2312"/>
          <w:kern w:val="0"/>
          <w:sz w:val="24"/>
        </w:rPr>
        <w:t>产生的债权，不得与甲方、乙方因自有资产所产生的债务相抵消；甲方管理、运用和处分不同理财产品所产生的债权债务，不得相互抵消。</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rPr>
        <w:t>（</w:t>
      </w:r>
      <w:r>
        <w:rPr>
          <w:rFonts w:hint="eastAsia" w:ascii="仿宋_GB2312" w:hAnsi="宋体" w:eastAsia="仿宋_GB2312"/>
          <w:kern w:val="0"/>
          <w:sz w:val="24"/>
          <w:szCs w:val="24"/>
        </w:rPr>
        <w:t>3）乙方负责托管甲方理财产品的资金及其所投资的资产</w:t>
      </w:r>
      <w:r>
        <w:rPr>
          <w:rFonts w:hint="eastAsia" w:ascii="仿宋_GB2312" w:hAnsi="宋体" w:eastAsia="仿宋_GB2312"/>
          <w:sz w:val="24"/>
          <w:szCs w:val="24"/>
        </w:rPr>
        <w:t>。</w:t>
      </w:r>
      <w:r>
        <w:rPr>
          <w:rFonts w:hint="eastAsia" w:ascii="仿宋_GB2312" w:hAnsi="宋体" w:eastAsia="仿宋_GB2312"/>
          <w:kern w:val="0"/>
          <w:sz w:val="24"/>
          <w:szCs w:val="24"/>
        </w:rPr>
        <w:t>对于由于客观条件限制，经甲、乙双方约定由甲方保管相关财产或财产权利凭证的，甲方应当自行安全保管。托管期间，如监管机构对非现金类理财资产的托管事宜另有规定的，从其规定。</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hint="eastAsia" w:ascii="仿宋_GB2312" w:hAnsi="宋体" w:eastAsia="仿宋_GB2312"/>
          <w:kern w:val="0"/>
          <w:sz w:val="24"/>
          <w:lang w:eastAsia="zh-CN"/>
        </w:rPr>
      </w:pPr>
      <w:r>
        <w:rPr>
          <w:rFonts w:hint="eastAsia" w:ascii="仿宋_GB2312" w:hAnsi="宋体" w:eastAsia="仿宋_GB2312"/>
          <w:kern w:val="0"/>
          <w:sz w:val="24"/>
        </w:rPr>
        <w:t>（4）乙方对甲方理财产品资产的托管并非对该等理财产品本金或收益的保证或承诺，乙方不承担理财产品的投资风险。乙方对理财产品资金来源、投资收益及投资安全不承担审核责任，特别是对于理财产品所投标的的后续资金使用情况无审核责任，不保证托管财产投资不受损失，不保证最低收益</w:t>
      </w:r>
      <w:r>
        <w:rPr>
          <w:rFonts w:hint="eastAsia" w:ascii="仿宋_GB2312" w:hAnsi="宋体" w:eastAsia="仿宋_GB2312"/>
          <w:kern w:val="0"/>
          <w:sz w:val="24"/>
          <w:lang w:eastAsia="zh-CN"/>
        </w:rPr>
        <w:t>。</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r>
        <w:rPr>
          <w:rFonts w:hint="eastAsia" w:ascii="仿宋_GB2312" w:hAnsi="宋体" w:eastAsia="仿宋_GB2312"/>
          <w:b/>
          <w:sz w:val="24"/>
          <w:szCs w:val="24"/>
        </w:rPr>
        <w:t>5.2理财产品资产托管业务中相关账户</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2" w:firstLineChars="200"/>
        <w:jc w:val="left"/>
        <w:rPr>
          <w:rFonts w:ascii="仿宋_GB2312" w:hAnsi="宋体" w:eastAsia="仿宋_GB2312"/>
          <w:b/>
          <w:sz w:val="24"/>
        </w:rPr>
      </w:pPr>
      <w:r>
        <w:rPr>
          <w:rFonts w:hint="eastAsia" w:ascii="仿宋_GB2312" w:hAnsi="宋体" w:eastAsia="仿宋_GB2312"/>
          <w:b/>
          <w:sz w:val="24"/>
        </w:rPr>
        <w:t>5.2.1 理财产品托管专户的开立和管理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kern w:val="0"/>
          <w:sz w:val="24"/>
          <w:lang w:eastAsia="zh-CN"/>
        </w:rPr>
        <w:t>（</w:t>
      </w:r>
      <w:r>
        <w:rPr>
          <w:rFonts w:hint="eastAsia" w:ascii="仿宋_GB2312" w:hAnsi="宋体" w:eastAsia="仿宋_GB2312"/>
          <w:kern w:val="0"/>
          <w:sz w:val="24"/>
          <w:lang w:val="en-US" w:eastAsia="zh-CN"/>
        </w:rPr>
        <w:t>1</w:t>
      </w:r>
      <w:r>
        <w:rPr>
          <w:rFonts w:hint="eastAsia" w:ascii="仿宋_GB2312" w:hAnsi="宋体" w:eastAsia="仿宋_GB2312"/>
          <w:kern w:val="0"/>
          <w:sz w:val="24"/>
          <w:lang w:eastAsia="zh-CN"/>
        </w:rPr>
        <w:t>）</w:t>
      </w:r>
      <w:r>
        <w:rPr>
          <w:rFonts w:hint="eastAsia" w:ascii="仿宋_GB2312" w:hAnsi="宋体" w:eastAsia="仿宋_GB2312"/>
          <w:kern w:val="0"/>
          <w:sz w:val="24"/>
        </w:rPr>
        <w:t>理财产品托管专户的开立和管理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kern w:val="0"/>
          <w:sz w:val="24"/>
        </w:rPr>
        <w:t>甲方</w:t>
      </w:r>
      <w:r>
        <w:rPr>
          <w:rFonts w:hint="eastAsia" w:ascii="仿宋_GB2312" w:hAnsi="宋体" w:eastAsia="仿宋_GB2312"/>
          <w:kern w:val="0"/>
          <w:sz w:val="24"/>
          <w:lang w:eastAsia="zh-CN"/>
        </w:rPr>
        <w:t>委托</w:t>
      </w:r>
      <w:r>
        <w:rPr>
          <w:rFonts w:hint="eastAsia" w:ascii="仿宋_GB2312" w:hAnsi="宋体" w:eastAsia="仿宋_GB2312"/>
          <w:kern w:val="0"/>
          <w:sz w:val="24"/>
        </w:rPr>
        <w:t>乙方，以</w:t>
      </w:r>
      <w:r>
        <w:rPr>
          <w:rFonts w:hint="eastAsia" w:ascii="仿宋_GB2312" w:hAnsi="宋体" w:eastAsia="仿宋_GB2312"/>
          <w:kern w:val="0"/>
          <w:sz w:val="24"/>
          <w:szCs w:val="21"/>
        </w:rPr>
        <w:t>乙方托管产品</w:t>
      </w:r>
      <w:r>
        <w:rPr>
          <w:rFonts w:hint="eastAsia" w:ascii="仿宋_GB2312" w:hAnsi="宋体" w:eastAsia="仿宋_GB2312"/>
          <w:kern w:val="0"/>
          <w:sz w:val="24"/>
        </w:rPr>
        <w:t>名义为甲方各理财产品分别开立专用银行存款账户，作为本协议项下甲方委托乙方托管相应理财产品的托管专户</w:t>
      </w:r>
      <w:r>
        <w:rPr>
          <w:rFonts w:hint="eastAsia" w:ascii="仿宋_GB2312" w:hAnsi="宋体" w:eastAsia="仿宋_GB2312"/>
          <w:kern w:val="0"/>
          <w:sz w:val="24"/>
          <w:szCs w:val="21"/>
        </w:rPr>
        <w:t>（以下简称“托管专户”）</w:t>
      </w:r>
      <w:r>
        <w:rPr>
          <w:rFonts w:hint="eastAsia" w:ascii="仿宋_GB2312" w:hAnsi="宋体" w:eastAsia="仿宋_GB2312"/>
          <w:kern w:val="0"/>
          <w:sz w:val="24"/>
        </w:rPr>
        <w:t>，开立托管账户的预留印鉴根据开户机构要求预留。甲方各理财产品托管期间的一切货币收支活动，包括但不限于投资交易、支付理财费用、分配理财利益，均需通过相应理财产品托管专户进行，甲方为募集理财资金、返还理财利益而使用另外开立的理财资金收付账户进行的款项收付除外。</w:t>
      </w:r>
    </w:p>
    <w:p>
      <w:pPr>
        <w:pStyle w:val="6"/>
        <w:pageBreakBefore w:val="0"/>
        <w:widowControl w:val="0"/>
        <w:kinsoku/>
        <w:wordWrap/>
        <w:overflowPunct/>
        <w:topLinePunct w:val="0"/>
        <w:bidi w:val="0"/>
        <w:adjustRightInd w:val="0"/>
        <w:snapToGrid w:val="0"/>
        <w:spacing w:beforeLines="0" w:afterLines="0" w:line="329" w:lineRule="auto"/>
        <w:ind w:left="0" w:leftChars="0" w:right="0" w:rightChars="0" w:firstLine="482"/>
        <w:rPr>
          <w:rFonts w:hint="eastAsia" w:ascii="仿宋_GB2312" w:hAnsi="宋体" w:eastAsia="仿宋_GB2312"/>
          <w:kern w:val="0"/>
          <w:sz w:val="24"/>
        </w:rPr>
      </w:pPr>
      <w:r>
        <w:rPr>
          <w:rFonts w:hint="eastAsia" w:ascii="仿宋_GB2312" w:hAnsi="宋体" w:eastAsia="仿宋_GB2312"/>
          <w:bCs w:val="0"/>
          <w:kern w:val="0"/>
          <w:sz w:val="24"/>
        </w:rPr>
        <w:t>甲方申请理财产品的托管专户开立、变更及注销时，应当按乙方要求准备相关资料并进行审核后，按照乙方</w:t>
      </w:r>
      <w:r>
        <w:rPr>
          <w:rFonts w:hint="eastAsia" w:ascii="仿宋_GB2312" w:hAnsi="宋体" w:eastAsia="仿宋_GB2312"/>
          <w:bCs w:val="0"/>
          <w:kern w:val="0"/>
          <w:sz w:val="24"/>
          <w:lang w:eastAsia="zh-CN"/>
        </w:rPr>
        <w:t>相关要求</w:t>
      </w:r>
      <w:r>
        <w:rPr>
          <w:rFonts w:hint="eastAsia" w:ascii="仿宋_GB2312" w:hAnsi="宋体" w:eastAsia="仿宋_GB2312"/>
          <w:bCs w:val="0"/>
          <w:kern w:val="0"/>
          <w:sz w:val="24"/>
        </w:rPr>
        <w:t>办理。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kern w:val="0"/>
          <w:sz w:val="24"/>
        </w:rPr>
        <w:t>（2）甲方理财产品的托管专户仅限于乙方托管的甲方各理财产品使用，乙方对各理财产品必须分账管理。甲方和乙方不得假借甲方名义为乙方托管的甲方各理财产品开立任何其他银行账户。除法律法规另有规定外，甲、乙双方均不得采取使得该（等）账户无效的任何行为。</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kern w:val="0"/>
          <w:sz w:val="24"/>
        </w:rPr>
        <w:t>各理财产品托管专户的开立和管理应符合理财产品账户管理相关法律法规的规定。</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kern w:val="0"/>
          <w:sz w:val="24"/>
        </w:rPr>
        <w:t>为确保托管账户资金安全，甲乙双方应至少每季度一次就托管账户余额进行账务核对。</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5.2.2开放式证券投资基金账户的开立和管理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（1）甲方负责以各理财产品的名义在基金管理公司或通过销售机构开设开放式证券投资基金账户（以下简称“基金账户”）,用于理财产品在场外进行开放式证券投资基金投资的认购、申购和赎回。</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（2）除非通过证券经纪商申购、赎回开放式证券投资基金，甲方在开立基金账户时应将各理财产品托管专户作为对应理财产品的赎回款的指定收款账户。</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hint="eastAsia" w:ascii="仿宋_GB2312" w:hAnsi="宋体" w:eastAsia="仿宋_GB2312"/>
          <w:kern w:val="0"/>
          <w:sz w:val="24"/>
        </w:rPr>
      </w:pPr>
      <w:r>
        <w:rPr>
          <w:rFonts w:hint="eastAsia" w:ascii="仿宋_GB2312" w:hAnsi="宋体" w:eastAsia="仿宋_GB2312"/>
          <w:kern w:val="0"/>
          <w:sz w:val="24"/>
        </w:rPr>
        <w:t>（3）理财产品基金账户的开立和使用，限于满足开展该理财产品业务的需要。甲方和乙方不得出借或未经对方同意擅自转让理财产品的任何基金账户，亦不得使用理财产品的任何账户进行该理财业务以外的活动。</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2" w:firstLineChars="200"/>
        <w:jc w:val="left"/>
        <w:rPr>
          <w:rFonts w:ascii="仿宋_GB2312" w:hAnsi="宋体" w:eastAsia="仿宋_GB2312"/>
          <w:b/>
          <w:kern w:val="0"/>
          <w:sz w:val="24"/>
        </w:rPr>
      </w:pPr>
      <w:r>
        <w:rPr>
          <w:rFonts w:ascii="仿宋_GB2312" w:hAnsi="宋体" w:eastAsia="仿宋_GB2312"/>
          <w:b/>
          <w:kern w:val="0"/>
          <w:sz w:val="24"/>
        </w:rPr>
        <w:t>5.2.</w:t>
      </w:r>
      <w:r>
        <w:rPr>
          <w:rFonts w:hint="eastAsia" w:ascii="仿宋_GB2312" w:hAnsi="宋体" w:eastAsia="仿宋_GB2312"/>
          <w:b/>
          <w:kern w:val="0"/>
          <w:sz w:val="24"/>
          <w:lang w:val="en-US" w:eastAsia="zh-CN"/>
        </w:rPr>
        <w:t>3</w:t>
      </w:r>
      <w:r>
        <w:rPr>
          <w:rFonts w:ascii="仿宋_GB2312" w:hAnsi="宋体" w:eastAsia="仿宋_GB2312"/>
          <w:b/>
          <w:kern w:val="0"/>
          <w:sz w:val="24"/>
        </w:rPr>
        <w:t>银行间债券账户的开立和管理</w:t>
      </w:r>
    </w:p>
    <w:p>
      <w:pPr>
        <w:pStyle w:val="11"/>
        <w:pageBreakBefore w:val="0"/>
        <w:widowControl w:val="0"/>
        <w:kinsoku/>
        <w:wordWrap/>
        <w:overflowPunct/>
        <w:topLinePunct w:val="0"/>
        <w:bidi w:val="0"/>
        <w:adjustRightInd w:val="0"/>
        <w:snapToGrid w:val="0"/>
        <w:spacing w:beforeLines="0" w:afterLines="0" w:line="329" w:lineRule="auto"/>
        <w:ind w:left="0" w:leftChars="0" w:right="0" w:rightChars="0" w:firstLine="482"/>
        <w:rPr>
          <w:rFonts w:hint="eastAsia" w:ascii="仿宋_GB2312" w:hAnsi="宋体" w:eastAsia="仿宋_GB2312"/>
          <w:kern w:val="0"/>
          <w:sz w:val="24"/>
        </w:rPr>
      </w:pPr>
      <w:r>
        <w:rPr>
          <w:rFonts w:hint="eastAsia" w:ascii="仿宋_GB2312" w:hAnsi="宋体" w:eastAsia="仿宋_GB2312"/>
          <w:kern w:val="0"/>
          <w:sz w:val="24"/>
        </w:rPr>
        <w:t>甲方负责以理财产品管理人的名义申请</w:t>
      </w:r>
      <w:r>
        <w:rPr>
          <w:rFonts w:hint="eastAsia" w:ascii="仿宋_GB2312" w:hAnsi="宋体" w:eastAsia="仿宋_GB2312"/>
          <w:sz w:val="24"/>
        </w:rPr>
        <w:t>银行间债券市场准入备案</w:t>
      </w:r>
      <w:r>
        <w:rPr>
          <w:rFonts w:hint="eastAsia" w:ascii="仿宋_GB2312" w:hAnsi="宋体" w:eastAsia="仿宋_GB2312"/>
          <w:sz w:val="24"/>
          <w:lang w:eastAsia="zh-CN"/>
        </w:rPr>
        <w:t>，</w:t>
      </w:r>
      <w:r>
        <w:rPr>
          <w:rFonts w:hint="eastAsia" w:ascii="仿宋_GB2312" w:hAnsi="宋体" w:eastAsia="仿宋_GB2312"/>
          <w:kern w:val="0"/>
          <w:sz w:val="24"/>
        </w:rPr>
        <w:t>并取得进入全国银行间同业拆借市场的交易资格，并代表理财产品进行交易；乙方负责以托管人的名义在中央国债登记结算有限责任公司（在规则支持的情况下）、银行间市场清算所股份有限公司开设银行间债券市场债券托管代理总账户，并在代理总账户下为各理财产品开立债券托管二级账户。甲方应当予以配合并提供相关资料。监管部门另有相关业务要求的，按监管最新要求执行。</w:t>
      </w:r>
    </w:p>
    <w:p>
      <w:pPr>
        <w:pageBreakBefore w:val="0"/>
        <w:widowControl w:val="0"/>
        <w:kinsoku/>
        <w:wordWrap/>
        <w:overflowPunct/>
        <w:topLinePunct w:val="0"/>
        <w:autoSpaceDE/>
        <w:autoSpaceDN/>
        <w:bidi w:val="0"/>
        <w:adjustRightInd w:val="0"/>
        <w:snapToGrid w:val="0"/>
        <w:spacing w:before="0" w:beforeLines="0" w:after="0" w:afterLines="0" w:line="329" w:lineRule="auto"/>
        <w:ind w:left="0" w:leftChars="0" w:right="0" w:rightChars="0" w:firstLine="480" w:firstLineChars="200"/>
        <w:jc w:val="left"/>
        <w:rPr>
          <w:rFonts w:ascii="仿宋_GB2312" w:hAnsi="宋体" w:eastAsia="仿宋_GB2312"/>
          <w:kern w:val="0"/>
          <w:sz w:val="24"/>
        </w:rPr>
      </w:pPr>
      <w:r>
        <w:rPr>
          <w:rFonts w:hint="eastAsia" w:ascii="仿宋_GB2312" w:hAnsi="宋体" w:eastAsia="仿宋_GB2312"/>
          <w:sz w:val="24"/>
        </w:rPr>
        <w:t>银行间债券账户的开立和使用，仅限于满足开展理财产品投资的需要。甲方和乙方不得擅自出借或转让理财产品的任何银行间债券账户，亦不得使用理财产品的任何银行间债券账户进行对应理财产品投资以外的活动。</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left="0" w:leftChars="0" w:right="0" w:rightChars="0"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5.2.</w:t>
      </w:r>
      <w:r>
        <w:rPr>
          <w:rFonts w:hint="eastAsia" w:ascii="仿宋_GB2312" w:hAnsi="宋体" w:eastAsia="仿宋_GB2312" w:cs="宋体"/>
          <w:b/>
          <w:bCs/>
          <w:kern w:val="0"/>
          <w:sz w:val="24"/>
          <w:lang w:val="en-US" w:eastAsia="zh-CN"/>
        </w:rPr>
        <w:t>4</w:t>
      </w:r>
      <w:r>
        <w:rPr>
          <w:rFonts w:hint="eastAsia" w:ascii="仿宋_GB2312" w:hAnsi="宋体" w:eastAsia="仿宋_GB2312" w:cs="宋体"/>
          <w:b/>
          <w:bCs/>
          <w:kern w:val="0"/>
          <w:sz w:val="24"/>
        </w:rPr>
        <w:t>理财产品证券账户的开立和管理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sz w:val="24"/>
        </w:rPr>
      </w:pPr>
      <w:r>
        <w:rPr>
          <w:rFonts w:hint="eastAsia" w:ascii="仿宋_GB2312" w:hAnsi="宋体" w:eastAsia="仿宋_GB2312"/>
          <w:kern w:val="0"/>
          <w:sz w:val="24"/>
        </w:rPr>
        <w:t>（</w:t>
      </w:r>
      <w:r>
        <w:rPr>
          <w:rFonts w:hint="eastAsia" w:ascii="仿宋_GB2312" w:hAnsi="宋体" w:eastAsia="仿宋_GB2312"/>
          <w:sz w:val="24"/>
        </w:rPr>
        <w:t>1）乙方按照规定开立各理财产品财产的证券账户。甲方应当在开户过程中给予必要的配合，并提供所需资料。证券账户的持有人名称应当符合证券登记结算机构的有关规定。开户费用由甲方管理的理财产品承担。</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sz w:val="24"/>
        </w:rPr>
      </w:pPr>
      <w:r>
        <w:rPr>
          <w:rFonts w:hint="eastAsia" w:ascii="仿宋_GB2312" w:hAnsi="宋体" w:eastAsia="仿宋_GB2312"/>
          <w:kern w:val="0"/>
          <w:sz w:val="24"/>
        </w:rPr>
        <w:t>（</w:t>
      </w:r>
      <w:r>
        <w:rPr>
          <w:rFonts w:hint="eastAsia" w:ascii="仿宋_GB2312" w:hAnsi="宋体" w:eastAsia="仿宋_GB2312"/>
          <w:sz w:val="24"/>
        </w:rPr>
        <w:t>2）证券账户的开立和使用，限于满足开展理财业务的需要。乙方和甲方不得出借和未经对方同意擅自转让产品的任何证券账户，亦不得使用理财产品的任何证券账户进行该理财产品业务以外的活动。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jc w:val="left"/>
        <w:rPr>
          <w:rFonts w:ascii="仿宋_GB2312" w:hAnsi="宋体" w:eastAsia="仿宋_GB2312"/>
          <w:sz w:val="24"/>
        </w:rPr>
      </w:pPr>
      <w:r>
        <w:rPr>
          <w:rFonts w:hint="eastAsia" w:ascii="仿宋_GB2312" w:hAnsi="宋体" w:eastAsia="仿宋_GB2312"/>
          <w:kern w:val="0"/>
          <w:sz w:val="24"/>
        </w:rPr>
        <w:t>（</w:t>
      </w:r>
      <w:r>
        <w:rPr>
          <w:rFonts w:hint="eastAsia" w:ascii="仿宋_GB2312" w:hAnsi="宋体" w:eastAsia="仿宋_GB2312"/>
          <w:sz w:val="24"/>
        </w:rPr>
        <w:t>3）证券账户的开立由乙方负责，管理和运用由甲方负责。</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5.2.</w:t>
      </w:r>
      <w:r>
        <w:rPr>
          <w:rFonts w:hint="eastAsia" w:ascii="仿宋_GB2312" w:hAnsi="宋体" w:eastAsia="仿宋_GB2312" w:cs="宋体"/>
          <w:b/>
          <w:bCs/>
          <w:kern w:val="0"/>
          <w:sz w:val="24"/>
          <w:lang w:val="en-US" w:eastAsia="zh-CN"/>
        </w:rPr>
        <w:t>5</w:t>
      </w:r>
      <w:r>
        <w:rPr>
          <w:rFonts w:hint="eastAsia" w:ascii="仿宋_GB2312" w:hAnsi="宋体" w:eastAsia="仿宋_GB2312" w:cs="宋体"/>
          <w:b/>
          <w:bCs/>
          <w:kern w:val="0"/>
          <w:sz w:val="24"/>
        </w:rPr>
        <w:t>专用资金账户（专用资金台账账户）的开立和管理</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sz w:val="24"/>
          <w:highlight w:val="none"/>
        </w:rPr>
      </w:pPr>
      <w:r>
        <w:rPr>
          <w:rFonts w:hint="eastAsia" w:ascii="仿宋_GB2312" w:hAnsi="宋体" w:eastAsia="仿宋_GB2312"/>
          <w:kern w:val="0"/>
          <w:sz w:val="24"/>
          <w:highlight w:val="none"/>
        </w:rPr>
        <w:t>（</w:t>
      </w:r>
      <w:r>
        <w:rPr>
          <w:rFonts w:hint="eastAsia" w:ascii="仿宋_GB2312" w:hAnsi="宋体" w:eastAsia="仿宋_GB2312"/>
          <w:sz w:val="24"/>
          <w:highlight w:val="none"/>
        </w:rPr>
        <w:t>1）专用资金账户是以理财产品名义在甲方所选择的证券公司的下属营业机构开立的，并与托管账户建立第三方存管关系。甲方应在乙方下属营业机构签署交易结算资金银行存管协议书。专用资金账户开立后，甲方将专用资金账户的开户资料（复印件）加盖业务专用章后交乙方留存。</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jc w:val="left"/>
        <w:rPr>
          <w:rFonts w:ascii="仿宋_GB2312" w:hAnsi="宋体" w:eastAsia="仿宋_GB2312"/>
          <w:sz w:val="24"/>
        </w:rPr>
      </w:pPr>
      <w:r>
        <w:rPr>
          <w:rFonts w:hint="eastAsia" w:ascii="仿宋_GB2312" w:hAnsi="宋体" w:eastAsia="仿宋_GB2312"/>
          <w:kern w:val="0"/>
          <w:sz w:val="24"/>
        </w:rPr>
        <w:t>（</w:t>
      </w:r>
      <w:r>
        <w:rPr>
          <w:rFonts w:hint="eastAsia" w:ascii="仿宋_GB2312" w:hAnsi="宋体" w:eastAsia="仿宋_GB2312"/>
          <w:sz w:val="24"/>
        </w:rPr>
        <w:t>2）在本协议有效期内，未经乙方同意，不得自行通过“第三方存管”平台从专用资金账户向银行结算账户（即托管账户）划款</w:t>
      </w:r>
      <w:r>
        <w:rPr>
          <w:rFonts w:hint="eastAsia" w:ascii="仿宋_GB2312" w:hAnsi="宋体" w:eastAsia="仿宋_GB2312"/>
          <w:sz w:val="24"/>
          <w:lang w:eastAsia="zh-CN"/>
        </w:rPr>
        <w:t>，不得自行解除或变更</w:t>
      </w:r>
      <w:r>
        <w:rPr>
          <w:rFonts w:hint="eastAsia" w:ascii="仿宋_GB2312" w:hAnsi="宋体" w:eastAsia="仿宋_GB2312"/>
          <w:sz w:val="24"/>
        </w:rPr>
        <w:t>“第三方存管”</w:t>
      </w:r>
      <w:r>
        <w:rPr>
          <w:rFonts w:hint="eastAsia" w:ascii="仿宋_GB2312" w:hAnsi="宋体" w:eastAsia="仿宋_GB2312"/>
          <w:sz w:val="24"/>
          <w:lang w:eastAsia="zh-CN"/>
        </w:rPr>
        <w:t>绑定关系</w:t>
      </w:r>
      <w:r>
        <w:rPr>
          <w:rFonts w:hint="eastAsia" w:ascii="仿宋_GB2312" w:hAnsi="宋体" w:eastAsia="仿宋_GB2312"/>
          <w:sz w:val="24"/>
        </w:rPr>
        <w:t>。</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5.2.</w:t>
      </w:r>
      <w:r>
        <w:rPr>
          <w:rFonts w:hint="eastAsia" w:ascii="仿宋_GB2312" w:hAnsi="宋体" w:eastAsia="仿宋_GB2312" w:cs="宋体"/>
          <w:b/>
          <w:bCs/>
          <w:kern w:val="0"/>
          <w:sz w:val="24"/>
          <w:lang w:val="en-US" w:eastAsia="zh-CN"/>
        </w:rPr>
        <w:t>6</w:t>
      </w:r>
      <w:r>
        <w:rPr>
          <w:rFonts w:hint="eastAsia" w:ascii="仿宋_GB2312" w:hAnsi="宋体" w:eastAsia="仿宋_GB2312" w:cs="宋体"/>
          <w:b/>
          <w:bCs/>
          <w:kern w:val="0"/>
          <w:sz w:val="24"/>
        </w:rPr>
        <w:t>定期存款账户</w:t>
      </w:r>
    </w:p>
    <w:p>
      <w:pPr>
        <w:pageBreakBefore w:val="0"/>
        <w:widowControl w:val="0"/>
        <w:kinsoku/>
        <w:wordWrap/>
        <w:overflowPunct/>
        <w:topLinePunct w:val="0"/>
        <w:bidi w:val="0"/>
        <w:adjustRightInd w:val="0"/>
        <w:snapToGrid w:val="0"/>
        <w:spacing w:beforeLines="0" w:afterLines="0" w:line="329" w:lineRule="auto"/>
        <w:ind w:firstLine="480" w:firstLineChars="200"/>
        <w:jc w:val="left"/>
        <w:rPr>
          <w:rFonts w:ascii="仿宋_GB2312" w:hAnsi="宋体" w:eastAsia="仿宋_GB2312" w:cs="宋体"/>
          <w:bCs/>
          <w:kern w:val="0"/>
          <w:sz w:val="24"/>
        </w:rPr>
      </w:pPr>
      <w:r>
        <w:rPr>
          <w:rFonts w:hint="eastAsia" w:ascii="仿宋_GB2312" w:hAnsi="宋体" w:eastAsia="仿宋_GB2312" w:cs="宋体"/>
          <w:bCs/>
          <w:kern w:val="0"/>
          <w:sz w:val="24"/>
        </w:rPr>
        <w:t>理财产品投资定期存款在存款机构开立的银行账户，其预留印鉴经各方商议后预留</w:t>
      </w:r>
      <w:r>
        <w:rPr>
          <w:rFonts w:hint="eastAsia" w:ascii="仿宋_GB2312" w:hAnsi="宋体" w:eastAsia="仿宋_GB2312" w:cs="宋体"/>
          <w:bCs/>
          <w:kern w:val="0"/>
          <w:sz w:val="24"/>
          <w:lang w:eastAsia="zh-CN"/>
        </w:rPr>
        <w:t>，预留的</w:t>
      </w:r>
      <w:r>
        <w:rPr>
          <w:rFonts w:hint="eastAsia" w:ascii="仿宋_GB2312" w:hAnsi="宋体" w:eastAsia="仿宋_GB2312" w:cs="宋体"/>
          <w:bCs/>
          <w:kern w:val="0"/>
          <w:sz w:val="24"/>
          <w:lang w:val="en-US" w:eastAsia="zh-CN"/>
        </w:rPr>
        <w:t>印鉴</w:t>
      </w:r>
      <w:r>
        <w:rPr>
          <w:rFonts w:hint="eastAsia" w:ascii="仿宋_GB2312" w:hAnsi="宋体" w:eastAsia="仿宋_GB2312" w:cs="宋体"/>
          <w:bCs/>
          <w:kern w:val="0"/>
          <w:sz w:val="24"/>
          <w:lang w:eastAsia="zh-CN"/>
        </w:rPr>
        <w:t>样本应至少保留一枚保管人指定</w:t>
      </w:r>
      <w:r>
        <w:rPr>
          <w:rFonts w:hint="eastAsia" w:ascii="仿宋_GB2312" w:hAnsi="宋体" w:eastAsia="仿宋_GB2312" w:cs="宋体"/>
          <w:bCs/>
          <w:kern w:val="0"/>
          <w:sz w:val="24"/>
          <w:lang w:val="en-US" w:eastAsia="zh-CN"/>
        </w:rPr>
        <w:t>印鉴</w:t>
      </w:r>
      <w:r>
        <w:rPr>
          <w:rFonts w:hint="eastAsia" w:ascii="仿宋_GB2312" w:hAnsi="宋体" w:eastAsia="仿宋_GB2312" w:cs="宋体"/>
          <w:bCs/>
          <w:kern w:val="0"/>
          <w:sz w:val="24"/>
        </w:rPr>
        <w:t>。对于任何的定期存款投资，管理人都必须和存款机构签订定期存款协议，约定双方的权利和义务，该协议作为划款指令附件。存款证实书不得被质押或以任何方式被抵押，并不得用于转让和背书。在取得存款证实书后，托管人保管证实书</w:t>
      </w:r>
      <w:r>
        <w:rPr>
          <w:rFonts w:hint="eastAsia" w:ascii="仿宋_GB2312" w:hAnsi="宋体" w:eastAsia="仿宋_GB2312" w:cs="宋体"/>
          <w:bCs/>
          <w:kern w:val="0"/>
          <w:sz w:val="24"/>
          <w:lang w:val="en-US" w:eastAsia="zh-CN"/>
        </w:rPr>
        <w:t>原件</w:t>
      </w:r>
      <w:r>
        <w:rPr>
          <w:rFonts w:hint="eastAsia" w:ascii="仿宋_GB2312" w:hAnsi="宋体" w:eastAsia="仿宋_GB2312" w:cs="宋体"/>
          <w:bCs/>
          <w:kern w:val="0"/>
          <w:sz w:val="24"/>
        </w:rPr>
        <w:t>。保管人只负责对存款证实书进行保管，不负责对存款证实书真伪的辨别，不承担存款证实书对应存款的本金及收益的安全。</w:t>
      </w:r>
    </w:p>
    <w:p>
      <w:pPr>
        <w:pageBreakBefore w:val="0"/>
        <w:widowControl w:val="0"/>
        <w:kinsoku/>
        <w:wordWrap/>
        <w:overflowPunct/>
        <w:topLinePunct w:val="0"/>
        <w:bidi w:val="0"/>
        <w:adjustRightInd w:val="0"/>
        <w:snapToGrid w:val="0"/>
        <w:spacing w:beforeLines="0" w:afterLines="0" w:line="329" w:lineRule="auto"/>
        <w:ind w:firstLine="480" w:firstLineChars="200"/>
        <w:jc w:val="left"/>
      </w:pPr>
      <w:r>
        <w:rPr>
          <w:rFonts w:hint="eastAsia" w:ascii="仿宋_GB2312" w:hAnsi="宋体" w:eastAsia="仿宋_GB2312" w:cs="宋体"/>
          <w:bCs/>
          <w:kern w:val="0"/>
          <w:sz w:val="24"/>
          <w:lang w:eastAsia="zh-CN"/>
        </w:rPr>
        <w:t>存款证实书开立完毕后，甲方应指定专人</w:t>
      </w:r>
      <w:r>
        <w:rPr>
          <w:rFonts w:hint="eastAsia" w:ascii="仿宋_GB2312" w:hAnsi="宋体" w:eastAsia="仿宋_GB2312" w:cs="宋体"/>
          <w:bCs/>
          <w:kern w:val="0"/>
          <w:sz w:val="24"/>
          <w:lang w:val="en-US" w:eastAsia="zh-CN"/>
        </w:rPr>
        <w:t>或采用邮寄方式</w:t>
      </w:r>
      <w:r>
        <w:rPr>
          <w:rFonts w:hint="eastAsia" w:ascii="仿宋_GB2312" w:hAnsi="宋体" w:eastAsia="仿宋_GB2312" w:cs="宋体"/>
          <w:bCs/>
          <w:kern w:val="0"/>
          <w:sz w:val="24"/>
          <w:lang w:eastAsia="zh-CN"/>
        </w:rPr>
        <w:t>将存款证实书原件交送乙方进行保管，存款到期前甲方应指定专人</w:t>
      </w:r>
      <w:r>
        <w:rPr>
          <w:rFonts w:hint="eastAsia" w:ascii="仿宋_GB2312" w:hAnsi="宋体" w:eastAsia="仿宋_GB2312" w:cs="宋体"/>
          <w:bCs/>
          <w:kern w:val="0"/>
          <w:sz w:val="24"/>
          <w:lang w:val="en-US" w:eastAsia="zh-CN"/>
        </w:rPr>
        <w:t>或通知乙方以邮寄方式</w:t>
      </w:r>
      <w:r>
        <w:rPr>
          <w:rFonts w:hint="eastAsia" w:ascii="仿宋_GB2312" w:hAnsi="宋体" w:eastAsia="仿宋_GB2312" w:cs="宋体"/>
          <w:bCs/>
          <w:kern w:val="0"/>
          <w:sz w:val="24"/>
          <w:lang w:eastAsia="zh-CN"/>
        </w:rPr>
        <w:t>提前两个工作日</w:t>
      </w:r>
      <w:r>
        <w:rPr>
          <w:rFonts w:hint="eastAsia" w:ascii="仿宋_GB2312" w:hAnsi="宋体" w:eastAsia="仿宋_GB2312" w:cs="宋体"/>
          <w:bCs/>
          <w:kern w:val="0"/>
          <w:sz w:val="24"/>
          <w:lang w:val="en-US" w:eastAsia="zh-CN"/>
        </w:rPr>
        <w:t>进行</w:t>
      </w:r>
      <w:r>
        <w:rPr>
          <w:rFonts w:hint="eastAsia" w:ascii="仿宋_GB2312" w:hAnsi="宋体" w:eastAsia="仿宋_GB2312" w:cs="宋体"/>
          <w:bCs/>
          <w:kern w:val="0"/>
          <w:sz w:val="24"/>
          <w:lang w:eastAsia="zh-CN"/>
        </w:rPr>
        <w:t>存款证实书的支取、交接工作。</w:t>
      </w:r>
      <w:r>
        <w:rPr>
          <w:rFonts w:hint="eastAsia" w:ascii="仿宋_GB2312" w:hAnsi="宋体" w:eastAsia="仿宋_GB2312" w:cs="宋体"/>
          <w:bCs/>
          <w:kern w:val="0"/>
          <w:sz w:val="24"/>
        </w:rPr>
        <w:t>对于已移交托管人保管的存款开户证实书等实物凭证，托管人应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Pr>
          <w:rFonts w:hint="eastAsia" w:ascii="仿宋_GB2312" w:hAnsi="宋体" w:eastAsia="仿宋_GB2312" w:cs="宋体"/>
          <w:bCs/>
          <w:kern w:val="0"/>
          <w:sz w:val="24"/>
          <w:lang w:eastAsia="zh-CN"/>
        </w:rPr>
        <w:t>。</w:t>
      </w:r>
    </w:p>
    <w:p>
      <w:pPr>
        <w:pageBreakBefore w:val="0"/>
        <w:widowControl w:val="0"/>
        <w:kinsoku/>
        <w:wordWrap/>
        <w:overflowPunct/>
        <w:topLinePunct w:val="0"/>
        <w:bidi w:val="0"/>
        <w:adjustRightInd w:val="0"/>
        <w:snapToGrid w:val="0"/>
        <w:spacing w:beforeLines="0" w:afterLines="0" w:line="329" w:lineRule="auto"/>
        <w:ind w:firstLine="480" w:firstLineChars="200"/>
        <w:jc w:val="left"/>
        <w:rPr>
          <w:rFonts w:ascii="仿宋_GB2312" w:hAnsi="宋体" w:eastAsia="仿宋_GB2312" w:cs="宋体"/>
          <w:bCs/>
          <w:kern w:val="0"/>
          <w:sz w:val="24"/>
        </w:rPr>
      </w:pPr>
      <w:r>
        <w:rPr>
          <w:rFonts w:hint="eastAsia" w:ascii="仿宋_GB2312" w:hAnsi="宋体" w:eastAsia="仿宋_GB2312" w:cs="宋体"/>
          <w:bCs/>
          <w:kern w:val="0"/>
          <w:sz w:val="24"/>
        </w:rPr>
        <w:t>管理人应该在合理的时间内进行定期存款的投资和支取事宜，本息到期归还或提前支取的所有款项必须划至托管账户，不得划入其他任何账户。若管理人提前支取或部分提前支取定期存款，若产生息差（即本</w:t>
      </w:r>
      <w:r>
        <w:rPr>
          <w:rFonts w:hint="eastAsia" w:ascii="仿宋_GB2312" w:hAnsi="宋体" w:eastAsia="仿宋_GB2312" w:cs="宋体"/>
          <w:bCs/>
          <w:kern w:val="0"/>
          <w:sz w:val="24"/>
          <w:lang w:val="en-US" w:eastAsia="zh-CN"/>
        </w:rPr>
        <w:t>理财产品</w:t>
      </w:r>
      <w:r>
        <w:rPr>
          <w:rFonts w:hint="eastAsia" w:ascii="仿宋_GB2312" w:hAnsi="宋体" w:eastAsia="仿宋_GB2312" w:cs="宋体"/>
          <w:bCs/>
          <w:kern w:val="0"/>
          <w:sz w:val="24"/>
        </w:rPr>
        <w:t>财产已计提的资金利息和提前支取时收到的资金利息差额），该息差的处理方法由管理人和托管人双方协商解决。</w:t>
      </w:r>
    </w:p>
    <w:p>
      <w:pPr>
        <w:pageBreakBefore w:val="0"/>
        <w:widowControl w:val="0"/>
        <w:kinsoku/>
        <w:wordWrap/>
        <w:overflowPunct/>
        <w:topLinePunct w:val="0"/>
        <w:bidi w:val="0"/>
        <w:adjustRightInd w:val="0"/>
        <w:snapToGrid w:val="0"/>
        <w:spacing w:beforeLines="0" w:afterLines="0" w:line="329" w:lineRule="auto"/>
        <w:ind w:firstLine="482" w:firstLineChars="200"/>
        <w:jc w:val="left"/>
        <w:rPr>
          <w:rFonts w:ascii="仿宋_GB2312" w:hAnsi="宋体" w:eastAsia="仿宋_GB2312" w:cs="宋体"/>
          <w:b/>
          <w:bCs/>
          <w:kern w:val="0"/>
          <w:sz w:val="24"/>
        </w:rPr>
      </w:pPr>
      <w:r>
        <w:rPr>
          <w:rFonts w:hint="eastAsia" w:ascii="仿宋_GB2312" w:hAnsi="宋体" w:eastAsia="仿宋_GB2312" w:cs="宋体"/>
          <w:b/>
          <w:bCs/>
          <w:kern w:val="0"/>
          <w:sz w:val="24"/>
        </w:rPr>
        <w:t>5.2.</w:t>
      </w:r>
      <w:r>
        <w:rPr>
          <w:rFonts w:hint="eastAsia" w:ascii="仿宋_GB2312" w:hAnsi="宋体" w:eastAsia="仿宋_GB2312" w:cs="宋体"/>
          <w:b/>
          <w:bCs/>
          <w:kern w:val="0"/>
          <w:sz w:val="24"/>
          <w:lang w:val="en-US" w:eastAsia="zh-CN"/>
        </w:rPr>
        <w:t>7</w:t>
      </w:r>
      <w:r>
        <w:rPr>
          <w:rFonts w:hint="eastAsia" w:ascii="仿宋_GB2312" w:hAnsi="宋体" w:eastAsia="仿宋_GB2312" w:cs="宋体"/>
          <w:b/>
          <w:bCs/>
          <w:kern w:val="0"/>
          <w:sz w:val="24"/>
        </w:rPr>
        <w:t>其他账户</w:t>
      </w:r>
    </w:p>
    <w:p>
      <w:pPr>
        <w:pageBreakBefore w:val="0"/>
        <w:widowControl w:val="0"/>
        <w:kinsoku/>
        <w:wordWrap/>
        <w:overflowPunct/>
        <w:topLinePunct w:val="0"/>
        <w:bidi w:val="0"/>
        <w:adjustRightInd w:val="0"/>
        <w:snapToGrid w:val="0"/>
        <w:spacing w:beforeLines="0" w:afterLines="0" w:line="329" w:lineRule="auto"/>
        <w:ind w:firstLine="480" w:firstLineChars="200"/>
        <w:jc w:val="left"/>
        <w:rPr>
          <w:rFonts w:ascii="仿宋_GB2312" w:hAnsi="宋体" w:eastAsia="仿宋_GB2312"/>
          <w:sz w:val="24"/>
        </w:rPr>
      </w:pPr>
      <w:r>
        <w:rPr>
          <w:rFonts w:hint="eastAsia" w:ascii="仿宋_GB2312" w:hAnsi="宋体" w:eastAsia="仿宋_GB2312" w:cs="宋体"/>
          <w:bCs/>
          <w:kern w:val="0"/>
          <w:sz w:val="24"/>
        </w:rPr>
        <w:t>与本理财产品投资有关的其他账户，由甲方与乙方协商一致后办理。</w:t>
      </w:r>
    </w:p>
    <w:p>
      <w:pPr>
        <w:pageBreakBefore w:val="0"/>
        <w:widowControl w:val="0"/>
        <w:kinsoku/>
        <w:wordWrap/>
        <w:overflowPunct/>
        <w:topLinePunct w:val="0"/>
        <w:bidi w:val="0"/>
        <w:adjustRightInd w:val="0"/>
        <w:snapToGrid w:val="0"/>
        <w:spacing w:beforeLines="0" w:afterLines="0" w:line="329" w:lineRule="auto"/>
        <w:ind w:firstLine="480" w:firstLineChars="200"/>
        <w:jc w:val="left"/>
        <w:rPr>
          <w:rFonts w:ascii="仿宋_GB2312" w:hAnsi="宋体" w:eastAsia="仿宋_GB2312"/>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60" w:name="_Toc160530127"/>
      <w:bookmarkEnd w:id="60"/>
      <w:bookmarkStart w:id="61" w:name="_Toc236563575"/>
      <w:bookmarkEnd w:id="61"/>
      <w:bookmarkStart w:id="62" w:name="_Toc236567918"/>
      <w:bookmarkEnd w:id="62"/>
      <w:bookmarkStart w:id="63" w:name="_Toc236567919"/>
      <w:bookmarkEnd w:id="63"/>
      <w:bookmarkStart w:id="64" w:name="_Toc236563572"/>
      <w:bookmarkEnd w:id="64"/>
      <w:bookmarkStart w:id="65" w:name="_Toc236567917"/>
      <w:bookmarkEnd w:id="65"/>
      <w:bookmarkStart w:id="66" w:name="_Toc236563571"/>
      <w:bookmarkEnd w:id="66"/>
      <w:bookmarkStart w:id="67" w:name="_Toc236567922"/>
      <w:bookmarkEnd w:id="67"/>
      <w:bookmarkStart w:id="68" w:name="_Toc236563574"/>
      <w:bookmarkEnd w:id="68"/>
      <w:bookmarkStart w:id="69" w:name="_Toc160530198"/>
      <w:bookmarkEnd w:id="69"/>
      <w:bookmarkStart w:id="70" w:name="_Toc236563576"/>
      <w:bookmarkEnd w:id="70"/>
      <w:bookmarkStart w:id="71" w:name="_Toc160530197"/>
      <w:bookmarkEnd w:id="71"/>
      <w:bookmarkStart w:id="72" w:name="_Toc236567916"/>
      <w:bookmarkEnd w:id="72"/>
      <w:bookmarkStart w:id="73" w:name="_Toc236563570"/>
      <w:bookmarkEnd w:id="73"/>
      <w:bookmarkStart w:id="74" w:name="_Toc236563573"/>
      <w:bookmarkEnd w:id="74"/>
      <w:bookmarkStart w:id="75" w:name="_Toc236567920"/>
      <w:bookmarkEnd w:id="75"/>
      <w:bookmarkStart w:id="76" w:name="_Toc236567921"/>
      <w:bookmarkEnd w:id="76"/>
      <w:bookmarkStart w:id="77" w:name="_Toc160530128"/>
      <w:bookmarkEnd w:id="77"/>
      <w:bookmarkStart w:id="78" w:name="_Toc28091912"/>
      <w:bookmarkStart w:id="79" w:name="_Toc301882197"/>
      <w:bookmarkStart w:id="80" w:name="_Toc160530129"/>
      <w:bookmarkStart w:id="81" w:name="_Toc16532"/>
      <w:bookmarkStart w:id="82" w:name="_Toc97719076"/>
      <w:bookmarkStart w:id="83" w:name="_Toc30385"/>
      <w:bookmarkStart w:id="84" w:name="_Toc28896"/>
      <w:bookmarkStart w:id="85" w:name="_Toc162062290"/>
      <w:bookmarkStart w:id="86" w:name="_Toc7586"/>
      <w:bookmarkStart w:id="87" w:name="_Toc141850059"/>
      <w:r>
        <w:rPr>
          <w:rFonts w:hint="eastAsia" w:ascii="仿宋_GB2312" w:hAnsi="宋体" w:eastAsia="仿宋_GB2312"/>
          <w:sz w:val="24"/>
          <w:szCs w:val="24"/>
        </w:rPr>
        <w:t>第六章  理财</w:t>
      </w:r>
      <w:r>
        <w:rPr>
          <w:rFonts w:hint="eastAsia" w:ascii="仿宋_GB2312" w:hAnsi="宋体" w:eastAsia="仿宋_GB2312"/>
          <w:kern w:val="0"/>
          <w:sz w:val="24"/>
          <w:szCs w:val="24"/>
        </w:rPr>
        <w:t>资金运用划款指令</w:t>
      </w:r>
      <w:r>
        <w:rPr>
          <w:rFonts w:hint="eastAsia" w:ascii="仿宋_GB2312" w:hAnsi="宋体" w:eastAsia="仿宋_GB2312"/>
          <w:sz w:val="24"/>
          <w:szCs w:val="24"/>
        </w:rPr>
        <w:t>的确认与执行</w:t>
      </w:r>
      <w:bookmarkEnd w:id="78"/>
      <w:bookmarkEnd w:id="79"/>
      <w:bookmarkEnd w:id="80"/>
      <w:bookmarkEnd w:id="81"/>
      <w:bookmarkEnd w:id="82"/>
      <w:bookmarkEnd w:id="83"/>
      <w:bookmarkEnd w:id="84"/>
      <w:bookmarkEnd w:id="85"/>
      <w:bookmarkEnd w:id="86"/>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bookmarkStart w:id="88" w:name="_Toc160530130"/>
      <w:r>
        <w:rPr>
          <w:rFonts w:hint="eastAsia" w:ascii="仿宋_GB2312" w:hAnsi="宋体" w:eastAsia="仿宋_GB2312"/>
          <w:b/>
          <w:sz w:val="24"/>
          <w:szCs w:val="24"/>
        </w:rPr>
        <w:t>6.1甲方对发送理财资金运用划款指令人员的授权</w:t>
      </w:r>
      <w:bookmarkEnd w:id="88"/>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甲方向乙方提供适用于甲方交付给乙方的全部理财产品的“托管专户划款指令授权书”（格式见本协议附件2）。</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理财资金运用划款指令授权书”应加盖甲方公章。乙方在收到该授权书原件并经甲方电话确认后，授权文件即生效。如果授权文件中载明具体生效时间的，该生效时间不得早于乙方收到授权文件并经确认的时点。如早于，则以乙方收到授权文件并经确认的时点为授权文件的生效时间。</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甲方和乙方对“理财资金运用划款指令授权书”及其更改负有保密义务，其内容不得向指令发送人员及相关操作人员以外的任何人披露、泄露。</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kern w:val="0"/>
          <w:sz w:val="24"/>
          <w:szCs w:val="24"/>
          <w:lang w:eastAsia="zh-CN"/>
        </w:rPr>
      </w:pPr>
      <w:r>
        <w:rPr>
          <w:rFonts w:hint="eastAsia" w:ascii="仿宋_GB2312" w:hAnsi="宋体" w:eastAsia="仿宋_GB2312"/>
          <w:kern w:val="0"/>
          <w:sz w:val="24"/>
          <w:szCs w:val="24"/>
        </w:rPr>
        <w:t>甲方若需对理财资金运用划款指令授权书的内容进行更改，应按照附件2的格式及时向乙方发出新的理财资金运用划款指令授权书，新授权书从乙方审查并电话确认之日起生效。如果新授权书中载明具体生效时间的，该生效时间不得早于审查并电话确认的时点。如早于，则以乙方审查并电话确认的时点为新授权书的生效时间</w:t>
      </w:r>
      <w:r>
        <w:rPr>
          <w:rFonts w:hint="eastAsia" w:ascii="仿宋_GB2312" w:hAnsi="宋体" w:eastAsia="仿宋_GB2312"/>
          <w:kern w:val="0"/>
          <w:sz w:val="24"/>
          <w:szCs w:val="24"/>
          <w:lang w:eastAsia="zh-CN"/>
        </w:rPr>
        <w:t>。</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r>
        <w:rPr>
          <w:rFonts w:hint="eastAsia" w:ascii="仿宋_GB2312" w:hAnsi="宋体" w:eastAsia="仿宋_GB2312"/>
          <w:b/>
          <w:sz w:val="24"/>
          <w:szCs w:val="24"/>
        </w:rPr>
        <w:t>6.2</w:t>
      </w:r>
      <w:r>
        <w:rPr>
          <w:rFonts w:hint="eastAsia" w:ascii="仿宋_GB2312" w:hAnsi="宋体" w:eastAsia="仿宋_GB2312"/>
          <w:b/>
          <w:kern w:val="0"/>
          <w:sz w:val="24"/>
          <w:szCs w:val="24"/>
        </w:rPr>
        <w:t>理财资金运用划款指令</w:t>
      </w:r>
      <w:r>
        <w:rPr>
          <w:rFonts w:hint="eastAsia" w:ascii="仿宋_GB2312" w:hAnsi="宋体" w:eastAsia="仿宋_GB2312"/>
          <w:b/>
          <w:sz w:val="24"/>
          <w:szCs w:val="24"/>
        </w:rPr>
        <w:t>的内容</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理财资金运用划款指令是指甲方发至乙方的有关甲方理财产品名下的款项支付以及其它相关资金划拨、财产处置的指令。</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甲方发送给乙方的理财资金运用划款指令应列明款项事由、支付时间、支付金额、收付款账户信息等，对于通过传真、邮件形式向乙方提交的指令，指令上应加盖与理财资金运用划款指令授权书中预留印鉴相符的印章，并由理财资金运用划款指令授权书项下的授权人员签字</w:t>
      </w:r>
      <w:r>
        <w:rPr>
          <w:rFonts w:hint="eastAsia" w:ascii="仿宋_GB2312" w:hAnsi="宋体" w:eastAsia="仿宋_GB2312"/>
          <w:kern w:val="0"/>
          <w:sz w:val="24"/>
          <w:szCs w:val="24"/>
          <w:lang w:val="en-US" w:eastAsia="zh-CN"/>
        </w:rPr>
        <w:t>/章</w:t>
      </w:r>
      <w:r>
        <w:rPr>
          <w:rFonts w:hint="eastAsia" w:ascii="仿宋_GB2312" w:hAnsi="宋体" w:eastAsia="仿宋_GB2312"/>
          <w:kern w:val="0"/>
          <w:sz w:val="24"/>
          <w:szCs w:val="24"/>
        </w:rPr>
        <w:t>。甲方通过邮件、传真发送给乙方的理财资金运用划款指令的内容和格式见本协议附件3。</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r>
        <w:rPr>
          <w:rFonts w:hint="eastAsia" w:ascii="仿宋_GB2312" w:hAnsi="宋体" w:eastAsia="仿宋_GB2312"/>
          <w:b/>
          <w:sz w:val="24"/>
          <w:szCs w:val="24"/>
        </w:rPr>
        <w:t>6.3理财资金运用划款指令的发送、确认和执行</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bCs/>
          <w:kern w:val="0"/>
          <w:sz w:val="24"/>
          <w:szCs w:val="24"/>
        </w:rPr>
      </w:pPr>
      <w:r>
        <w:rPr>
          <w:rFonts w:hint="eastAsia" w:ascii="仿宋_GB2312" w:hAnsi="宋体" w:eastAsia="仿宋_GB2312"/>
          <w:b/>
          <w:bCs/>
          <w:kern w:val="0"/>
          <w:sz w:val="24"/>
          <w:szCs w:val="24"/>
        </w:rPr>
        <w:t>6.3.1理财资金运用划款指令的发送</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sz w:val="24"/>
        </w:rPr>
      </w:pPr>
      <w:r>
        <w:rPr>
          <w:rFonts w:hint="eastAsia" w:ascii="仿宋_GB2312" w:hAnsi="宋体" w:eastAsia="仿宋_GB2312"/>
          <w:kern w:val="0"/>
          <w:sz w:val="24"/>
          <w:szCs w:val="24"/>
        </w:rPr>
        <w:t>指令由“托管专户划款指令授权书”确定的被授权人代表甲方用</w:t>
      </w:r>
      <w:r>
        <w:rPr>
          <w:rFonts w:hint="eastAsia" w:ascii="仿宋_GB2312" w:hAnsi="宋体" w:eastAsia="仿宋_GB2312"/>
          <w:kern w:val="0"/>
          <w:sz w:val="24"/>
          <w:szCs w:val="24"/>
          <w:lang w:eastAsia="zh-CN"/>
        </w:rPr>
        <w:t>深证通</w:t>
      </w:r>
      <w:r>
        <w:rPr>
          <w:rFonts w:hint="eastAsia" w:ascii="仿宋_GB2312" w:hAnsi="宋体" w:eastAsia="仿宋_GB2312"/>
          <w:kern w:val="0"/>
          <w:sz w:val="24"/>
          <w:szCs w:val="24"/>
        </w:rPr>
        <w:t>电子</w:t>
      </w:r>
      <w:r>
        <w:rPr>
          <w:rFonts w:hint="eastAsia" w:ascii="仿宋_GB2312" w:hAnsi="宋体" w:eastAsia="仿宋_GB2312"/>
          <w:kern w:val="0"/>
          <w:sz w:val="24"/>
          <w:szCs w:val="24"/>
          <w:lang w:eastAsia="zh-CN"/>
        </w:rPr>
        <w:t>直连</w:t>
      </w:r>
      <w:r>
        <w:rPr>
          <w:rFonts w:hint="eastAsia" w:ascii="仿宋_GB2312" w:hAnsi="宋体" w:eastAsia="仿宋_GB2312"/>
          <w:kern w:val="0"/>
          <w:sz w:val="24"/>
          <w:szCs w:val="24"/>
        </w:rPr>
        <w:t>或其他甲乙双方认可的方式向乙方发送。</w:t>
      </w:r>
      <w:r>
        <w:rPr>
          <w:rFonts w:ascii="仿宋_GB2312" w:hAnsi="宋体" w:eastAsia="仿宋_GB2312"/>
          <w:sz w:val="24"/>
        </w:rPr>
        <w:t>在应急情况下，</w:t>
      </w:r>
      <w:r>
        <w:rPr>
          <w:rFonts w:hint="eastAsia" w:ascii="仿宋_GB2312" w:hAnsi="宋体" w:eastAsia="仿宋_GB2312"/>
          <w:sz w:val="24"/>
        </w:rPr>
        <w:t>甲方应事先告知乙方并说明原因后，以授权邮箱发送划款指令作为应急措施。</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甲方发出理财资金运用划款指令后，应由该指令签发人员之一向乙方确认。甲方向乙方发送理财资金运用划款指令的同时（或之前）应当向乙方提供相关交易合同、协议及本协议第六章约定的其他相关资料作为划款依据。因甲方未能及时与乙方进行指令确认，致使资金未能及时到账所造成的损失，</w:t>
      </w:r>
      <w:r>
        <w:rPr>
          <w:rFonts w:hint="eastAsia" w:ascii="仿宋_GB2312" w:hAnsi="宋体" w:eastAsia="仿宋_GB2312"/>
          <w:kern w:val="0"/>
          <w:sz w:val="24"/>
          <w:szCs w:val="24"/>
          <w:lang w:val="en-US" w:eastAsia="zh-CN"/>
        </w:rPr>
        <w:t>乙方不</w:t>
      </w:r>
      <w:r>
        <w:rPr>
          <w:rFonts w:hint="eastAsia" w:ascii="仿宋_GB2312" w:hAnsi="宋体" w:eastAsia="仿宋_GB2312"/>
          <w:kern w:val="0"/>
          <w:sz w:val="24"/>
          <w:szCs w:val="24"/>
        </w:rPr>
        <w:t>承担责任。</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甲方向乙方发送有效划款指令时，应确保乙方有足够的处理时间，除需考虑资金在途时间外，还需给乙方留有2个工作小时的复核和审批时间。甲方在每个工作日的15：30以后发送的要求当日支付的划款指令，乙方不保证当天能够执行，但乙方应本着勤勉尽责的原则积极处理。有效划款指令是指指令要素（包括付款人、付款账号、收款人、收款账号、金额（大、小写）、款项事由、支付时间）准确无误、预留印鉴相符、相关的指令附件齐全且头寸充足的划款指令。</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对于银证转账和证银转账的指令，甲方应在当日下午14：00点前将相关指令发送至乙方，对于14:00以后发送的要求当日划款的上述指令，乙方应本着勤勉尽责的原则积极处理，但不保证能够执行。</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szCs w:val="24"/>
        </w:rPr>
      </w:pPr>
      <w:r>
        <w:rPr>
          <w:rFonts w:hint="eastAsia" w:ascii="仿宋_GB2312" w:hAnsi="宋体" w:eastAsia="仿宋_GB2312"/>
          <w:b/>
          <w:kern w:val="0"/>
          <w:sz w:val="24"/>
          <w:szCs w:val="24"/>
        </w:rPr>
        <w:t>6.3.2 理财资金运用划款指令的确认和执行</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kern w:val="0"/>
          <w:sz w:val="24"/>
          <w:szCs w:val="24"/>
        </w:rPr>
      </w:pPr>
      <w:r>
        <w:rPr>
          <w:rFonts w:hint="eastAsia" w:ascii="仿宋_GB2312" w:hAnsi="宋体" w:eastAsia="仿宋_GB2312"/>
          <w:kern w:val="0"/>
          <w:sz w:val="24"/>
          <w:szCs w:val="24"/>
        </w:rPr>
        <w:t>乙方根据本协议相关约定仅履行表面一致形式审核职责，对指令的真实性不承担责任。如果甲方的指令存在事实上未经授权、欺诈、伪造、变造或未能及时提供授权通知等情形，乙方不承担因执行有关指令或拒绝执行有关指令而给甲方或理财产品财产或任何第三方带来的损失，全部责任由甲方承担，乙方由此遭受的损失，由甲方负责赔偿。</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kern w:val="0"/>
          <w:sz w:val="24"/>
          <w:szCs w:val="24"/>
        </w:rPr>
      </w:pPr>
      <w:r>
        <w:rPr>
          <w:rFonts w:hint="eastAsia" w:ascii="仿宋_GB2312" w:hAnsi="宋体" w:eastAsia="仿宋_GB2312"/>
          <w:kern w:val="0"/>
          <w:sz w:val="24"/>
          <w:szCs w:val="24"/>
        </w:rPr>
        <w:t>乙方收到甲方发送的指令后，应对指令进行表面形式审查，验证指令的要素是否齐全，</w:t>
      </w:r>
      <w:r>
        <w:rPr>
          <w:rFonts w:hint="eastAsia" w:ascii="仿宋_GB2312" w:hAnsi="宋体" w:eastAsia="仿宋_GB2312"/>
          <w:kern w:val="0"/>
          <w:sz w:val="24"/>
          <w:szCs w:val="24"/>
          <w:lang w:eastAsia="zh-CN"/>
        </w:rPr>
        <w:t>纸质</w:t>
      </w:r>
      <w:r>
        <w:rPr>
          <w:rFonts w:hint="eastAsia" w:ascii="仿宋_GB2312" w:hAnsi="宋体" w:eastAsia="仿宋_GB2312"/>
          <w:kern w:val="0"/>
          <w:sz w:val="24"/>
          <w:szCs w:val="24"/>
        </w:rPr>
        <w:t>指令仅对划款指令的印鉴及被授权人签章等通过肉眼辨识的方式与预留印鉴和签章样本进行比对，形式上不存在重大差异的，即视为通过表面审查。甲方出具的划款指令中的编号不属于指令要素，属于甲方内部业务信息，乙方不对指令编号承担任何审核职责；甲方应确保其在划款指令中填写的内容真实、准确、完整，划款指令编号不存在重复。因划款指令编号重复、编号不连续、空缺导致的重复性扣款，所产生的责任由甲方承担，与乙方无关。指令复核无误后应在规定期限内及时执行。指令若以传真</w:t>
      </w:r>
      <w:r>
        <w:rPr>
          <w:rFonts w:hint="eastAsia" w:ascii="仿宋_GB2312" w:hAnsi="宋体" w:eastAsia="仿宋_GB2312"/>
          <w:kern w:val="0"/>
          <w:sz w:val="24"/>
          <w:szCs w:val="24"/>
          <w:lang w:eastAsia="zh-CN"/>
        </w:rPr>
        <w:t>或邮件</w:t>
      </w:r>
      <w:r>
        <w:rPr>
          <w:rFonts w:hint="eastAsia" w:ascii="仿宋_GB2312" w:hAnsi="宋体" w:eastAsia="仿宋_GB2312"/>
          <w:kern w:val="0"/>
          <w:sz w:val="24"/>
          <w:szCs w:val="24"/>
        </w:rPr>
        <w:t>方式发出，则正本由甲方保管，乙方保管指令传真件</w:t>
      </w:r>
      <w:r>
        <w:rPr>
          <w:rFonts w:hint="eastAsia" w:ascii="仿宋_GB2312" w:hAnsi="宋体" w:eastAsia="仿宋_GB2312"/>
          <w:kern w:val="0"/>
          <w:sz w:val="24"/>
          <w:szCs w:val="24"/>
          <w:lang w:val="en-US" w:eastAsia="zh-CN"/>
        </w:rPr>
        <w:t>/扫描件</w:t>
      </w:r>
      <w:r>
        <w:rPr>
          <w:rFonts w:hint="eastAsia" w:ascii="仿宋_GB2312" w:hAnsi="宋体" w:eastAsia="仿宋_GB2312"/>
          <w:kern w:val="0"/>
          <w:sz w:val="24"/>
          <w:szCs w:val="24"/>
        </w:rPr>
        <w:t>。当两者不一致时，以乙方收到的指令传真件</w:t>
      </w:r>
      <w:r>
        <w:rPr>
          <w:rFonts w:hint="eastAsia" w:ascii="仿宋_GB2312" w:hAnsi="宋体" w:eastAsia="仿宋_GB2312"/>
          <w:kern w:val="0"/>
          <w:sz w:val="24"/>
          <w:szCs w:val="24"/>
          <w:lang w:val="en-US" w:eastAsia="zh-CN"/>
        </w:rPr>
        <w:t>/扫描件</w:t>
      </w:r>
      <w:r>
        <w:rPr>
          <w:rFonts w:hint="eastAsia" w:ascii="仿宋_GB2312" w:hAnsi="宋体" w:eastAsia="仿宋_GB2312"/>
          <w:kern w:val="0"/>
          <w:sz w:val="24"/>
          <w:szCs w:val="24"/>
        </w:rPr>
        <w:t>为准。</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kern w:val="0"/>
          <w:sz w:val="24"/>
          <w:szCs w:val="24"/>
        </w:rPr>
      </w:pPr>
      <w:r>
        <w:rPr>
          <w:rFonts w:hint="eastAsia" w:ascii="仿宋_GB2312" w:hAnsi="宋体" w:eastAsia="仿宋_GB2312"/>
          <w:kern w:val="0"/>
          <w:sz w:val="24"/>
          <w:szCs w:val="24"/>
        </w:rPr>
        <w:t>乙方不负责审查甲方发送指令同时提交的其他文件资料的合法性、真实性、完整性和有效性，甲方应保证上述文件资料合法、真实、完整和有效。如因甲方提供的上述文件不合法、不真实、不完整或失去效力而影响乙方的审核或给任何第三人带来损失，乙方不承担任何形式的责任。乙方由此遭受的损失，由甲方负责赔偿。</w:t>
      </w:r>
    </w:p>
    <w:p>
      <w:pPr>
        <w:pStyle w:val="12"/>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szCs w:val="24"/>
        </w:rPr>
      </w:pPr>
      <w:r>
        <w:rPr>
          <w:rFonts w:hint="eastAsia" w:ascii="仿宋_GB2312" w:hAnsi="宋体" w:eastAsia="仿宋_GB2312" w:cs="宋体"/>
          <w:sz w:val="24"/>
          <w:szCs w:val="24"/>
        </w:rPr>
        <w:t>甲、乙双方</w:t>
      </w:r>
      <w:r>
        <w:rPr>
          <w:rFonts w:hint="eastAsia" w:ascii="仿宋_GB2312" w:hAnsi="宋体" w:eastAsia="仿宋_GB2312"/>
          <w:kern w:val="0"/>
          <w:sz w:val="24"/>
          <w:szCs w:val="24"/>
        </w:rPr>
        <w:t>业务联系名册暨有关业务往来印章和具体操作人员授权书详</w:t>
      </w:r>
      <w:r>
        <w:rPr>
          <w:rFonts w:hint="eastAsia" w:ascii="仿宋_GB2312" w:hAnsi="宋体" w:eastAsia="仿宋_GB2312" w:cs="宋体"/>
          <w:sz w:val="24"/>
          <w:szCs w:val="24"/>
        </w:rPr>
        <w:t>见附件4。</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szCs w:val="24"/>
        </w:rPr>
      </w:pPr>
      <w:r>
        <w:rPr>
          <w:rFonts w:hint="eastAsia" w:ascii="仿宋_GB2312" w:hAnsi="宋体" w:eastAsia="仿宋_GB2312"/>
          <w:b/>
          <w:kern w:val="0"/>
          <w:sz w:val="24"/>
          <w:szCs w:val="24"/>
        </w:rPr>
        <w:t>6.4 理财资金运用划款指令发送、确认与执行的相关责任</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sz w:val="24"/>
          <w:szCs w:val="24"/>
        </w:rPr>
        <w:t>6.4.1</w:t>
      </w:r>
      <w:r>
        <w:rPr>
          <w:rFonts w:hint="eastAsia" w:ascii="仿宋_GB2312" w:hAnsi="宋体" w:eastAsia="仿宋_GB2312"/>
          <w:kern w:val="0"/>
          <w:sz w:val="24"/>
          <w:szCs w:val="24"/>
        </w:rPr>
        <w:t>除因乙方</w:t>
      </w:r>
      <w:r>
        <w:rPr>
          <w:rFonts w:hint="eastAsia" w:ascii="仿宋_GB2312" w:hAnsi="宋体" w:eastAsia="仿宋_GB2312"/>
          <w:kern w:val="0"/>
          <w:sz w:val="24"/>
          <w:szCs w:val="24"/>
          <w:lang w:val="en-US" w:eastAsia="zh-CN"/>
        </w:rPr>
        <w:t>原因</w:t>
      </w:r>
      <w:r>
        <w:rPr>
          <w:rFonts w:hint="eastAsia" w:ascii="仿宋_GB2312" w:hAnsi="宋体" w:eastAsia="仿宋_GB2312"/>
          <w:kern w:val="0"/>
          <w:sz w:val="24"/>
          <w:szCs w:val="24"/>
        </w:rPr>
        <w:t>致使甲方理财产品资产受到损害而承担赔偿责任外，乙方对执行甲方的合法指令造成的理财产品资产的损失不承担赔偿责任；对于执行指令过程中由于本协议当事人以外的第三方原因对理财产品资产造成的损失，乙方不承担赔偿责任。</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sz w:val="24"/>
          <w:szCs w:val="24"/>
        </w:rPr>
        <w:t>6.4.2</w:t>
      </w:r>
      <w:r>
        <w:rPr>
          <w:rFonts w:hint="eastAsia" w:ascii="仿宋_GB2312" w:hAnsi="宋体" w:eastAsia="仿宋_GB2312"/>
          <w:kern w:val="0"/>
          <w:sz w:val="24"/>
          <w:szCs w:val="24"/>
        </w:rPr>
        <w:t>因资金未能及时到账或相关财产权利未能及时变更而导致甲方理财产品资产损失的，由过错方承担责任。由于本协议当事人以外的第三方原因，导致甲方理财产品资产损失的，由甲方负责向第三方追偿，乙方予以必要的协助。</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sz w:val="24"/>
          <w:szCs w:val="24"/>
        </w:rPr>
        <w:t>6.4.3</w:t>
      </w:r>
      <w:r>
        <w:rPr>
          <w:rFonts w:hint="eastAsia" w:ascii="仿宋_GB2312" w:hAnsi="宋体" w:eastAsia="仿宋_GB2312"/>
          <w:kern w:val="0"/>
          <w:sz w:val="24"/>
          <w:szCs w:val="24"/>
        </w:rPr>
        <w:t>甲方向乙方下达理财资金运用划款指令时，应确保各理财产品所对应的托管专户有足够的资金余额，对超头寸的理财资金运用划款指令，乙方可不予执行，但应</w:t>
      </w:r>
      <w:r>
        <w:rPr>
          <w:rFonts w:ascii="仿宋_GB2312" w:hAnsi="宋体" w:eastAsia="仿宋_GB2312"/>
          <w:kern w:val="0"/>
          <w:sz w:val="24"/>
          <w:szCs w:val="24"/>
        </w:rPr>
        <w:t>及时</w:t>
      </w:r>
      <w:r>
        <w:rPr>
          <w:rFonts w:hint="eastAsia" w:ascii="仿宋_GB2312" w:hAnsi="宋体" w:eastAsia="仿宋_GB2312"/>
          <w:kern w:val="0"/>
          <w:sz w:val="24"/>
          <w:szCs w:val="24"/>
        </w:rPr>
        <w:t>通知甲方，由此造成的损失乙方不承担责任。</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sz w:val="24"/>
          <w:szCs w:val="24"/>
        </w:rPr>
        <w:t>6.4.4</w:t>
      </w:r>
      <w:r>
        <w:rPr>
          <w:rFonts w:hint="eastAsia" w:ascii="仿宋_GB2312" w:hAnsi="宋体" w:eastAsia="仿宋_GB2312"/>
          <w:kern w:val="0"/>
          <w:sz w:val="24"/>
          <w:szCs w:val="24"/>
        </w:rPr>
        <w:t>甲方未按照本协议约定将理财产品投资交易的相关文件、资料提供给乙方的，乙方有权对甲方的相关理财资金运用划款指令拒绝执行，并及时通知甲方。</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sz w:val="24"/>
          <w:szCs w:val="24"/>
        </w:rPr>
        <w:t>6.4.5</w:t>
      </w:r>
      <w:r>
        <w:rPr>
          <w:rFonts w:hint="eastAsia" w:ascii="仿宋_GB2312" w:hAnsi="宋体" w:eastAsia="仿宋_GB2312"/>
          <w:kern w:val="0"/>
          <w:sz w:val="24"/>
          <w:szCs w:val="24"/>
        </w:rPr>
        <w:t>乙方应依据法律法规规定和本协议约定对理财资金运用划款指令进行监督审核，对适当的指令应在约定期限内执行，不得延误。乙方在履行监督职能时，发现甲方的指令违背法律法规、理财文件和本协议规定的，应当要求甲方改正或撤销，未能改正或撤销的，乙方应当拒绝执行，并向监管机构报告。</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eastAsia="仿宋_GB2312"/>
          <w:sz w:val="24"/>
          <w:szCs w:val="24"/>
        </w:rPr>
      </w:pPr>
      <w:r>
        <w:rPr>
          <w:rFonts w:hint="eastAsia" w:ascii="仿宋_GB2312" w:hAnsi="宋体" w:eastAsia="仿宋_GB2312"/>
          <w:b/>
          <w:sz w:val="24"/>
          <w:szCs w:val="24"/>
        </w:rPr>
        <w:t>6.4.6</w:t>
      </w:r>
      <w:r>
        <w:rPr>
          <w:rFonts w:hint="eastAsia" w:ascii="仿宋_GB2312" w:eastAsia="仿宋_GB2312"/>
          <w:sz w:val="24"/>
          <w:szCs w:val="24"/>
        </w:rPr>
        <w:t>甲方向乙方提供的划款指令相关附件中未明确收款账号时，乙方将直接根据甲方划款指令载明的收款账号进行划款，对于此类划款如果由于划款指令中收款账号信息错误造成的损失乙方不承担责任。</w:t>
      </w:r>
    </w:p>
    <w:bookmarkEnd w:id="87"/>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szCs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89" w:name="_Toc301882198"/>
      <w:bookmarkEnd w:id="89"/>
      <w:bookmarkStart w:id="90" w:name="00"/>
      <w:bookmarkEnd w:id="90"/>
      <w:bookmarkStart w:id="91" w:name="_Toc301882199"/>
      <w:bookmarkEnd w:id="91"/>
      <w:bookmarkStart w:id="92" w:name="_Toc162062292"/>
      <w:bookmarkStart w:id="93" w:name="_Toc160530132"/>
      <w:bookmarkStart w:id="94" w:name="_Toc97719077"/>
      <w:bookmarkStart w:id="95" w:name="_Toc26385"/>
      <w:bookmarkStart w:id="96" w:name="_Toc2782"/>
      <w:bookmarkStart w:id="97" w:name="_Toc28091913"/>
      <w:bookmarkStart w:id="98" w:name="_Toc9958"/>
      <w:bookmarkStart w:id="99" w:name="_Toc27245"/>
      <w:bookmarkStart w:id="100" w:name="_Toc301882200"/>
      <w:bookmarkStart w:id="101" w:name="_Toc141850060"/>
      <w:bookmarkStart w:id="102" w:name="_Toc135473432"/>
      <w:r>
        <w:rPr>
          <w:rFonts w:hint="eastAsia" w:ascii="仿宋_GB2312" w:hAnsi="宋体" w:eastAsia="仿宋_GB2312"/>
          <w:sz w:val="24"/>
          <w:szCs w:val="24"/>
        </w:rPr>
        <w:t>第七章  理财产品的投资交易</w:t>
      </w:r>
      <w:bookmarkEnd w:id="92"/>
      <w:bookmarkEnd w:id="93"/>
      <w:r>
        <w:rPr>
          <w:rFonts w:hint="eastAsia" w:ascii="仿宋_GB2312" w:hAnsi="宋体" w:eastAsia="仿宋_GB2312"/>
          <w:sz w:val="24"/>
          <w:szCs w:val="24"/>
        </w:rPr>
        <w:t>及其资金清算</w:t>
      </w:r>
      <w:bookmarkEnd w:id="94"/>
      <w:bookmarkEnd w:id="95"/>
      <w:bookmarkEnd w:id="96"/>
      <w:bookmarkEnd w:id="97"/>
      <w:bookmarkEnd w:id="98"/>
      <w:bookmarkEnd w:id="99"/>
      <w:bookmarkEnd w:id="100"/>
    </w:p>
    <w:bookmarkEnd w:id="101"/>
    <w:bookmarkEnd w:id="102"/>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bookmarkStart w:id="103" w:name="_Toc141850062"/>
      <w:bookmarkStart w:id="104" w:name="_Toc135473435"/>
      <w:bookmarkStart w:id="105" w:name="_Toc160530133"/>
      <w:bookmarkStart w:id="106" w:name="_Toc162062293"/>
      <w:bookmarkStart w:id="107" w:name="_Toc135473433"/>
      <w:bookmarkStart w:id="108" w:name="_Toc141850061"/>
      <w:r>
        <w:rPr>
          <w:rFonts w:hint="eastAsia" w:ascii="仿宋_GB2312" w:hAnsi="宋体" w:eastAsia="仿宋_GB2312"/>
          <w:b/>
          <w:kern w:val="0"/>
          <w:sz w:val="24"/>
        </w:rPr>
        <w:t>7.1理财产品的投资对象</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 xml:space="preserve">甲方各理财产品的投资对象在各理财产品销售文件中予以约定。 </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7.2相关投资交易资金的清算交收</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7.2.1投资于开放式基金的资金清算交收</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在本协议有效期内，当理财产品财产通过直销或代销的方式向基金管理公司认购、申购和赎回开放式基金时，甲方应提供基金管理公司名称及指定收款账号等。</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通过代销方式将理财产品投资于开放式证券投资基金的，甲方应确保其选择的销售机构应在中国证监会注册取得基金销售业务资格并已成为中国证券投资基金业协会会员，符合开展基金销售业务的各项资质和要求。</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b/>
          <w:color w:val="3366FF"/>
          <w:sz w:val="30"/>
          <w:szCs w:val="30"/>
        </w:rPr>
      </w:pPr>
      <w:r>
        <w:rPr>
          <w:rFonts w:hint="eastAsia" w:ascii="仿宋_GB2312" w:hAnsi="宋体" w:eastAsia="仿宋_GB2312"/>
          <w:b/>
          <w:kern w:val="0"/>
          <w:sz w:val="24"/>
        </w:rPr>
        <w:t>7.2.2投资于信托计划、基金公司、证券公司、保险资产管理公司等金融机构发行的资产管理计划，以及委托投资管理人进行理财投资管理的资金清算交收安排</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当理财产品投资于信托计划、基金公司、证券公司、保险资产管理公司等金融机构发行的资产管理计划，以及委托投资管理人进行理财投资管理时，甲方需向乙方提供</w:t>
      </w:r>
      <w:r>
        <w:rPr>
          <w:rFonts w:hint="eastAsia" w:ascii="仿宋_GB2312" w:hAnsi="宋体" w:eastAsia="仿宋_GB2312"/>
          <w:kern w:val="0"/>
          <w:sz w:val="24"/>
        </w:rPr>
        <w:t>相应的《信托合同》、《资产管理合同》，《投资管理合同》及投资确认文件（如投资委托书、投资管理确认书）等交易文件，</w:t>
      </w:r>
      <w:r>
        <w:rPr>
          <w:rFonts w:hint="eastAsia" w:ascii="仿宋_GB2312" w:hAnsi="宋体" w:eastAsia="仿宋_GB2312"/>
          <w:sz w:val="24"/>
        </w:rPr>
        <w:t>乙方将根据甲方签发的</w:t>
      </w:r>
      <w:r>
        <w:rPr>
          <w:rFonts w:hint="eastAsia" w:ascii="仿宋_GB2312" w:hAnsi="宋体" w:eastAsia="仿宋_GB2312"/>
          <w:kern w:val="0"/>
          <w:sz w:val="24"/>
        </w:rPr>
        <w:t>理财资金运用划款指令</w:t>
      </w:r>
      <w:r>
        <w:rPr>
          <w:rFonts w:hint="eastAsia" w:ascii="仿宋_GB2312" w:hAnsi="宋体" w:eastAsia="仿宋_GB2312"/>
          <w:sz w:val="24"/>
        </w:rPr>
        <w:t>及本协议约定的相关资料进行审核，审核无误后及时将资金划付至</w:t>
      </w:r>
      <w:r>
        <w:rPr>
          <w:rFonts w:hint="eastAsia" w:ascii="仿宋_GB2312" w:hAnsi="宋体" w:eastAsia="仿宋_GB2312"/>
          <w:kern w:val="0"/>
          <w:sz w:val="24"/>
        </w:rPr>
        <w:t>《信托合同》、《资产管理合同》</w:t>
      </w:r>
      <w:r>
        <w:rPr>
          <w:rFonts w:hint="eastAsia" w:ascii="仿宋_GB2312" w:hAnsi="宋体" w:eastAsia="仿宋_GB2312"/>
          <w:sz w:val="24"/>
        </w:rPr>
        <w:t>指定的收款账户。</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kern w:val="0"/>
          <w:sz w:val="24"/>
        </w:rPr>
        <w:t>理财产品的投资管理事项由甲方或甲方与投资管理人签署《资产管理合同》、《投资管理合同》具体约定。由于客观条件限制，乙方无法保管该投资项下相关资产的，相关资产由甲方自行保管。</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7.2.3投资于同业存放的资金清算交收</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当理财产品资金用于同业存放时，</w:t>
      </w:r>
      <w:r>
        <w:rPr>
          <w:rFonts w:hint="eastAsia" w:ascii="仿宋_GB2312" w:hAnsi="宋体" w:eastAsia="仿宋_GB2312"/>
          <w:sz w:val="24"/>
        </w:rPr>
        <w:t>乙方将根据甲方签发的</w:t>
      </w:r>
      <w:r>
        <w:rPr>
          <w:rFonts w:hint="eastAsia" w:ascii="仿宋_GB2312" w:hAnsi="宋体" w:eastAsia="仿宋_GB2312"/>
          <w:kern w:val="0"/>
          <w:sz w:val="24"/>
        </w:rPr>
        <w:t>理财资金运用划款指令</w:t>
      </w:r>
      <w:r>
        <w:rPr>
          <w:rFonts w:hint="eastAsia" w:ascii="仿宋_GB2312" w:hAnsi="宋体" w:eastAsia="仿宋_GB2312"/>
          <w:sz w:val="24"/>
        </w:rPr>
        <w:t>及本协议约定的相关资料进行审核，审核无误后及时将资金划付至</w:t>
      </w:r>
      <w:r>
        <w:rPr>
          <w:rFonts w:hint="eastAsia" w:ascii="仿宋_GB2312" w:hAnsi="宋体" w:eastAsia="仿宋_GB2312"/>
          <w:kern w:val="0"/>
          <w:sz w:val="24"/>
        </w:rPr>
        <w:t>相关投资合同</w:t>
      </w:r>
      <w:r>
        <w:rPr>
          <w:rFonts w:hint="eastAsia" w:ascii="仿宋_GB2312" w:hAnsi="宋体" w:eastAsia="仿宋_GB2312"/>
          <w:sz w:val="24"/>
        </w:rPr>
        <w:t>指定的收款账户</w:t>
      </w:r>
      <w:r>
        <w:rPr>
          <w:rFonts w:hint="eastAsia" w:ascii="仿宋_GB2312" w:hAnsi="宋体" w:eastAsia="仿宋_GB2312"/>
          <w:kern w:val="0"/>
          <w:sz w:val="24"/>
        </w:rPr>
        <w:t>。</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sz w:val="24"/>
        </w:rPr>
      </w:pPr>
      <w:r>
        <w:rPr>
          <w:rFonts w:hint="eastAsia" w:ascii="仿宋_GB2312" w:hAnsi="宋体" w:eastAsia="仿宋_GB2312" w:cs="宋体"/>
          <w:b/>
          <w:bCs/>
          <w:kern w:val="0"/>
          <w:sz w:val="24"/>
        </w:rPr>
        <w:t>7.2.4</w:t>
      </w:r>
      <w:r>
        <w:rPr>
          <w:rFonts w:hint="eastAsia" w:ascii="仿宋_GB2312" w:hAnsi="宋体" w:eastAsia="仿宋_GB2312"/>
          <w:b/>
          <w:sz w:val="24"/>
        </w:rPr>
        <w:t>甲方理财产品投资于证券交易所市场的资金清算</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甲方应在各理财产品正式投资运作之前为理财产品指定证券经纪商和交易席位，理财产品进行场内证券投资所涉及的证券经纪商专用银行清算账号、交易席位号、交易品种的费率表、证券经纪商佣金收取标准等事项在各理财产品操作协议中进行约定。</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甲方理财产品通过指定证券经纪商进行交易时有关交易数据传输与接收、场内证券交易的资金清算与交割等事项在各理财产品操作协议中进行约定。</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hint="eastAsia" w:ascii="仿宋_GB2312" w:hAnsi="宋体" w:eastAsia="仿宋_GB2312"/>
          <w:b/>
          <w:sz w:val="24"/>
        </w:rPr>
      </w:pPr>
      <w:r>
        <w:rPr>
          <w:rFonts w:hint="eastAsia" w:ascii="仿宋_GB2312" w:hAnsi="宋体" w:eastAsia="仿宋_GB2312"/>
          <w:b/>
          <w:kern w:val="0"/>
          <w:sz w:val="24"/>
          <w:lang w:val="en-US" w:eastAsia="zh-CN"/>
        </w:rPr>
        <w:t xml:space="preserve">7.2.5 </w:t>
      </w:r>
      <w:r>
        <w:rPr>
          <w:rFonts w:hint="eastAsia" w:ascii="仿宋_GB2312" w:hAnsi="宋体" w:eastAsia="仿宋_GB2312"/>
          <w:b/>
          <w:sz w:val="24"/>
        </w:rPr>
        <w:t>甲方理财产品投资于</w:t>
      </w:r>
      <w:r>
        <w:rPr>
          <w:rFonts w:hint="eastAsia" w:ascii="仿宋_GB2312" w:hAnsi="宋体" w:eastAsia="仿宋_GB2312"/>
          <w:b/>
          <w:sz w:val="24"/>
          <w:lang w:eastAsia="zh-CN"/>
        </w:rPr>
        <w:t>银行间债券</w:t>
      </w:r>
      <w:r>
        <w:rPr>
          <w:rFonts w:hint="eastAsia" w:ascii="仿宋_GB2312" w:hAnsi="宋体" w:eastAsia="仿宋_GB2312"/>
          <w:b/>
          <w:sz w:val="24"/>
        </w:rPr>
        <w:t>市场的资金清算</w:t>
      </w:r>
    </w:p>
    <w:p>
      <w:pPr>
        <w:pageBreakBefore w:val="0"/>
        <w:widowControl w:val="0"/>
        <w:kinsoku/>
        <w:wordWrap/>
        <w:overflowPunct/>
        <w:topLinePunct w:val="0"/>
        <w:autoSpaceDE/>
        <w:autoSpaceDN/>
        <w:bidi w:val="0"/>
        <w:adjustRightInd w:val="0"/>
        <w:snapToGrid w:val="0"/>
        <w:spacing w:before="0" w:beforeLines="0" w:after="0" w:afterLines="0" w:line="329"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甲方委托乙方为理财产品投资银行间债券提供债券</w:t>
      </w:r>
      <w:r>
        <w:rPr>
          <w:rFonts w:hint="eastAsia" w:ascii="仿宋_GB2312" w:hAnsi="宋体" w:eastAsia="仿宋_GB2312" w:cs="Times New Roman"/>
          <w:kern w:val="0"/>
          <w:sz w:val="24"/>
          <w:szCs w:val="24"/>
          <w:lang w:eastAsia="zh-CN"/>
        </w:rPr>
        <w:t>登记托管结算</w:t>
      </w:r>
      <w:r>
        <w:rPr>
          <w:rFonts w:hint="eastAsia" w:ascii="仿宋_GB2312" w:hAnsi="宋体" w:eastAsia="仿宋_GB2312" w:cs="Times New Roman"/>
          <w:kern w:val="0"/>
          <w:sz w:val="24"/>
          <w:szCs w:val="24"/>
        </w:rPr>
        <w:t>服务。在甲方按时、足额将交易结算资金划转至乙方指定账户后，乙方根据外汇交易中心提供的产品交易数据及中央登记托管机构结算信息通过代理总账户办理债券结算，通过在中国人民银行大额支付系统的清算账户办理资金结算。</w:t>
      </w:r>
    </w:p>
    <w:p>
      <w:pPr>
        <w:pageBreakBefore w:val="0"/>
        <w:widowControl w:val="0"/>
        <w:kinsoku/>
        <w:wordWrap/>
        <w:overflowPunct/>
        <w:topLinePunct w:val="0"/>
        <w:autoSpaceDE/>
        <w:autoSpaceDN/>
        <w:bidi w:val="0"/>
        <w:adjustRightInd w:val="0"/>
        <w:snapToGrid w:val="0"/>
        <w:spacing w:before="0" w:beforeLines="0" w:after="0" w:afterLines="0" w:line="329"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甲方应履行对理财产品的头寸管理义务，及时将交易结算资金划至乙方指定的资金账户中。</w:t>
      </w:r>
    </w:p>
    <w:p>
      <w:pPr>
        <w:pageBreakBefore w:val="0"/>
        <w:widowControl w:val="0"/>
        <w:kinsoku/>
        <w:wordWrap/>
        <w:overflowPunct/>
        <w:topLinePunct w:val="0"/>
        <w:autoSpaceDE/>
        <w:autoSpaceDN/>
        <w:bidi w:val="0"/>
        <w:adjustRightInd w:val="0"/>
        <w:snapToGrid w:val="0"/>
        <w:spacing w:before="0" w:beforeLines="0" w:after="0" w:afterLines="0" w:line="329"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甲方应协助向乙方提供监管报送所需的产品基本信息、投资人信息、资产负债信息</w:t>
      </w:r>
      <w:r>
        <w:rPr>
          <w:rFonts w:hint="eastAsia" w:ascii="仿宋_GB2312" w:hAnsi="宋体" w:eastAsia="仿宋_GB2312" w:cs="Times New Roman"/>
          <w:kern w:val="0"/>
          <w:sz w:val="24"/>
          <w:szCs w:val="24"/>
          <w:lang w:eastAsia="zh-CN"/>
        </w:rPr>
        <w:t>、</w:t>
      </w:r>
      <w:r>
        <w:rPr>
          <w:rFonts w:hint="eastAsia" w:ascii="仿宋_GB2312" w:hAnsi="宋体" w:eastAsia="仿宋_GB2312" w:cs="Times New Roman"/>
          <w:kern w:val="0"/>
          <w:sz w:val="24"/>
          <w:szCs w:val="24"/>
        </w:rPr>
        <w:t>申赎信息、底层债券违约信息和流动性风险等相关信息。</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7.2.</w:t>
      </w:r>
      <w:r>
        <w:rPr>
          <w:rFonts w:hint="eastAsia" w:ascii="仿宋_GB2312" w:hAnsi="宋体" w:eastAsia="仿宋_GB2312"/>
          <w:b/>
          <w:kern w:val="0"/>
          <w:sz w:val="24"/>
          <w:lang w:val="en-US" w:eastAsia="zh-CN"/>
        </w:rPr>
        <w:t>6</w:t>
      </w:r>
      <w:r>
        <w:rPr>
          <w:rFonts w:hint="eastAsia" w:ascii="仿宋_GB2312" w:hAnsi="宋体" w:eastAsia="仿宋_GB2312"/>
          <w:b/>
          <w:kern w:val="0"/>
          <w:sz w:val="24"/>
        </w:rPr>
        <w:t>其他符合法律法规和理财文件约定的场外投资资金结算</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甲方负责场外交易的实施，乙方负责根据甲方划款指令和相关投资文件进行场外交易资金的划付。甲方应将划款指令连同相关交易文件一并发送至乙方。乙方审核无误后，应及时将划款指令交付执行。</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相关交易文件中约定的其他转让和划款条件由甲方负责审核，乙方不承担审核职责。甲方同时应以书面形式通知乙方相关收款账户名、账号。投资或收益分配资金必须回流到理财产品托管专户内，不得划入其他账户。</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7.3理财产品的收益分配</w:t>
      </w:r>
    </w:p>
    <w:p>
      <w:pPr>
        <w:pStyle w:val="35"/>
        <w:pageBreakBefore w:val="0"/>
        <w:widowControl w:val="0"/>
        <w:tabs>
          <w:tab w:val="left" w:pos="851"/>
        </w:tabs>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szCs w:val="24"/>
        </w:rPr>
      </w:pPr>
      <w:r>
        <w:rPr>
          <w:rFonts w:hint="eastAsia" w:ascii="仿宋_GB2312" w:hAnsi="宋体" w:eastAsia="仿宋_GB2312"/>
          <w:sz w:val="24"/>
          <w:szCs w:val="24"/>
        </w:rPr>
        <w:t>理财产品收益分配方案中应载明截至收益分配基准日的可供分配利润、理财产品收益分配对象、分配时间、分配数额及比例、分配方式等内容。</w:t>
      </w:r>
    </w:p>
    <w:p>
      <w:pPr>
        <w:pStyle w:val="35"/>
        <w:pageBreakBefore w:val="0"/>
        <w:widowControl w:val="0"/>
        <w:tabs>
          <w:tab w:val="left" w:pos="851"/>
        </w:tabs>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szCs w:val="24"/>
        </w:rPr>
      </w:pPr>
      <w:r>
        <w:rPr>
          <w:rFonts w:hint="eastAsia" w:ascii="仿宋_GB2312" w:hAnsi="宋体" w:eastAsia="仿宋_GB2312"/>
          <w:sz w:val="24"/>
          <w:szCs w:val="24"/>
        </w:rPr>
        <w:t>理财产品收益分配方案由甲方拟定，并由乙方复核后确定，甲方按法律法规和合同约定告知理财产品投资者。</w:t>
      </w:r>
    </w:p>
    <w:p>
      <w:pPr>
        <w:pStyle w:val="35"/>
        <w:pageBreakBefore w:val="0"/>
        <w:widowControl w:val="0"/>
        <w:tabs>
          <w:tab w:val="left" w:pos="851"/>
        </w:tabs>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szCs w:val="24"/>
        </w:rPr>
      </w:pPr>
      <w:r>
        <w:rPr>
          <w:rFonts w:hint="eastAsia" w:ascii="仿宋_GB2312" w:hAnsi="宋体" w:eastAsia="仿宋_GB2312"/>
          <w:sz w:val="24"/>
          <w:szCs w:val="24"/>
        </w:rPr>
        <w:t>甲方应向乙方提供复核收益分配方案所需的相关数据材料，如甲方未及时向乙方提供上述材料导致乙方无法对上述事项进行复核的，乙方不承担责任。</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理财产品进行收益分配时，甲方应确保收益分配资金于分配当天14：00前到达理财产品托管专户，</w:t>
      </w:r>
      <w:r>
        <w:rPr>
          <w:rFonts w:hint="eastAsia" w:ascii="仿宋_GB2312" w:hAnsi="宋体" w:eastAsia="仿宋_GB2312"/>
          <w:sz w:val="24"/>
        </w:rPr>
        <w:t>并及时向乙方发送收款通知书（格式见本协议附件5），以便乙方及时办理理财产品清算分配资金的划拨</w:t>
      </w:r>
      <w:r>
        <w:rPr>
          <w:rFonts w:hint="eastAsia" w:ascii="仿宋_GB2312" w:hAnsi="宋体" w:eastAsia="仿宋_GB2312"/>
          <w:kern w:val="0"/>
          <w:sz w:val="24"/>
        </w:rPr>
        <w:t>。</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bCs/>
          <w:sz w:val="24"/>
        </w:rPr>
      </w:pPr>
      <w:r>
        <w:rPr>
          <w:rFonts w:hint="eastAsia" w:ascii="仿宋_GB2312" w:hAnsi="宋体" w:eastAsia="仿宋_GB2312"/>
          <w:b/>
          <w:bCs/>
          <w:sz w:val="24"/>
        </w:rPr>
        <w:t>7.4理财产品的申购、赎回资金清算交收</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bCs/>
          <w:sz w:val="24"/>
        </w:rPr>
        <w:t>各理财产品发生申购、赎回时，甲方均应以电子文件形式通知乙方申购和赎回的总份额和总金额。</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7.5</w:t>
      </w:r>
      <w:r>
        <w:rPr>
          <w:rFonts w:hint="eastAsia" w:ascii="仿宋_GB2312" w:hAnsi="宋体" w:eastAsia="仿宋_GB2312"/>
          <w:kern w:val="0"/>
          <w:sz w:val="24"/>
        </w:rPr>
        <w:t>若甲方拟进行本协议约定以外的投资交易，需事先与乙方另行商定相关托管操作细节。</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7.6</w:t>
      </w:r>
      <w:r>
        <w:rPr>
          <w:rFonts w:hint="eastAsia" w:ascii="仿宋_GB2312" w:hAnsi="宋体" w:eastAsia="仿宋_GB2312"/>
          <w:kern w:val="0"/>
          <w:sz w:val="24"/>
        </w:rPr>
        <w:t>本协议存续期间，如遇法律法规或监管部门政策调整，乙方认为甲方发行的理财产品有违法律法规或监管部门政策规定的，经告知甲方，可不接受该等理财产品的托管</w:t>
      </w:r>
      <w:r>
        <w:rPr>
          <w:rFonts w:hint="eastAsia" w:ascii="仿宋_GB2312" w:hAnsi="宋体" w:eastAsia="仿宋_GB2312"/>
          <w:b/>
          <w:kern w:val="0"/>
          <w:sz w:val="24"/>
        </w:rPr>
        <w:t>。</w:t>
      </w: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kern w:val="0"/>
          <w:sz w:val="24"/>
          <w:szCs w:val="24"/>
        </w:rPr>
      </w:pPr>
      <w:bookmarkStart w:id="109" w:name="_Toc28893"/>
      <w:bookmarkStart w:id="110" w:name="_Toc3106"/>
      <w:bookmarkStart w:id="111" w:name="_Toc6096"/>
      <w:bookmarkStart w:id="112" w:name="_Toc97719078"/>
      <w:bookmarkStart w:id="113" w:name="_Toc28091914"/>
      <w:bookmarkStart w:id="114" w:name="_Toc22608"/>
      <w:bookmarkStart w:id="115" w:name="_Toc301882201"/>
      <w:r>
        <w:rPr>
          <w:rFonts w:hint="eastAsia" w:ascii="仿宋_GB2312" w:hAnsi="宋体" w:eastAsia="仿宋_GB2312"/>
          <w:kern w:val="0"/>
          <w:sz w:val="24"/>
          <w:szCs w:val="24"/>
        </w:rPr>
        <w:t>第八章  理财产品的会计核算</w:t>
      </w:r>
      <w:bookmarkEnd w:id="109"/>
      <w:bookmarkEnd w:id="110"/>
      <w:bookmarkEnd w:id="111"/>
      <w:bookmarkEnd w:id="112"/>
      <w:bookmarkEnd w:id="113"/>
      <w:bookmarkEnd w:id="114"/>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cs="Arial"/>
          <w:b/>
          <w:sz w:val="24"/>
        </w:rPr>
      </w:pPr>
      <w:r>
        <w:rPr>
          <w:rFonts w:hint="eastAsia" w:ascii="仿宋_GB2312" w:hAnsi="宋体" w:eastAsia="仿宋_GB2312" w:cs="Arial"/>
          <w:b/>
          <w:sz w:val="24"/>
        </w:rPr>
        <w:t>8.1理财产品资产净值的计算及复核程序</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8.1.1理财产品资产净值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理财产品资产净值是指理财产品资产总值减去负债后的价值。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理财产品份额净值是按照每个工作日闭市后，理财产品资产净值除以当日理财产品份额的余额数量计算，精确到0.000001元，小数点后第七位四舍五入，由此产生的误差计入理财财产。国家另有规定的，从其规定。</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8.1.2甲方应每工作日对理财产品资产估值。但甲方根据法律法规或理财文件的规定暂停估值时除外。</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cs="Arial"/>
          <w:b/>
          <w:sz w:val="24"/>
        </w:rPr>
      </w:pPr>
      <w:r>
        <w:rPr>
          <w:rFonts w:hint="eastAsia" w:ascii="仿宋_GB2312" w:hAnsi="宋体" w:eastAsia="仿宋_GB2312" w:cs="Arial"/>
          <w:b/>
          <w:sz w:val="24"/>
        </w:rPr>
        <w:t>8.2理财产品资产估值方法和特殊情形的处理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8.2.1估值日</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本理财产品的估值日为本理财产品相关的证券交易场所的交易日以及国家法律法规规定需要对外披露理财产品净值的非交易日。</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8.2.2估值对象</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理财产品所拥有的有价证券以及银行存款本息和其它资产及负债。</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8.2.3估值方法</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sz w:val="24"/>
        </w:rPr>
      </w:pPr>
      <w:r>
        <w:rPr>
          <w:rFonts w:hint="eastAsia" w:ascii="仿宋_GB2312" w:hAnsi="宋体" w:eastAsia="仿宋_GB2312" w:cs="Arial"/>
          <w:sz w:val="24"/>
        </w:rPr>
        <w:t>本统签协议规定的理财产品资产估值方法如下。甲方应确保双方约定的估值方法和理财产品信息披露文件一致。</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eastAsia="仿宋_GB2312"/>
          <w:bCs/>
          <w:sz w:val="24"/>
        </w:rPr>
      </w:pPr>
      <w:r>
        <w:rPr>
          <w:rFonts w:hint="eastAsia" w:ascii="仿宋_GB2312" w:hAnsi="宋体" w:eastAsia="仿宋_GB2312" w:cs="Arial"/>
          <w:sz w:val="24"/>
        </w:rPr>
        <w:t>（1）</w:t>
      </w:r>
      <w:r>
        <w:rPr>
          <w:rFonts w:hint="eastAsia" w:ascii="仿宋_GB2312" w:eastAsia="仿宋_GB2312"/>
          <w:bCs/>
          <w:sz w:val="24"/>
        </w:rPr>
        <w:t>证券交易所上市的有价证券的估值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2）交易所上市交易或挂牌转让的固定收益品种，选取第三方估值机构提供的相应品种当日的估值净价估值，具体估值机构由甲方和乙方协商约定。</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交易所上市实行全价交易的债券（可转债除外），选取第三方估值机构提供的估值全价减去估值全价中所含的债券（税后）应收利息得到的净价进行估值。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4）交易所上市不存在活跃市场的有价证券，采用估值技术确定公允价值。交易所上市的资产支持证券，采用第三方估值机构提供的估值日当日的价格估值。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（2）处于未上市期间的有价证券应区分如下情况处理：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1）送股、转增股、配股和公开增发的新股，按估值日在证券交易所挂牌的同一股票的估值方法估值；该日无交易的，以最近一日的市价（收盘价）估值。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2）首次公开发行未上市的股票和权证，采用估值技术确定公允价值，在估值技术难以可靠计量公允价值的情况下，按成本估值。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3）首次公开发行有明确锁定期的股票、非公开发行有明确锁定期的股票以及通过大宗交易取得的带限售期的股票，按监管机构或行业协会有关规定确定公允价值。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 xml:space="preserve">4）对在交易所市场发行未上市或未挂牌转让的债券，采用估值技术确定公允价值，在估值技术难以可靠计量公允价值的情况下，采用当前情况下适用并且有足够可利用数据和其他信息支持的估值技术确定其公允价值。 </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3）全国银行间债券市场交易的固定收益品种，选取第三方估值机构提供的相应品种当日的估值净价进行估值。对银行间市场未上市，采用当前情况下适用并且有足够可利用数据和其他信息支持的估值技术确定其公允价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（4）同一债券同时在两个或两个以上市场交易的，按债券所处的市场分别估值。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（5）理财产品持有的其他基金的估值方法</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1）在证券交易所交易、登记的上市流通封闭式基金、ETF基金、场内登记的LOF基金等，以其估值日在证券交易所挂牌的收盘价估值；估值日无交易的，以最近交易日的收盘价估值。在场外交易、登记的开放式基金（含场外登记的LOF基金）按估值日基金份额净值估值（注：若理财产品当日完成当日的净值核对，则按前一估值日的份额净值估值）；估值日未公布基金份额净值的，以最近公布的基金份额净值估值；在基金首次公布份额净值之前按照购入成本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2）未上市的封闭式基金按估值日的份额净值估值，若估值日未公布份额净值，按最近公布的份额净值估值。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3）货币市场基金按成本估值，每天按前一估值日后至估值日期间的万份收益计提估值日的基金收益。若理财产品当日完成当日的净值核对，则按前一估值日的每万份收益计提收益。对于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（6）股指期货合约、国债期货合约以估值当日结算价进行估值，估值当日无结算价的，且最近交易日后经济环境未发生重大变化的，采用最近交易日结算价估值。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bCs w:val="0"/>
          <w:sz w:val="24"/>
        </w:rPr>
        <w:t>（7）</w:t>
      </w:r>
      <w:r>
        <w:rPr>
          <w:rFonts w:hint="eastAsia" w:ascii="仿宋_GB2312" w:hAnsi="宋体" w:eastAsia="仿宋_GB2312" w:cs="Arial"/>
          <w:sz w:val="24"/>
        </w:rPr>
        <w:t>银行存款以成本列示，按商定的存款利率以当日银行营业终了的存款余额为基数在实际持有期间内逐日计提应收利息。</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bCs w:val="0"/>
          <w:sz w:val="24"/>
        </w:rPr>
        <w:t>（8）信托计划、基金公司、证券公司、保险资产管理公司等金融机构发行的资产管理计划，以及委托投资管理人进行理财投资管理的资产管理计划按照最新公布的净值进行估值，用于估值的净值信息由管理人负责向托管人提供，托管人不复核净值信息是否准确，仅根据管理人提供的净值信息完成估值，如果由于管理人提供的净值信息不及时或不准确，影响本计划估值，托管人不承担由此造成的损失。</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bCs w:val="0"/>
          <w:sz w:val="24"/>
        </w:rPr>
        <w:t>（9）</w:t>
      </w:r>
      <w:r>
        <w:rPr>
          <w:rFonts w:hint="eastAsia" w:ascii="仿宋_GB2312" w:hAnsi="宋体" w:eastAsia="仿宋_GB2312" w:cs="Arial"/>
          <w:sz w:val="24"/>
        </w:rPr>
        <w:t>关于适用摊余成本法估值的特别约定</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bCs w:val="0"/>
          <w:sz w:val="24"/>
        </w:rPr>
      </w:pPr>
      <w:r>
        <w:rPr>
          <w:rFonts w:hint="eastAsia" w:ascii="仿宋_GB2312" w:hAnsi="宋体" w:eastAsia="仿宋_GB2312" w:cs="Arial"/>
          <w:sz w:val="24"/>
        </w:rPr>
        <w:t>对于符合监管要求，可以适用摊余成本法估值的品种，可以</w:t>
      </w:r>
      <w:r>
        <w:rPr>
          <w:rFonts w:hint="eastAsia" w:ascii="仿宋_GB2312" w:hAnsi="宋体" w:eastAsia="仿宋_GB2312" w:cs="Arial"/>
          <w:bCs w:val="0"/>
          <w:sz w:val="24"/>
        </w:rPr>
        <w:t>采用摊余成本法估值，即计价对象以买入成本列示，按票面利率或协议利率并考虑其买入时的溢价与折价，在其剩余存续期内按照实际利率法摊销，每日计提损益。如有确凿证据表明因投资策略发生变化或其他原因，导致按原有摊余成本法估值不能客观反映资产或负债的公允价值的，甲方可根据具体情况与乙方商定后，按最能反映资产或负债公允价值的方法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bCs w:val="0"/>
          <w:sz w:val="24"/>
        </w:rPr>
        <w:t>（10）</w:t>
      </w:r>
      <w:r>
        <w:rPr>
          <w:rFonts w:hint="eastAsia" w:ascii="仿宋_GB2312" w:hAnsi="宋体" w:eastAsia="仿宋_GB2312" w:cs="Arial"/>
          <w:sz w:val="24"/>
        </w:rPr>
        <w:t>如有确凿证据表明按上述方法进行估值不能客观反映其公允价值的，甲方可根据具体情况与乙方商定后，按最能反映公允价值的价格估值。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sz w:val="24"/>
        </w:rPr>
      </w:pPr>
      <w:r>
        <w:rPr>
          <w:rFonts w:hint="eastAsia" w:ascii="仿宋_GB2312" w:hAnsi="宋体" w:eastAsia="仿宋_GB2312" w:cs="Arial"/>
          <w:sz w:val="24"/>
        </w:rPr>
        <w:t>（11</w:t>
      </w:r>
      <w:r>
        <w:rPr>
          <w:rFonts w:ascii="仿宋_GB2312" w:hAnsi="宋体" w:eastAsia="仿宋_GB2312" w:cs="Arial"/>
          <w:sz w:val="24"/>
        </w:rPr>
        <w:t>）</w:t>
      </w:r>
      <w:r>
        <w:rPr>
          <w:rFonts w:hint="eastAsia" w:ascii="仿宋_GB2312" w:hAnsi="宋体" w:eastAsia="仿宋_GB2312" w:cs="Arial"/>
          <w:sz w:val="24"/>
        </w:rPr>
        <w:t>相关法律法规以及监管部门有强制规定的，从其规定。如有新增事项，按国家最新规定估值。</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hint="eastAsia" w:ascii="仿宋_GB2312" w:hAnsi="宋体" w:eastAsia="仿宋_GB2312" w:cs="Arial"/>
          <w:sz w:val="24"/>
        </w:rPr>
      </w:pPr>
      <w:r>
        <w:rPr>
          <w:rFonts w:hint="eastAsia" w:ascii="仿宋_GB2312" w:hAnsi="宋体" w:eastAsia="仿宋_GB2312" w:cs="Arial"/>
          <w:sz w:val="24"/>
        </w:rPr>
        <w:t>如甲方或乙方发现理财产品估值违反理财产品销售文件订明的估值方法、程序及相关法律法规的规定或者未能充分维护理财产品份额持有人利益时，应立即通知对方，共同查明原因，双方协商解决。</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根据有关法律法规，理财产品资产净值计算和会计核算的义务由甲方承担。本理财产品的会计责任方由甲方担任，因此，就与理财产品有关的会计问题，如经相关各方在平等基础上充分讨论后，仍无法达成一致的意见，按照甲方对理财产品资产净值的计算结果对外予以公布。乙方对未达成一致意见的理财产品资产净值计算结果不承担任何责任，由此给投资者和理财产品造成的损失以及因该交易日理财产品资产净值计算顺延而引起的损失，由甲方</w:t>
      </w:r>
      <w:r>
        <w:rPr>
          <w:rFonts w:hint="eastAsia" w:ascii="仿宋_GB2312" w:hAnsi="宋体" w:eastAsia="仿宋_GB2312" w:cs="Arial"/>
          <w:sz w:val="24"/>
          <w:lang w:eastAsia="zh-CN"/>
        </w:rPr>
        <w:t>承担</w:t>
      </w:r>
      <w:r>
        <w:rPr>
          <w:rFonts w:hint="eastAsia" w:ascii="仿宋_GB2312" w:hAnsi="宋体" w:eastAsia="仿宋_GB2312" w:cs="Arial"/>
          <w:sz w:val="24"/>
        </w:rPr>
        <w:t>。</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8.2.4估值错误的处理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甲方和乙方将采取必要、适当、合理的措施确保理财产品资产估值的准确性、及时性。当理财产品份额净值小数点后6位以内(含第6位)发生估值错误时，视为理财产品份额净值错误。甲乙双方应按照以下约定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（1）估值错误类型</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本理财产品运作过程中，如果由于甲方或乙方、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上述估值错误的主要类型包括但不限于：资料申报差错、数据传输差错、数据计算差错、系统故障差错、下达指令差错等。</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（2</w:t>
      </w:r>
      <w:r>
        <w:rPr>
          <w:rFonts w:ascii="仿宋_GB2312" w:hAnsi="宋体" w:eastAsia="仿宋_GB2312" w:cs="Arial"/>
          <w:sz w:val="24"/>
        </w:rPr>
        <w:t>）</w:t>
      </w:r>
      <w:r>
        <w:rPr>
          <w:rFonts w:hint="eastAsia" w:ascii="仿宋_GB2312" w:hAnsi="宋体" w:eastAsia="仿宋_GB2312" w:cs="Arial"/>
          <w:sz w:val="24"/>
        </w:rPr>
        <w:t>估值错误处理原则</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估值错误的责任方对有关当事人的直接损失负责，不对间接损失负责，并且仅对估值错误的有关直接当事人负责，不对第三方负责。</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估值错误调整采用尽量恢复至假设未发生估值错误的正确情形的方式。</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（3</w:t>
      </w:r>
      <w:r>
        <w:rPr>
          <w:rFonts w:ascii="仿宋_GB2312" w:hAnsi="宋体" w:eastAsia="仿宋_GB2312" w:cs="Arial"/>
          <w:sz w:val="24"/>
        </w:rPr>
        <w:t>）</w:t>
      </w:r>
      <w:r>
        <w:rPr>
          <w:rFonts w:hint="eastAsia" w:ascii="仿宋_GB2312" w:hAnsi="宋体" w:eastAsia="仿宋_GB2312" w:cs="Arial"/>
          <w:sz w:val="24"/>
        </w:rPr>
        <w:t>估值错误处理程序</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估值错误被发现后，有关的当事人应当及时进行处理，处理的程序如下：</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1</w:t>
      </w:r>
      <w:r>
        <w:rPr>
          <w:rFonts w:ascii="仿宋_GB2312" w:hAnsi="宋体" w:eastAsia="仿宋_GB2312" w:cs="Arial"/>
          <w:sz w:val="24"/>
        </w:rPr>
        <w:t>）</w:t>
      </w:r>
      <w:r>
        <w:rPr>
          <w:rFonts w:hint="eastAsia" w:ascii="仿宋_GB2312" w:hAnsi="宋体" w:eastAsia="仿宋_GB2312" w:cs="Arial"/>
          <w:sz w:val="24"/>
        </w:rPr>
        <w:t>查明估值错误发生的原因，列明所有的当事人，并根据估值错误发生的原因确定估值错误的责任方；</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2</w:t>
      </w:r>
      <w:r>
        <w:rPr>
          <w:rFonts w:ascii="仿宋_GB2312" w:hAnsi="宋体" w:eastAsia="仿宋_GB2312" w:cs="Arial"/>
          <w:sz w:val="24"/>
        </w:rPr>
        <w:t>）</w:t>
      </w:r>
      <w:r>
        <w:rPr>
          <w:rFonts w:hint="eastAsia" w:ascii="仿宋_GB2312" w:hAnsi="宋体" w:eastAsia="仿宋_GB2312" w:cs="Arial"/>
          <w:sz w:val="24"/>
        </w:rPr>
        <w:t>根据估值错误处理原则或当事人协商的方法对因估值错误造成的损失进行评估；</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3）根据估值错误处理原则或当事人协商的方法由估值错误的责任方进行更正和赔偿损失；</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4）根据估值错误处理的方法，需要修改登记机构交易数据的，由登记机构进行更正，并就估值错误的更正向有关当事人进行确认。</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（4</w:t>
      </w:r>
      <w:r>
        <w:rPr>
          <w:rFonts w:ascii="仿宋_GB2312" w:hAnsi="宋体" w:eastAsia="仿宋_GB2312" w:cs="Arial"/>
          <w:sz w:val="24"/>
        </w:rPr>
        <w:t>）</w:t>
      </w:r>
      <w:r>
        <w:rPr>
          <w:rFonts w:hint="eastAsia" w:ascii="仿宋_GB2312" w:hAnsi="宋体" w:eastAsia="仿宋_GB2312" w:cs="Arial"/>
          <w:sz w:val="24"/>
        </w:rPr>
        <w:t>理财产品份额净值估值错误处理的方法如下：</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理财产品份额净值计算出现错误时，甲方应当立即予以纠正，通报乙方，并采取合理的措施防止损失进一步扩大。</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（5</w:t>
      </w:r>
      <w:r>
        <w:rPr>
          <w:rFonts w:ascii="仿宋_GB2312" w:hAnsi="宋体" w:eastAsia="仿宋_GB2312" w:cs="Arial"/>
          <w:sz w:val="24"/>
        </w:rPr>
        <w:t>）</w:t>
      </w:r>
      <w:r>
        <w:rPr>
          <w:rFonts w:hint="eastAsia" w:ascii="仿宋_GB2312" w:hAnsi="宋体" w:eastAsia="仿宋_GB2312" w:cs="Arial"/>
          <w:sz w:val="24"/>
        </w:rPr>
        <w:t>前述内容如法律法规或监管机关另有规定的，从其规定处理。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8.2.5暂停估值的情形</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（1）理财产品投资所涉及的证券交易市场遇法定节假日或因其他原因暂停营业时；</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（2</w:t>
      </w:r>
      <w:r>
        <w:rPr>
          <w:rFonts w:ascii="仿宋_GB2312" w:hAnsi="宋体" w:eastAsia="仿宋_GB2312" w:cs="Arial"/>
          <w:sz w:val="24"/>
        </w:rPr>
        <w:t>）</w:t>
      </w:r>
      <w:r>
        <w:rPr>
          <w:rFonts w:hint="eastAsia" w:ascii="仿宋_GB2312" w:hAnsi="宋体" w:eastAsia="仿宋_GB2312" w:cs="Arial"/>
          <w:sz w:val="24"/>
        </w:rPr>
        <w:t>因不可抗力致使甲方、乙方无法准确评估理财产品资产价值时；</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（3）监管部门和理财产品销售文件认定的其它情形。</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8.2.6理财产品净值的确认</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用于理财产品信息披露的理财产品资产净值、理财产品份额净值、理财产品累计份额净值、过往业绩数据、万份收益（如有）、七日年化收益率（如有）由甲方负责计算，乙方负责进行复核。</w:t>
      </w:r>
      <w:r>
        <w:rPr>
          <w:rFonts w:hint="eastAsia" w:ascii="仿宋_GB2312" w:hAnsi="宋体" w:eastAsia="仿宋_GB2312"/>
          <w:color w:val="000000"/>
          <w:kern w:val="0"/>
          <w:sz w:val="24"/>
        </w:rPr>
        <w:t>甲方</w:t>
      </w:r>
      <w:r>
        <w:rPr>
          <w:rFonts w:hint="eastAsia" w:ascii="仿宋_GB2312" w:hAnsi="宋体" w:eastAsia="仿宋_GB2312" w:cs="仿宋_GB2312"/>
          <w:color w:val="000000"/>
          <w:kern w:val="0"/>
          <w:sz w:val="24"/>
        </w:rPr>
        <w:t>在净值核对日将估值基准日的理财产品资产净值、理财产品份额净值、理财产品累计份额净值、过往业绩数据、</w:t>
      </w:r>
      <w:r>
        <w:rPr>
          <w:rFonts w:hint="eastAsia" w:ascii="仿宋_GB2312" w:hAnsi="宋体" w:eastAsia="仿宋_GB2312" w:cs="Arial"/>
          <w:sz w:val="24"/>
        </w:rPr>
        <w:t>万份收益（如有）、七日年化收益率（如有）</w:t>
      </w:r>
      <w:r>
        <w:rPr>
          <w:rFonts w:hint="eastAsia" w:ascii="仿宋_GB2312" w:hAnsi="宋体" w:eastAsia="仿宋_GB2312" w:cs="仿宋_GB2312"/>
          <w:color w:val="000000"/>
          <w:kern w:val="0"/>
          <w:sz w:val="24"/>
        </w:rPr>
        <w:t>发送给乙方（各理财产品净值核对日、估值基准日在各理财产品对应的理财产品说明书予以约定</w:t>
      </w:r>
      <w:r>
        <w:rPr>
          <w:rFonts w:hint="eastAsia" w:ascii="仿宋_GB2312" w:hAnsi="宋体" w:eastAsia="仿宋_GB2312" w:cs="Arial"/>
          <w:sz w:val="24"/>
        </w:rPr>
        <w:t>，乙方对净值计算结果复核确认后发送给甲方。甲乙双方应通过电话/邮件/传真或其他双方约定的方式（如双方约定电话或邮件对账，至少每周（封闭式公募理财产品/开放式公募理财在封闭期内适用）/每日（开放式公募理财产品适用）/每季度（私募理财产品适用））进行净值核对确认，由甲方按照法律法规和对理财销售文件规定将理财产品净值予以公布。</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8.2.7特殊情况的处理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（1）如有确凿证据表明按上述方法进行估值不能客观反映其公允价值的，甲方可根据具体情况与乙方商定后，按最能反映公允价值的价格估值的，所造成的误差不作为理财产品资产估值错误处理。</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cs="Arial"/>
          <w:sz w:val="24"/>
        </w:rPr>
      </w:pPr>
      <w:r>
        <w:rPr>
          <w:rFonts w:hint="eastAsia" w:ascii="仿宋_GB2312" w:hAnsi="宋体" w:eastAsia="仿宋_GB2312" w:cs="Arial"/>
          <w:sz w:val="24"/>
        </w:rPr>
        <w:t>（2</w:t>
      </w:r>
      <w:r>
        <w:rPr>
          <w:rFonts w:ascii="仿宋_GB2312" w:hAnsi="宋体" w:eastAsia="仿宋_GB2312" w:cs="Arial"/>
          <w:sz w:val="24"/>
        </w:rPr>
        <w:t>）</w:t>
      </w:r>
      <w:r>
        <w:rPr>
          <w:rFonts w:hint="eastAsia" w:ascii="仿宋_GB2312" w:hAnsi="宋体" w:eastAsia="仿宋_GB2312" w:cs="Arial"/>
          <w:sz w:val="24"/>
        </w:rPr>
        <w:t>由于证券交易所、登记结算公司发送的数据错误或由于其他不可抗力原因，甲方和乙方虽然已经采取必要、适当、合理的措施进行检查，但是未能发现该错误或未能避免错误发生或虽发现错误但因前述原因无法及时更正而造成的理财产品资产估值错误，甲方、乙方应免除赔偿责任。但甲方、乙方应积极采取必要的措施消除或减轻由此造成的影响。</w:t>
      </w:r>
    </w:p>
    <w:p>
      <w:pPr>
        <w:pStyle w:val="14"/>
        <w:pageBreakBefore w:val="0"/>
        <w:widowControl w:val="0"/>
        <w:tabs>
          <w:tab w:val="left" w:pos="1582"/>
        </w:tabs>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cs="Arial"/>
          <w:sz w:val="24"/>
        </w:rPr>
      </w:pPr>
      <w:r>
        <w:rPr>
          <w:rFonts w:hint="eastAsia" w:ascii="仿宋_GB2312" w:hAnsi="宋体" w:eastAsia="仿宋_GB2312" w:cs="Arial"/>
          <w:b/>
          <w:sz w:val="24"/>
        </w:rPr>
        <w:t>8.3理财产品资产的会计核算</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8.3.1</w:t>
      </w:r>
      <w:r>
        <w:rPr>
          <w:rFonts w:hint="eastAsia" w:ascii="仿宋_GB2312" w:eastAsia="仿宋_GB2312"/>
          <w:color w:val="000000"/>
          <w:sz w:val="24"/>
        </w:rPr>
        <w:t>甲方进行理财产品会计核算并编制理财产品财务会计报告。甲方、乙方分别独立地设置、记录和保管本理财产品的全套账册。若甲方和乙方对会计处理方法存在分歧，应以甲方的处理方法为准。若当日核对不符，暂时无法查找到错账的原因而影响到理财产品资产净值的计算和公告的，以甲方的账册为准。</w:t>
      </w:r>
      <w:r>
        <w:rPr>
          <w:rFonts w:hint="eastAsia" w:ascii="仿宋_GB2312" w:hAnsi="宋体" w:eastAsia="仿宋_GB2312"/>
          <w:sz w:val="24"/>
        </w:rPr>
        <w:t>法律法规或监管部门要求对甲方会计报告进行审计的，由甲方提交审计机构进行审计。</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8.3.2</w:t>
      </w:r>
      <w:r>
        <w:rPr>
          <w:rFonts w:hint="eastAsia" w:ascii="仿宋_GB2312" w:hAnsi="宋体" w:eastAsia="仿宋_GB2312"/>
          <w:sz w:val="24"/>
        </w:rPr>
        <w:t>理财产品财产的会计年度为公历年的1月1日至12月31日；</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 xml:space="preserve">8.3.3 </w:t>
      </w:r>
      <w:r>
        <w:rPr>
          <w:rFonts w:hint="eastAsia" w:ascii="仿宋_GB2312" w:hAnsi="宋体" w:eastAsia="仿宋_GB2312"/>
          <w:sz w:val="24"/>
        </w:rPr>
        <w:t>本币理财产品财产的会计核算以人民币为记账本位币，以人民币元为记账单位；外币理财产品财产的会计核算以外币币种为记账本位币，以元为记账单位。</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8.3.4</w:t>
      </w:r>
      <w:r>
        <w:rPr>
          <w:rFonts w:hint="eastAsia" w:ascii="仿宋_GB2312" w:hAnsi="宋体" w:eastAsia="仿宋_GB2312"/>
          <w:sz w:val="24"/>
        </w:rPr>
        <w:t>会计制度执行国家有关的会计制度；</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8.3.5</w:t>
      </w:r>
      <w:r>
        <w:rPr>
          <w:rFonts w:hint="eastAsia" w:ascii="仿宋_GB2312" w:hAnsi="宋体" w:eastAsia="仿宋_GB2312"/>
          <w:sz w:val="24"/>
        </w:rPr>
        <w:t>甲方保留完整的会计账目、凭证并进行日常的会计核算，按照有关规定编制理财产品财产会计报表。</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8.3.6</w:t>
      </w:r>
      <w:r>
        <w:rPr>
          <w:rFonts w:hint="eastAsia" w:ascii="仿宋_GB2312" w:hAnsi="宋体" w:eastAsia="仿宋_GB2312"/>
          <w:b/>
          <w:sz w:val="24"/>
          <w:lang w:val="en-US" w:eastAsia="zh-CN"/>
        </w:rPr>
        <w:t xml:space="preserve"> </w:t>
      </w:r>
      <w:r>
        <w:rPr>
          <w:rFonts w:hint="eastAsia" w:ascii="仿宋_GB2312" w:hAnsi="宋体" w:eastAsia="仿宋_GB2312"/>
          <w:sz w:val="24"/>
        </w:rPr>
        <w:t>甲方应定期与乙方就理财产品财产的会计核算、报表编制等进行核对。</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color w:val="000000"/>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kern w:val="0"/>
          <w:sz w:val="24"/>
          <w:szCs w:val="24"/>
        </w:rPr>
      </w:pPr>
      <w:bookmarkStart w:id="116" w:name="_Toc97719079"/>
      <w:bookmarkStart w:id="117" w:name="_Toc28091915"/>
      <w:bookmarkStart w:id="118" w:name="_Toc17912"/>
      <w:bookmarkStart w:id="119" w:name="_Toc18129"/>
      <w:bookmarkStart w:id="120" w:name="_Toc3999"/>
      <w:bookmarkStart w:id="121" w:name="_Toc12981"/>
      <w:r>
        <w:rPr>
          <w:rFonts w:hint="eastAsia" w:ascii="仿宋_GB2312" w:hAnsi="宋体" w:eastAsia="仿宋_GB2312"/>
          <w:kern w:val="0"/>
          <w:sz w:val="24"/>
          <w:szCs w:val="24"/>
        </w:rPr>
        <w:t>第九章  理财产品托管档案的</w:t>
      </w:r>
      <w:bookmarkEnd w:id="103"/>
      <w:bookmarkEnd w:id="104"/>
      <w:r>
        <w:rPr>
          <w:rFonts w:hint="eastAsia" w:ascii="仿宋_GB2312" w:hAnsi="宋体" w:eastAsia="仿宋_GB2312"/>
          <w:kern w:val="0"/>
          <w:sz w:val="24"/>
          <w:szCs w:val="24"/>
        </w:rPr>
        <w:t>保存</w:t>
      </w:r>
      <w:bookmarkEnd w:id="105"/>
      <w:bookmarkEnd w:id="106"/>
      <w:bookmarkEnd w:id="115"/>
      <w:bookmarkEnd w:id="116"/>
      <w:bookmarkEnd w:id="117"/>
      <w:bookmarkEnd w:id="118"/>
      <w:bookmarkEnd w:id="119"/>
      <w:bookmarkEnd w:id="120"/>
      <w:bookmarkEnd w:id="121"/>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9.1</w:t>
      </w:r>
      <w:r>
        <w:rPr>
          <w:rFonts w:hint="eastAsia" w:ascii="仿宋_GB2312" w:hAnsi="宋体" w:eastAsia="仿宋_GB2312"/>
          <w:kern w:val="0"/>
          <w:sz w:val="24"/>
          <w:szCs w:val="24"/>
        </w:rPr>
        <w:t>甲方和乙方应完整保存自记录理财产品经济活动的原始凭证、重要合同原件或传真件、复印件等文件档案，保存期限自理财产品结束之日起不少于15年。</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9.2</w:t>
      </w:r>
      <w:r>
        <w:rPr>
          <w:rFonts w:hint="eastAsia" w:ascii="仿宋_GB2312" w:hAnsi="宋体" w:eastAsia="仿宋_GB2312"/>
          <w:kern w:val="0"/>
          <w:sz w:val="24"/>
          <w:szCs w:val="24"/>
        </w:rPr>
        <w:t>乙方应当根据法规要求，记录理财资金划拨情况，保存甲方提供的资金用途说明。</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9.3</w:t>
      </w:r>
      <w:r>
        <w:rPr>
          <w:rFonts w:hint="eastAsia" w:ascii="仿宋_GB2312" w:hAnsi="宋体" w:eastAsia="仿宋_GB2312"/>
          <w:kern w:val="0"/>
          <w:sz w:val="24"/>
          <w:szCs w:val="24"/>
        </w:rPr>
        <w:t>乙方保管的由甲方提供的文件档案，应由甲方加盖其授权的有效印章。</w:t>
      </w:r>
      <w:bookmarkEnd w:id="107"/>
      <w:bookmarkEnd w:id="108"/>
      <w:bookmarkStart w:id="122" w:name="_Toc141607563"/>
      <w:bookmarkEnd w:id="122"/>
    </w:p>
    <w:p>
      <w:pPr>
        <w:pStyle w:val="12"/>
        <w:pageBreakBefore w:val="0"/>
        <w:widowControl w:val="0"/>
        <w:kinsoku/>
        <w:wordWrap/>
        <w:overflowPunct/>
        <w:topLinePunct w:val="0"/>
        <w:bidi w:val="0"/>
        <w:adjustRightInd w:val="0"/>
        <w:snapToGrid w:val="0"/>
        <w:spacing w:before="0" w:beforeLines="0" w:after="0" w:afterLines="0" w:line="329" w:lineRule="auto"/>
        <w:ind w:firstLine="420" w:firstLineChars="200"/>
        <w:rPr>
          <w:rFonts w:ascii="仿宋_GB2312" w:eastAsia="仿宋_GB2312"/>
          <w:kern w:val="0"/>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kern w:val="0"/>
          <w:sz w:val="24"/>
          <w:szCs w:val="24"/>
        </w:rPr>
      </w:pPr>
      <w:bookmarkStart w:id="123" w:name="_Toc160530134"/>
      <w:bookmarkEnd w:id="123"/>
      <w:bookmarkStart w:id="124" w:name="_Toc160530203"/>
      <w:bookmarkEnd w:id="124"/>
      <w:bookmarkStart w:id="125" w:name="_Toc160530228"/>
      <w:bookmarkEnd w:id="125"/>
      <w:bookmarkStart w:id="126" w:name="_Toc160530213"/>
      <w:bookmarkEnd w:id="126"/>
      <w:bookmarkStart w:id="127" w:name="_Toc160530140"/>
      <w:bookmarkEnd w:id="127"/>
      <w:bookmarkStart w:id="128" w:name="_Toc160530217"/>
      <w:bookmarkEnd w:id="128"/>
      <w:bookmarkStart w:id="129" w:name="_Toc160530156"/>
      <w:bookmarkEnd w:id="129"/>
      <w:bookmarkStart w:id="130" w:name="_Toc160530162"/>
      <w:bookmarkEnd w:id="130"/>
      <w:bookmarkStart w:id="131" w:name="_Toc160530218"/>
      <w:bookmarkEnd w:id="131"/>
      <w:bookmarkStart w:id="132" w:name="_Toc160530135"/>
      <w:bookmarkEnd w:id="132"/>
      <w:bookmarkStart w:id="133" w:name="_Toc160530151"/>
      <w:bookmarkEnd w:id="133"/>
      <w:bookmarkStart w:id="134" w:name="_Toc160530158"/>
      <w:bookmarkEnd w:id="134"/>
      <w:bookmarkStart w:id="135" w:name="_Toc160530145"/>
      <w:bookmarkEnd w:id="135"/>
      <w:bookmarkStart w:id="136" w:name="_Toc160530224"/>
      <w:bookmarkEnd w:id="136"/>
      <w:bookmarkStart w:id="137" w:name="_Toc236567926"/>
      <w:bookmarkEnd w:id="137"/>
      <w:bookmarkStart w:id="138" w:name="_Toc236567928"/>
      <w:bookmarkEnd w:id="138"/>
      <w:bookmarkStart w:id="139" w:name="_Toc160530153"/>
      <w:bookmarkEnd w:id="139"/>
      <w:bookmarkStart w:id="140" w:name="_Toc160530152"/>
      <w:bookmarkEnd w:id="140"/>
      <w:bookmarkStart w:id="141" w:name="_Toc236563580"/>
      <w:bookmarkEnd w:id="141"/>
      <w:bookmarkStart w:id="142" w:name="_Toc160530205"/>
      <w:bookmarkEnd w:id="142"/>
      <w:bookmarkStart w:id="143" w:name="_Toc160530155"/>
      <w:bookmarkEnd w:id="143"/>
      <w:bookmarkStart w:id="144" w:name="_Toc160530230"/>
      <w:bookmarkEnd w:id="144"/>
      <w:bookmarkStart w:id="145" w:name="_Toc160530204"/>
      <w:bookmarkEnd w:id="145"/>
      <w:bookmarkStart w:id="146" w:name="_Toc160530150"/>
      <w:bookmarkEnd w:id="146"/>
      <w:bookmarkStart w:id="147" w:name="_Toc160530206"/>
      <w:bookmarkEnd w:id="147"/>
      <w:bookmarkStart w:id="148" w:name="_Toc160530147"/>
      <w:bookmarkEnd w:id="148"/>
      <w:bookmarkStart w:id="149" w:name="_Toc160530209"/>
      <w:bookmarkEnd w:id="149"/>
      <w:bookmarkStart w:id="150" w:name="_Toc236567929"/>
      <w:bookmarkEnd w:id="150"/>
      <w:bookmarkStart w:id="151" w:name="_Toc160530221"/>
      <w:bookmarkEnd w:id="151"/>
      <w:bookmarkStart w:id="152" w:name="_Toc160530148"/>
      <w:bookmarkEnd w:id="152"/>
      <w:bookmarkStart w:id="153" w:name="_Toc160530159"/>
      <w:bookmarkEnd w:id="153"/>
      <w:bookmarkStart w:id="154" w:name="_Toc160530208"/>
      <w:bookmarkEnd w:id="154"/>
      <w:bookmarkStart w:id="155" w:name="_Toc160530144"/>
      <w:bookmarkEnd w:id="155"/>
      <w:bookmarkStart w:id="156" w:name="_Toc160530149"/>
      <w:bookmarkEnd w:id="156"/>
      <w:bookmarkStart w:id="157" w:name="_Toc160530137"/>
      <w:bookmarkEnd w:id="157"/>
      <w:bookmarkStart w:id="158" w:name="_Toc160530215"/>
      <w:bookmarkEnd w:id="158"/>
      <w:bookmarkStart w:id="159" w:name="_Toc160530161"/>
      <w:bookmarkEnd w:id="159"/>
      <w:bookmarkStart w:id="160" w:name="_Toc160530157"/>
      <w:bookmarkEnd w:id="160"/>
      <w:bookmarkStart w:id="161" w:name="_Toc236563582"/>
      <w:bookmarkEnd w:id="161"/>
      <w:bookmarkStart w:id="162" w:name="_Toc160530210"/>
      <w:bookmarkEnd w:id="162"/>
      <w:bookmarkStart w:id="163" w:name="_Toc236567927"/>
      <w:bookmarkEnd w:id="163"/>
      <w:bookmarkStart w:id="164" w:name="_Toc160530219"/>
      <w:bookmarkEnd w:id="164"/>
      <w:bookmarkStart w:id="165" w:name="_Toc160530136"/>
      <w:bookmarkEnd w:id="165"/>
      <w:bookmarkStart w:id="166" w:name="_Toc160530139"/>
      <w:bookmarkEnd w:id="166"/>
      <w:bookmarkStart w:id="167" w:name="_Toc160530207"/>
      <w:bookmarkEnd w:id="167"/>
      <w:bookmarkStart w:id="168" w:name="_Toc160530223"/>
      <w:bookmarkEnd w:id="168"/>
      <w:bookmarkStart w:id="169" w:name="_Toc160530143"/>
      <w:bookmarkEnd w:id="169"/>
      <w:bookmarkStart w:id="170" w:name="_Toc160530141"/>
      <w:bookmarkEnd w:id="170"/>
      <w:bookmarkStart w:id="171" w:name="_Toc160530146"/>
      <w:bookmarkEnd w:id="171"/>
      <w:bookmarkStart w:id="172" w:name="_Toc236563581"/>
      <w:bookmarkEnd w:id="172"/>
      <w:bookmarkStart w:id="173" w:name="_Toc160530211"/>
      <w:bookmarkEnd w:id="173"/>
      <w:bookmarkStart w:id="174" w:name="_Toc160530220"/>
      <w:bookmarkEnd w:id="174"/>
      <w:bookmarkStart w:id="175" w:name="_Toc160530227"/>
      <w:bookmarkEnd w:id="175"/>
      <w:bookmarkStart w:id="176" w:name="_Toc160530138"/>
      <w:bookmarkEnd w:id="176"/>
      <w:bookmarkStart w:id="177" w:name="_Toc160530154"/>
      <w:bookmarkEnd w:id="177"/>
      <w:bookmarkStart w:id="178" w:name="_Toc236563583"/>
      <w:bookmarkEnd w:id="178"/>
      <w:bookmarkStart w:id="179" w:name="_Toc160530214"/>
      <w:bookmarkEnd w:id="179"/>
      <w:bookmarkStart w:id="180" w:name="_Toc160530142"/>
      <w:bookmarkEnd w:id="180"/>
      <w:bookmarkStart w:id="181" w:name="_Toc160530229"/>
      <w:bookmarkEnd w:id="181"/>
      <w:bookmarkStart w:id="182" w:name="_Toc160530160"/>
      <w:bookmarkEnd w:id="182"/>
      <w:bookmarkStart w:id="183" w:name="_Toc160530231"/>
      <w:bookmarkEnd w:id="183"/>
      <w:bookmarkStart w:id="184" w:name="_Toc160530225"/>
      <w:bookmarkEnd w:id="184"/>
      <w:bookmarkStart w:id="185" w:name="_Toc160530222"/>
      <w:bookmarkEnd w:id="185"/>
      <w:bookmarkStart w:id="186" w:name="_Toc160530216"/>
      <w:bookmarkEnd w:id="186"/>
      <w:bookmarkStart w:id="187" w:name="_Toc160530212"/>
      <w:bookmarkEnd w:id="187"/>
      <w:bookmarkStart w:id="188" w:name="_Toc160530226"/>
      <w:bookmarkEnd w:id="188"/>
      <w:bookmarkStart w:id="189" w:name="_Toc31417"/>
      <w:bookmarkStart w:id="190" w:name="_Toc22550"/>
      <w:bookmarkStart w:id="191" w:name="_Toc301882202"/>
      <w:bookmarkStart w:id="192" w:name="_Toc11395"/>
      <w:bookmarkStart w:id="193" w:name="_Toc28091916"/>
      <w:bookmarkStart w:id="194" w:name="_Toc97719080"/>
      <w:bookmarkStart w:id="195" w:name="_Toc160530164"/>
      <w:bookmarkStart w:id="196" w:name="_Toc14234"/>
      <w:bookmarkStart w:id="197" w:name="_Toc162062295"/>
      <w:bookmarkStart w:id="198" w:name="_Toc135473439"/>
      <w:r>
        <w:rPr>
          <w:rFonts w:hint="eastAsia" w:ascii="仿宋_GB2312" w:hAnsi="宋体" w:eastAsia="仿宋_GB2312"/>
          <w:kern w:val="0"/>
          <w:sz w:val="24"/>
          <w:szCs w:val="24"/>
        </w:rPr>
        <w:t>第十章  理财产品托管人对理财</w:t>
      </w:r>
      <w:r>
        <w:rPr>
          <w:rFonts w:ascii="仿宋_GB2312" w:hAnsi="宋体" w:eastAsia="仿宋_GB2312"/>
          <w:kern w:val="0"/>
          <w:sz w:val="24"/>
          <w:szCs w:val="24"/>
        </w:rPr>
        <w:t>产品</w:t>
      </w:r>
      <w:r>
        <w:rPr>
          <w:rFonts w:hint="eastAsia" w:ascii="仿宋_GB2312" w:hAnsi="宋体" w:eastAsia="仿宋_GB2312"/>
          <w:kern w:val="0"/>
          <w:sz w:val="24"/>
          <w:szCs w:val="24"/>
        </w:rPr>
        <w:t>管理人的业务监督与核查</w:t>
      </w:r>
      <w:bookmarkEnd w:id="189"/>
      <w:bookmarkEnd w:id="190"/>
      <w:bookmarkEnd w:id="191"/>
      <w:bookmarkEnd w:id="192"/>
      <w:bookmarkEnd w:id="193"/>
      <w:bookmarkEnd w:id="194"/>
      <w:bookmarkEnd w:id="195"/>
      <w:bookmarkEnd w:id="196"/>
      <w:bookmarkEnd w:id="197"/>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eastAsia="仿宋_GB2312"/>
          <w:sz w:val="24"/>
        </w:rPr>
      </w:pPr>
      <w:r>
        <w:rPr>
          <w:rFonts w:hint="eastAsia" w:ascii="仿宋_GB2312" w:eastAsia="仿宋_GB2312"/>
          <w:b/>
          <w:sz w:val="24"/>
        </w:rPr>
        <w:t>10.1</w:t>
      </w:r>
      <w:r>
        <w:rPr>
          <w:rFonts w:hint="eastAsia" w:ascii="仿宋_GB2312" w:eastAsia="仿宋_GB2312"/>
          <w:sz w:val="24"/>
        </w:rPr>
        <w:t>甲方应确保各理财产品的合法合规性，保证对理财产品资产的管理运用严格遵守监管机构关于商业银行理财业务的各项监管规定。</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2" w:firstLineChars="200"/>
        <w:rPr>
          <w:rFonts w:hint="eastAsia" w:ascii="仿宋_GB2312" w:hAnsi="宋体" w:eastAsia="仿宋_GB2312" w:cs="Times New Roman"/>
          <w:kern w:val="0"/>
          <w:sz w:val="24"/>
          <w:szCs w:val="24"/>
        </w:rPr>
      </w:pPr>
      <w:r>
        <w:rPr>
          <w:rFonts w:hint="eastAsia" w:ascii="仿宋_GB2312" w:eastAsia="仿宋_GB2312"/>
          <w:b/>
          <w:sz w:val="24"/>
        </w:rPr>
        <w:t xml:space="preserve">10.2 </w:t>
      </w:r>
      <w:r>
        <w:rPr>
          <w:rFonts w:hint="eastAsia" w:ascii="仿宋_GB2312" w:eastAsia="仿宋_GB2312"/>
          <w:sz w:val="24"/>
        </w:rPr>
        <w:t>乙方对甲方的投资行为行使监督权。乙方根据</w:t>
      </w:r>
      <w:r>
        <w:rPr>
          <w:rFonts w:hint="default" w:ascii="仿宋_GB2312" w:eastAsia="仿宋_GB2312"/>
          <w:sz w:val="24"/>
          <w:lang w:val="en-US"/>
        </w:rPr>
        <w:t>各理财产品说明书</w:t>
      </w:r>
      <w:r>
        <w:rPr>
          <w:rFonts w:hint="eastAsia" w:ascii="仿宋_GB2312" w:eastAsia="仿宋_GB2312"/>
          <w:sz w:val="24"/>
        </w:rPr>
        <w:t>的约定对理财产品</w:t>
      </w:r>
      <w:r>
        <w:rPr>
          <w:rFonts w:hint="eastAsia" w:ascii="仿宋_GB2312" w:hAnsi="Times New Roman" w:eastAsia="仿宋_GB2312" w:cs="Times New Roman"/>
          <w:b w:val="0"/>
          <w:sz w:val="24"/>
        </w:rPr>
        <w:t>投资范围、投资比例及投资限制</w:t>
      </w:r>
      <w:r>
        <w:rPr>
          <w:rFonts w:hint="eastAsia" w:ascii="仿宋_GB2312" w:hAnsi="Times New Roman" w:eastAsia="仿宋_GB2312" w:cs="Times New Roman"/>
          <w:b w:val="0"/>
          <w:sz w:val="24"/>
          <w:lang w:eastAsia="zh-CN"/>
        </w:rPr>
        <w:t>等</w:t>
      </w:r>
      <w:r>
        <w:rPr>
          <w:rFonts w:hint="eastAsia" w:ascii="仿宋_GB2312" w:eastAsia="仿宋_GB2312"/>
          <w:sz w:val="24"/>
        </w:rPr>
        <w:t>投资事项进行监督。各理财产品说明书需在产品成立前发送至托管人审核，托管人仅对审核无异议的理财产品说明书进行监督</w:t>
      </w:r>
      <w:r>
        <w:rPr>
          <w:rFonts w:hint="eastAsia" w:ascii="仿宋_GB2312" w:eastAsia="仿宋_GB2312"/>
          <w:sz w:val="24"/>
          <w:lang w:eastAsia="zh-CN"/>
        </w:rPr>
        <w:t>，</w:t>
      </w:r>
      <w:r>
        <w:rPr>
          <w:rFonts w:hint="eastAsia" w:ascii="仿宋_GB2312" w:hAnsi="Times New Roman" w:eastAsia="仿宋_GB2312"/>
          <w:b w:val="0"/>
          <w:sz w:val="24"/>
        </w:rPr>
        <w:t>如存在托管人无法进行监督的情形，甲乙双方另行约定</w:t>
      </w:r>
      <w:r>
        <w:rPr>
          <w:rFonts w:hint="eastAsia" w:ascii="仿宋_GB2312" w:hAnsi="Times New Roman" w:eastAsia="仿宋_GB2312" w:cs="Times New Roman"/>
          <w:sz w:val="24"/>
        </w:rPr>
        <w:t>。</w:t>
      </w:r>
      <w:r>
        <w:rPr>
          <w:rFonts w:hint="eastAsia" w:ascii="仿宋_GB2312" w:hAnsi="宋体" w:eastAsia="仿宋_GB2312" w:cs="Times New Roman"/>
          <w:kern w:val="0"/>
          <w:sz w:val="24"/>
          <w:szCs w:val="24"/>
        </w:rPr>
        <w:t>托管人的监督工作受限于管理人与托管人双方核对完毕的估值表数据及公开市场获取的信息</w:t>
      </w:r>
      <w:r>
        <w:rPr>
          <w:rFonts w:hint="default" w:ascii="仿宋_GB2312" w:hAnsi="宋体" w:eastAsia="仿宋_GB2312" w:cs="Times New Roman"/>
          <w:kern w:val="0"/>
          <w:sz w:val="24"/>
          <w:szCs w:val="24"/>
          <w:lang w:eastAsia="zh-CN"/>
        </w:rPr>
        <w:t>，</w:t>
      </w:r>
      <w:r>
        <w:rPr>
          <w:rFonts w:hint="eastAsia" w:ascii="仿宋_GB2312" w:hAnsi="宋体" w:eastAsia="仿宋_GB2312" w:cs="Times New Roman"/>
          <w:b w:val="0"/>
          <w:bCs w:val="0"/>
          <w:kern w:val="0"/>
          <w:sz w:val="24"/>
          <w:szCs w:val="24"/>
        </w:rPr>
        <w:t>托管人仅对其可观测及系统支持的范围内对投资行为进行监督</w:t>
      </w:r>
      <w:r>
        <w:rPr>
          <w:rFonts w:hint="eastAsia" w:ascii="仿宋_GB2312" w:hAnsi="宋体" w:eastAsia="仿宋_GB2312" w:cs="Times New Roman"/>
          <w:b w:val="0"/>
          <w:bCs w:val="0"/>
          <w:kern w:val="0"/>
          <w:sz w:val="24"/>
          <w:szCs w:val="24"/>
          <w:lang w:eastAsia="zh-CN"/>
        </w:rPr>
        <w:t>，</w:t>
      </w:r>
      <w:r>
        <w:rPr>
          <w:rFonts w:hint="eastAsia" w:ascii="仿宋_GB2312" w:hAnsi="宋体" w:eastAsia="仿宋_GB2312" w:cs="Times New Roman"/>
          <w:kern w:val="0"/>
          <w:sz w:val="24"/>
          <w:szCs w:val="24"/>
        </w:rPr>
        <w:t>对于无法从公开市场获取的事项不负责进行监督。</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kern w:val="0"/>
          <w:sz w:val="24"/>
        </w:rPr>
        <w:t>乙方对甲方管理的理财产品投资不做穿透监督，即乙方只对于乙方所托管的理财产品层级的直接投资范围及投资比例进行监督，不负责监督所投资产的再投资及底层资产情况，不穿透对理财产品投资的资产管理计划的投资资产的监督。如因甲方穿透后投资比例超过本合同约定和法律法规规定的比例而造成理财产品损失的,乙方不承担责任。</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eastAsia="仿宋_GB2312"/>
          <w:sz w:val="24"/>
          <w:lang w:val="en-US" w:eastAsia="zh-CN"/>
        </w:rPr>
      </w:pPr>
      <w:r>
        <w:rPr>
          <w:rFonts w:hint="eastAsia" w:ascii="仿宋_GB2312" w:eastAsia="仿宋_GB2312"/>
          <w:sz w:val="24"/>
        </w:rPr>
        <w:t>10.3乙方对各理财产品财产的投资监督和检查自自相应理财产品成立运作之日开始。投资监督事项的制定和修改应为托管人监控系统开发、测试，外部资讯数据采购预留合理必要时间</w:t>
      </w:r>
      <w:r>
        <w:rPr>
          <w:rFonts w:hint="eastAsia" w:ascii="仿宋_GB2312" w:eastAsia="仿宋_GB2312"/>
          <w:sz w:val="24"/>
          <w:lang w:eastAsia="zh-CN"/>
        </w:rPr>
        <w:t>。</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eastAsia="仿宋_GB2312"/>
          <w:sz w:val="24"/>
        </w:rPr>
      </w:pPr>
      <w:r>
        <w:rPr>
          <w:rFonts w:hint="eastAsia" w:ascii="仿宋_GB2312" w:eastAsia="仿宋_GB2312"/>
          <w:sz w:val="24"/>
        </w:rPr>
        <w:t>对于投资监督事项约定需要乙方进行关联交易监督的投资事项，若甲方没有及时提供关联方信息，或在合同期限内未根据变化及时更新关联方名单，导致乙方无法及时对关联交易进行监督，所产生的一切后果，乙方不承担责任。</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eastAsia="仿宋_GB2312"/>
          <w:sz w:val="24"/>
        </w:rPr>
      </w:pPr>
      <w:r>
        <w:rPr>
          <w:rFonts w:hint="eastAsia" w:ascii="仿宋_GB2312" w:eastAsia="仿宋_GB2312"/>
          <w:sz w:val="24"/>
        </w:rPr>
        <w:t>10.4乙方发现甲方的划款指令或实际投资运作违反法律法规规定和本托管协议的约定，应及时以书面提示等方式通知甲方限期纠正。甲方应积极配合和协助乙方的监督和核查。甲方收到书面通知后应在下一工作日前及时核对并以书面形式给乙方发出回函，就乙方的疑义进行解释或举证，说明违规原因及纠正期限，并保证在规定期限内及时改正。在上述规定期限内，乙方有权随时对通知事项进行复查，督促甲方改正。甲方对乙方通知的违规事项未能在限期内纠正的，乙方有权报告监管部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eastAsia="仿宋_GB2312"/>
          <w:sz w:val="24"/>
        </w:rPr>
      </w:pPr>
      <w:r>
        <w:rPr>
          <w:rFonts w:hint="eastAsia" w:ascii="仿宋_GB2312" w:eastAsia="仿宋_GB2312"/>
          <w:sz w:val="24"/>
        </w:rPr>
        <w:t>10.5乙方发现甲方有重大违规行为，有权报告监管部门，同时通知甲方限期纠正。甲方无正当理由，拒绝、阻挠对方根据本托管协议规定行使监督权，或采取拖延、欺诈等手段妨碍对方进行有效监督，情节严重或经乙方提出警告仍不改正的，乙方有权报告监管部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eastAsia="仿宋_GB2312"/>
          <w:sz w:val="24"/>
        </w:rPr>
      </w:pPr>
      <w:r>
        <w:rPr>
          <w:rFonts w:hint="eastAsia" w:ascii="仿宋_GB2312" w:eastAsia="仿宋_GB2312"/>
          <w:sz w:val="24"/>
        </w:rPr>
        <w:t>10.6理财产品投资范围和投资限制变更的，甲方应在与乙方协商一致后将变更后的理财产品销售文件提交乙方，理财产品、甲方应为乙方调整监督事项留出必要的时间。</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10.7 甲方经乙方催告仍不按约定与乙方对账，导致乙方无法及时履行投资监督职责，乙方不承担由此造成的损失。</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10.8</w:t>
      </w:r>
      <w:r>
        <w:rPr>
          <w:rFonts w:hint="eastAsia" w:ascii="仿宋_GB2312" w:hAnsi="宋体" w:eastAsia="仿宋_GB2312"/>
          <w:b/>
          <w:kern w:val="0"/>
          <w:sz w:val="24"/>
        </w:rPr>
        <w:t xml:space="preserve"> </w:t>
      </w:r>
      <w:r>
        <w:rPr>
          <w:rFonts w:hint="eastAsia" w:ascii="仿宋_GB2312" w:hAnsi="宋体" w:eastAsia="仿宋_GB2312"/>
          <w:kern w:val="0"/>
          <w:sz w:val="24"/>
        </w:rPr>
        <w:t>乙方投资监督的准确性和完整性及真实性、及时性受限于甲方、证券经纪商及其他中介机构提供的数据和信息，合规投资的最终责任在甲方。乙方对这些机构的信息的准确性和完整性及真实性、及时性不作任何担保、暗示或表示，并对上述机构提供的信息的真实性、准确性、完整性和及时性所引起的损失不承担任何责任。</w:t>
      </w:r>
    </w:p>
    <w:p>
      <w:pPr>
        <w:pageBreakBefore w:val="0"/>
        <w:widowControl w:val="0"/>
        <w:kinsoku/>
        <w:wordWrap/>
        <w:overflowPunct/>
        <w:topLinePunct w:val="0"/>
        <w:autoSpaceDE w:val="0"/>
        <w:autoSpaceDN w:val="0"/>
        <w:bidi w:val="0"/>
        <w:adjustRightInd w:val="0"/>
        <w:snapToGrid w:val="0"/>
        <w:spacing w:before="0" w:beforeLines="0" w:after="0" w:afterLines="0" w:line="329" w:lineRule="auto"/>
        <w:ind w:firstLine="480" w:firstLineChars="200"/>
        <w:jc w:val="left"/>
        <w:rPr>
          <w:rFonts w:ascii="仿宋_GB2312" w:hAnsi="宋体" w:eastAsia="仿宋_GB2312"/>
          <w:kern w:val="0"/>
          <w:sz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199" w:name="_Toc160530165"/>
      <w:bookmarkEnd w:id="199"/>
      <w:bookmarkStart w:id="200" w:name="_Toc160530234"/>
      <w:bookmarkEnd w:id="200"/>
      <w:bookmarkStart w:id="201" w:name="_Toc160530166"/>
      <w:bookmarkStart w:id="202" w:name="_Toc141850065"/>
      <w:bookmarkStart w:id="203" w:name="_Toc97719081"/>
      <w:bookmarkStart w:id="204" w:name="_Toc109"/>
      <w:bookmarkStart w:id="205" w:name="_Toc162062296"/>
      <w:bookmarkStart w:id="206" w:name="_Toc20798"/>
      <w:bookmarkStart w:id="207" w:name="_Toc301882203"/>
      <w:bookmarkStart w:id="208" w:name="_Toc6840"/>
      <w:bookmarkStart w:id="209" w:name="_Toc28091917"/>
      <w:bookmarkStart w:id="210" w:name="_Toc9268"/>
      <w:r>
        <w:rPr>
          <w:rFonts w:hint="eastAsia" w:ascii="仿宋_GB2312" w:hAnsi="宋体" w:eastAsia="仿宋_GB2312"/>
          <w:sz w:val="24"/>
          <w:szCs w:val="24"/>
        </w:rPr>
        <w:t>第十一章  费用</w:t>
      </w:r>
      <w:bookmarkEnd w:id="198"/>
      <w:bookmarkEnd w:id="201"/>
      <w:bookmarkEnd w:id="202"/>
      <w:bookmarkEnd w:id="203"/>
      <w:bookmarkEnd w:id="204"/>
      <w:bookmarkEnd w:id="205"/>
      <w:bookmarkEnd w:id="206"/>
      <w:bookmarkEnd w:id="207"/>
      <w:bookmarkEnd w:id="208"/>
      <w:bookmarkEnd w:id="209"/>
      <w:bookmarkEnd w:id="210"/>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bCs/>
          <w:sz w:val="24"/>
        </w:rPr>
      </w:pPr>
      <w:r>
        <w:rPr>
          <w:rFonts w:hint="eastAsia" w:ascii="仿宋_GB2312" w:hAnsi="宋体" w:eastAsia="仿宋_GB2312"/>
          <w:b/>
          <w:bCs/>
          <w:sz w:val="24"/>
        </w:rPr>
        <w:t>11.1托管费</w:t>
      </w:r>
      <w:r>
        <w:rPr>
          <w:rFonts w:hint="eastAsia" w:ascii="仿宋_GB2312" w:hAnsi="宋体" w:eastAsia="仿宋_GB2312"/>
          <w:bCs/>
          <w:sz w:val="24"/>
        </w:rPr>
        <w:t xml:space="preserve"> </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bCs/>
          <w:sz w:val="24"/>
        </w:rPr>
        <w:t xml:space="preserve">11.1.1 </w:t>
      </w:r>
      <w:r>
        <w:rPr>
          <w:rFonts w:hint="eastAsia" w:ascii="仿宋_GB2312" w:hAnsi="宋体" w:eastAsia="仿宋_GB2312"/>
          <w:bCs/>
          <w:sz w:val="24"/>
        </w:rPr>
        <w:t>费用标准</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bCs/>
          <w:color w:val="auto"/>
          <w:sz w:val="24"/>
        </w:rPr>
        <w:t>乙方按照本协议提供服务，收取托管费，托管费由理财产品财产承担，托管费率为</w:t>
      </w:r>
      <w:r>
        <w:rPr>
          <w:rFonts w:hint="eastAsia" w:ascii="仿宋_GB2312" w:hAnsi="宋体" w:eastAsia="仿宋_GB2312"/>
          <w:bCs/>
          <w:color w:val="auto"/>
          <w:sz w:val="24"/>
          <w:highlight w:val="none"/>
        </w:rPr>
        <w:t>0.0</w:t>
      </w:r>
      <w:r>
        <w:rPr>
          <w:rFonts w:hint="eastAsia" w:ascii="仿宋_GB2312" w:hAnsi="宋体" w:eastAsia="仿宋_GB2312"/>
          <w:bCs/>
          <w:color w:val="auto"/>
          <w:sz w:val="24"/>
          <w:highlight w:val="none"/>
          <w:lang w:val="en-US" w:eastAsia="zh-CN"/>
        </w:rPr>
        <w:t>2</w:t>
      </w:r>
      <w:r>
        <w:rPr>
          <w:rFonts w:hint="eastAsia" w:ascii="仿宋_GB2312" w:hAnsi="宋体" w:eastAsia="仿宋_GB2312"/>
          <w:bCs/>
          <w:color w:val="auto"/>
          <w:sz w:val="24"/>
          <w:highlight w:val="none"/>
        </w:rPr>
        <w:t>%（年化）</w:t>
      </w:r>
      <w:r>
        <w:rPr>
          <w:rFonts w:hint="eastAsia" w:ascii="仿宋_GB2312" w:hAnsi="宋体" w:eastAsia="仿宋_GB2312"/>
          <w:bCs/>
          <w:sz w:val="24"/>
          <w:lang w:eastAsia="zh-CN"/>
        </w:rPr>
        <w:t>。具体托管费率可经甲乙双方协商一致后变更，以理财产品说明书或管理人公告为准。</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bCs/>
          <w:sz w:val="24"/>
        </w:rPr>
        <w:t>11.1.2</w:t>
      </w:r>
      <w:r>
        <w:rPr>
          <w:rFonts w:hint="eastAsia" w:ascii="仿宋_GB2312" w:hAnsi="宋体" w:eastAsia="仿宋_GB2312"/>
          <w:bCs/>
          <w:sz w:val="24"/>
        </w:rPr>
        <w:t>支付方式</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eastAsia="仿宋_GB2312"/>
          <w:bCs/>
          <w:sz w:val="24"/>
        </w:rPr>
      </w:pPr>
      <w:r>
        <w:rPr>
          <w:rFonts w:hint="eastAsia" w:ascii="仿宋_GB2312" w:hAnsi="宋体" w:eastAsia="仿宋_GB2312"/>
          <w:bCs/>
          <w:sz w:val="24"/>
        </w:rPr>
        <w:t>乙方依照各理财产品对应的理财产品说明书约定的时间及方式收取托管费</w:t>
      </w:r>
      <w:r>
        <w:rPr>
          <w:rFonts w:hint="eastAsia" w:ascii="仿宋_GB2312" w:eastAsia="仿宋_GB2312"/>
          <w:bCs/>
          <w:sz w:val="24"/>
        </w:rPr>
        <w:t>。</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bCs/>
          <w:sz w:val="24"/>
        </w:rPr>
        <w:t>11.1.3</w:t>
      </w:r>
      <w:r>
        <w:rPr>
          <w:rFonts w:hint="eastAsia" w:ascii="仿宋_GB2312" w:hAnsi="宋体" w:eastAsia="仿宋_GB2312"/>
          <w:bCs/>
          <w:sz w:val="24"/>
        </w:rPr>
        <w:t>收款账号</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乙方接收托管费账户信息如下：</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账户名：待处理托管业务收益款项</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开户行：中信银行天津分行营业部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账号：7231110127322000101</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
          <w:bCs/>
          <w:sz w:val="24"/>
        </w:rPr>
      </w:pPr>
      <w:r>
        <w:rPr>
          <w:rFonts w:hint="eastAsia" w:ascii="仿宋_GB2312" w:hAnsi="宋体" w:eastAsia="仿宋_GB2312"/>
          <w:bCs/>
          <w:sz w:val="24"/>
        </w:rPr>
        <w:t>摘要：项目保管费（请缩减在20个字内）</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bCs/>
          <w:sz w:val="24"/>
        </w:rPr>
      </w:pPr>
      <w:r>
        <w:rPr>
          <w:rFonts w:hint="eastAsia" w:ascii="仿宋_GB2312" w:hAnsi="宋体" w:eastAsia="仿宋_GB2312"/>
          <w:b/>
          <w:bCs/>
          <w:sz w:val="24"/>
        </w:rPr>
        <w:t>11.2管理费</w:t>
      </w:r>
      <w:r>
        <w:rPr>
          <w:rFonts w:hint="eastAsia" w:ascii="仿宋_GB2312" w:hAnsi="宋体" w:eastAsia="仿宋_GB2312"/>
          <w:bCs/>
          <w:sz w:val="24"/>
        </w:rPr>
        <w:t xml:space="preserve"> </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bCs/>
          <w:sz w:val="24"/>
        </w:rPr>
        <w:t xml:space="preserve">11.2.1 </w:t>
      </w:r>
      <w:r>
        <w:rPr>
          <w:rFonts w:hint="eastAsia" w:ascii="仿宋_GB2312" w:hAnsi="宋体" w:eastAsia="仿宋_GB2312"/>
          <w:bCs/>
          <w:sz w:val="24"/>
        </w:rPr>
        <w:t>费用标准</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甲方依照各理财</w:t>
      </w:r>
      <w:r>
        <w:rPr>
          <w:rFonts w:hint="eastAsia" w:ascii="仿宋_GB2312" w:hAnsi="宋体" w:eastAsia="仿宋_GB2312"/>
          <w:sz w:val="24"/>
        </w:rPr>
        <w:t>产品</w:t>
      </w:r>
      <w:r>
        <w:rPr>
          <w:rFonts w:hint="eastAsia" w:ascii="仿宋_GB2312" w:hAnsi="宋体" w:eastAsia="仿宋_GB2312"/>
          <w:bCs/>
          <w:sz w:val="24"/>
        </w:rPr>
        <w:t>对应</w:t>
      </w:r>
      <w:r>
        <w:rPr>
          <w:rFonts w:hint="eastAsia" w:ascii="仿宋_GB2312" w:hAnsi="宋体" w:eastAsia="仿宋_GB2312"/>
          <w:sz w:val="24"/>
        </w:rPr>
        <w:t>的</w:t>
      </w:r>
      <w:r>
        <w:rPr>
          <w:rFonts w:hint="eastAsia" w:ascii="仿宋_GB2312" w:hAnsi="宋体" w:eastAsia="仿宋_GB2312"/>
          <w:bCs/>
          <w:sz w:val="24"/>
        </w:rPr>
        <w:t>理财产品说明书约定</w:t>
      </w:r>
      <w:r>
        <w:rPr>
          <w:rFonts w:hint="eastAsia" w:ascii="仿宋_GB2312" w:hAnsi="宋体" w:eastAsia="仿宋_GB2312"/>
          <w:sz w:val="24"/>
        </w:rPr>
        <w:t>的费率</w:t>
      </w:r>
      <w:r>
        <w:rPr>
          <w:rFonts w:hint="eastAsia" w:ascii="仿宋_GB2312" w:hAnsi="宋体" w:eastAsia="仿宋_GB2312"/>
          <w:bCs/>
          <w:sz w:val="24"/>
        </w:rPr>
        <w:t>收取</w:t>
      </w:r>
      <w:r>
        <w:rPr>
          <w:rFonts w:hint="eastAsia" w:ascii="仿宋_GB2312" w:hAnsi="宋体" w:eastAsia="仿宋_GB2312"/>
          <w:sz w:val="24"/>
        </w:rPr>
        <w:t>管理费</w:t>
      </w:r>
      <w:r>
        <w:rPr>
          <w:rFonts w:hint="eastAsia" w:ascii="仿宋_GB2312" w:hAnsi="宋体" w:eastAsia="仿宋_GB2312"/>
          <w:bCs/>
          <w:sz w:val="24"/>
        </w:rPr>
        <w:t>。</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bCs/>
          <w:sz w:val="24"/>
        </w:rPr>
        <w:t>11.2.2</w:t>
      </w:r>
      <w:r>
        <w:rPr>
          <w:rFonts w:hint="eastAsia" w:ascii="仿宋_GB2312" w:hAnsi="宋体" w:eastAsia="仿宋_GB2312"/>
          <w:bCs/>
          <w:sz w:val="24"/>
        </w:rPr>
        <w:t>支付方式</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eastAsia="仿宋_GB2312"/>
          <w:bCs/>
          <w:sz w:val="24"/>
        </w:rPr>
      </w:pPr>
      <w:r>
        <w:rPr>
          <w:rFonts w:hint="eastAsia" w:ascii="仿宋_GB2312" w:hAnsi="宋体" w:eastAsia="仿宋_GB2312"/>
          <w:bCs/>
          <w:sz w:val="24"/>
        </w:rPr>
        <w:t>甲方依照各理财产品对应的理财产品说明书约定的时间及方式收取管理费</w:t>
      </w:r>
      <w:r>
        <w:rPr>
          <w:rFonts w:hint="eastAsia" w:ascii="仿宋_GB2312" w:eastAsia="仿宋_GB2312"/>
          <w:bCs/>
          <w:sz w:val="24"/>
        </w:rPr>
        <w:t>。</w:t>
      </w:r>
    </w:p>
    <w:p>
      <w:pPr>
        <w:pStyle w:val="5"/>
        <w:pageBreakBefore w:val="0"/>
        <w:widowControl w:val="0"/>
        <w:kinsoku/>
        <w:wordWrap/>
        <w:overflowPunct/>
        <w:topLinePunct w:val="0"/>
        <w:bidi w:val="0"/>
        <w:adjustRightInd w:val="0"/>
        <w:snapToGrid w:val="0"/>
        <w:spacing w:before="0" w:beforeLines="0" w:after="0" w:afterLines="0" w:line="329" w:lineRule="auto"/>
        <w:ind w:left="0" w:leftChars="0" w:firstLine="482" w:firstLineChars="200"/>
        <w:rPr>
          <w:rFonts w:hint="eastAsia" w:ascii="仿宋_GB2312" w:hAnsi="宋体" w:eastAsia="仿宋_GB2312" w:cs="Times New Roman"/>
          <w:b/>
          <w:bCs/>
          <w:sz w:val="24"/>
          <w:lang w:val="en-US" w:eastAsia="zh-CN"/>
        </w:rPr>
      </w:pPr>
      <w:r>
        <w:rPr>
          <w:rFonts w:hint="eastAsia" w:ascii="仿宋_GB2312" w:hAnsi="宋体" w:eastAsia="仿宋_GB2312" w:cs="Times New Roman"/>
          <w:b/>
          <w:bCs/>
          <w:sz w:val="24"/>
          <w:lang w:val="en-US" w:eastAsia="zh-CN"/>
        </w:rPr>
        <w:t>11.3银行间交易相关费用（如有）</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cs="Times New Roman"/>
          <w:bCs/>
          <w:spacing w:val="0"/>
          <w:sz w:val="24"/>
          <w:szCs w:val="24"/>
        </w:rPr>
      </w:pPr>
      <w:r>
        <w:rPr>
          <w:rFonts w:hint="eastAsia" w:ascii="仿宋_GB2312" w:hAnsi="宋体" w:eastAsia="仿宋_GB2312" w:cs="Times New Roman"/>
          <w:bCs/>
          <w:spacing w:val="0"/>
          <w:sz w:val="24"/>
          <w:szCs w:val="24"/>
        </w:rPr>
        <w:t>在债券托管模式下，乙方按</w:t>
      </w:r>
      <w:r>
        <w:rPr>
          <w:rFonts w:hint="eastAsia" w:ascii="仿宋_GB2312" w:hAnsi="宋体" w:eastAsia="仿宋_GB2312" w:cs="Times New Roman"/>
          <w:bCs/>
          <w:sz w:val="24"/>
          <w:szCs w:val="24"/>
        </w:rPr>
        <w:t>债券登记托管结算机构</w:t>
      </w:r>
      <w:r>
        <w:rPr>
          <w:rFonts w:hint="eastAsia" w:ascii="仿宋_GB2312" w:hAnsi="宋体" w:eastAsia="仿宋_GB2312" w:cs="Times New Roman"/>
          <w:bCs/>
          <w:spacing w:val="0"/>
          <w:sz w:val="24"/>
          <w:szCs w:val="24"/>
        </w:rPr>
        <w:t>现行收费科目，向</w:t>
      </w:r>
      <w:r>
        <w:rPr>
          <w:rFonts w:hint="eastAsia" w:ascii="仿宋_GB2312" w:hAnsi="宋体" w:eastAsia="仿宋_GB2312" w:cs="Times New Roman"/>
          <w:bCs/>
          <w:spacing w:val="0"/>
          <w:sz w:val="24"/>
          <w:szCs w:val="24"/>
          <w:lang w:eastAsia="zh-CN"/>
        </w:rPr>
        <w:t>每只参与银行间债券交易的</w:t>
      </w:r>
      <w:r>
        <w:rPr>
          <w:rFonts w:hint="eastAsia" w:ascii="仿宋_GB2312" w:hAnsi="宋体" w:eastAsia="仿宋_GB2312" w:cs="Times New Roman"/>
          <w:bCs/>
          <w:spacing w:val="0"/>
          <w:sz w:val="24"/>
          <w:szCs w:val="24"/>
        </w:rPr>
        <w:t>理财产品收取账户维护费、结算费、过户费等服务费用。如监管机构、</w:t>
      </w:r>
      <w:r>
        <w:rPr>
          <w:rFonts w:hint="eastAsia" w:ascii="仿宋_GB2312" w:hAnsi="宋体" w:eastAsia="仿宋_GB2312" w:cs="Times New Roman"/>
          <w:bCs/>
          <w:sz w:val="24"/>
          <w:szCs w:val="24"/>
        </w:rPr>
        <w:t>债券登记托管结算机构</w:t>
      </w:r>
      <w:r>
        <w:rPr>
          <w:rFonts w:hint="eastAsia" w:ascii="仿宋_GB2312" w:hAnsi="宋体" w:eastAsia="仿宋_GB2312" w:cs="Times New Roman"/>
          <w:bCs/>
          <w:spacing w:val="0"/>
          <w:sz w:val="24"/>
          <w:szCs w:val="24"/>
        </w:rPr>
        <w:t>调整债券托管账户的</w:t>
      </w:r>
      <w:r>
        <w:rPr>
          <w:rFonts w:hint="eastAsia" w:ascii="仿宋_GB2312" w:hAnsi="宋体" w:eastAsia="仿宋_GB2312" w:cs="Times New Roman"/>
          <w:bCs/>
          <w:spacing w:val="0"/>
          <w:sz w:val="24"/>
          <w:szCs w:val="24"/>
          <w:lang w:eastAsia="zh-CN"/>
        </w:rPr>
        <w:t>收费内容、</w:t>
      </w:r>
      <w:r>
        <w:rPr>
          <w:rFonts w:hint="eastAsia" w:ascii="仿宋_GB2312" w:hAnsi="宋体" w:eastAsia="仿宋_GB2312" w:cs="Times New Roman"/>
          <w:bCs/>
          <w:spacing w:val="0"/>
          <w:sz w:val="24"/>
          <w:szCs w:val="24"/>
        </w:rPr>
        <w:t>收费方式和收费标准，</w:t>
      </w:r>
      <w:r>
        <w:rPr>
          <w:rFonts w:hint="eastAsia" w:ascii="仿宋_GB2312" w:hAnsi="宋体" w:eastAsia="仿宋_GB2312" w:cs="Times New Roman"/>
          <w:bCs/>
          <w:spacing w:val="0"/>
          <w:sz w:val="24"/>
          <w:szCs w:val="24"/>
          <w:lang w:eastAsia="zh-CN"/>
        </w:rPr>
        <w:t>按最新</w:t>
      </w:r>
      <w:r>
        <w:rPr>
          <w:rFonts w:hint="eastAsia" w:ascii="仿宋_GB2312" w:hAnsi="宋体" w:eastAsia="仿宋_GB2312" w:cs="Times New Roman"/>
          <w:bCs/>
          <w:spacing w:val="0"/>
          <w:sz w:val="24"/>
          <w:szCs w:val="24"/>
        </w:rPr>
        <w:t>收费内容、收费方式和收费标准</w:t>
      </w:r>
      <w:r>
        <w:rPr>
          <w:rFonts w:hint="eastAsia" w:ascii="仿宋_GB2312" w:hAnsi="宋体" w:eastAsia="仿宋_GB2312" w:cs="Times New Roman"/>
          <w:bCs/>
          <w:spacing w:val="0"/>
          <w:sz w:val="24"/>
          <w:szCs w:val="24"/>
          <w:lang w:eastAsia="zh-CN"/>
        </w:rPr>
        <w:t>执行</w:t>
      </w:r>
      <w:r>
        <w:rPr>
          <w:rFonts w:hint="eastAsia" w:ascii="仿宋_GB2312" w:hAnsi="宋体" w:eastAsia="仿宋_GB2312" w:cs="Times New Roman"/>
          <w:bCs/>
          <w:spacing w:val="0"/>
          <w:sz w:val="24"/>
          <w:szCs w:val="24"/>
        </w:rPr>
        <w:t>。</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cs="Times New Roman"/>
          <w:bCs/>
          <w:spacing w:val="0"/>
          <w:sz w:val="24"/>
          <w:szCs w:val="24"/>
        </w:rPr>
        <w:t>账户维护费自首笔交易发生之日起按月计提，按季支付。交易结算相关服务费用每笔计提，按季度支付。乙方应于每季度次月前十个工作日内，向甲方提供账户缴费通知。上述费用经甲乙双方核对无误后，于次季度乙方提供对账户缴费通知起十个工作日内甲方全额支付给乙方指定账户。</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指定账户信息如下：</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户名：待处理托管业务收益款项</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账号：7110010127322000101</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开户行：中信银行管理总部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大额支付号：302100011000</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11.</w:t>
      </w:r>
      <w:r>
        <w:rPr>
          <w:rFonts w:hint="eastAsia" w:ascii="仿宋_GB2312" w:hAnsi="宋体" w:eastAsia="仿宋_GB2312"/>
          <w:bCs/>
          <w:sz w:val="24"/>
          <w:lang w:val="en-US" w:eastAsia="zh-CN"/>
        </w:rPr>
        <w:t>4</w:t>
      </w:r>
      <w:r>
        <w:rPr>
          <w:rFonts w:hint="eastAsia" w:ascii="仿宋_GB2312" w:hAnsi="宋体" w:eastAsia="仿宋_GB2312"/>
          <w:bCs/>
          <w:sz w:val="24"/>
        </w:rPr>
        <w:t>甲、乙双方可通过协商，对各理财产品约定的托管费率、管理费率、支付方式等进行重新约定，并达成书面一致意见。</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11.</w:t>
      </w:r>
      <w:r>
        <w:rPr>
          <w:rFonts w:hint="eastAsia" w:ascii="仿宋_GB2312" w:hAnsi="宋体" w:eastAsia="仿宋_GB2312"/>
          <w:b/>
          <w:sz w:val="24"/>
          <w:lang w:val="en-US" w:eastAsia="zh-CN"/>
        </w:rPr>
        <w:t>5</w:t>
      </w:r>
      <w:r>
        <w:rPr>
          <w:rFonts w:hint="eastAsia" w:ascii="仿宋_GB2312" w:hAnsi="宋体" w:eastAsia="仿宋_GB2312"/>
          <w:sz w:val="24"/>
        </w:rPr>
        <w:t>其他理财费用按照法律法规和理财文件的约定计提、列支并确定归属。除银行汇划费（如有）按实际发生额从理财产品资产中直接扣除外，其他费用支付均由甲方向乙方发送理财资金运用划款指令，乙方复核无误后在规定时间内执行。</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法律法规和理财文件对理财产品费用计提、列支及归属没有规定的，由甲方决定费用的计提、列支方式、确定归属；银行汇划费和其它银行手续费无法从理财产品资产中直接扣除的，由甲方决定银行汇划费和其它银行手续费的扣除方式。甲方应对上述费用处理出具相关书面说明，乙方对此不负有任何责任。</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11.</w:t>
      </w:r>
      <w:r>
        <w:rPr>
          <w:rFonts w:hint="eastAsia" w:ascii="仿宋_GB2312" w:hAnsi="宋体" w:eastAsia="仿宋_GB2312"/>
          <w:b/>
          <w:sz w:val="24"/>
          <w:lang w:val="en-US" w:eastAsia="zh-CN"/>
        </w:rPr>
        <w:t>6</w:t>
      </w:r>
      <w:r>
        <w:rPr>
          <w:rFonts w:hint="eastAsia" w:ascii="仿宋_GB2312" w:hAnsi="宋体" w:eastAsia="仿宋_GB2312"/>
          <w:sz w:val="24"/>
        </w:rPr>
        <w:t>若遇法定节假日、休息日或不可抗力致使无法按时支付的，顺延至最近可支付日支付。</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sz w:val="24"/>
        </w:rPr>
        <w:t>11.</w:t>
      </w:r>
      <w:r>
        <w:rPr>
          <w:rFonts w:hint="eastAsia" w:ascii="仿宋_GB2312" w:hAnsi="宋体" w:eastAsia="仿宋_GB2312"/>
          <w:b/>
          <w:sz w:val="24"/>
          <w:lang w:val="en-US" w:eastAsia="zh-CN"/>
        </w:rPr>
        <w:t>7</w:t>
      </w:r>
      <w:r>
        <w:rPr>
          <w:rFonts w:hint="eastAsia" w:ascii="仿宋_GB2312" w:hAnsi="宋体" w:eastAsia="仿宋_GB2312"/>
          <w:sz w:val="24"/>
        </w:rPr>
        <w:t>甲</w:t>
      </w:r>
      <w:r>
        <w:rPr>
          <w:rFonts w:hint="eastAsia" w:ascii="仿宋_GB2312" w:hAnsi="宋体" w:eastAsia="仿宋_GB2312"/>
          <w:bCs/>
          <w:sz w:val="24"/>
        </w:rPr>
        <w:t>方接收管理费、业绩报酬</w:t>
      </w:r>
      <w:r>
        <w:rPr>
          <w:rFonts w:hint="eastAsia" w:ascii="仿宋_GB2312" w:hAnsi="宋体" w:eastAsia="仿宋_GB2312"/>
          <w:bCs/>
          <w:sz w:val="24"/>
          <w:lang w:eastAsia="zh-CN"/>
        </w:rPr>
        <w:t>、</w:t>
      </w:r>
      <w:r>
        <w:rPr>
          <w:rFonts w:hint="eastAsia" w:ascii="仿宋_GB2312" w:hAnsi="宋体" w:eastAsia="仿宋_GB2312"/>
          <w:bCs/>
          <w:sz w:val="24"/>
          <w:lang w:val="en-US" w:eastAsia="zh-CN"/>
        </w:rPr>
        <w:t>审计费</w:t>
      </w:r>
      <w:r>
        <w:rPr>
          <w:rFonts w:hint="eastAsia" w:ascii="仿宋_GB2312" w:hAnsi="宋体" w:eastAsia="仿宋_GB2312"/>
          <w:bCs/>
          <w:sz w:val="24"/>
        </w:rPr>
        <w:t>及税费账户信息如下：</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户    名：渤银理财有限责任公司</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账    号：3053091992000182</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开户银行：渤海银行股份有限公司天津河东支行</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大额支付行号：318110000401</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Cs/>
          <w:sz w:val="24"/>
        </w:rPr>
      </w:pPr>
      <w:r>
        <w:rPr>
          <w:rFonts w:hint="eastAsia" w:ascii="仿宋_GB2312" w:hAnsi="宋体" w:eastAsia="仿宋_GB2312"/>
          <w:b/>
          <w:sz w:val="24"/>
        </w:rPr>
        <w:t>11.</w:t>
      </w:r>
      <w:r>
        <w:rPr>
          <w:rFonts w:hint="eastAsia" w:ascii="仿宋_GB2312" w:hAnsi="宋体" w:eastAsia="仿宋_GB2312"/>
          <w:b/>
          <w:sz w:val="24"/>
          <w:lang w:val="en-US" w:eastAsia="zh-CN"/>
        </w:rPr>
        <w:t>8</w:t>
      </w:r>
      <w:r>
        <w:rPr>
          <w:rFonts w:hint="eastAsia" w:ascii="仿宋_GB2312" w:hAnsi="宋体" w:eastAsia="仿宋_GB2312"/>
          <w:sz w:val="24"/>
        </w:rPr>
        <w:t>甲</w:t>
      </w:r>
      <w:r>
        <w:rPr>
          <w:rFonts w:hint="eastAsia" w:ascii="仿宋_GB2312" w:hAnsi="宋体" w:eastAsia="仿宋_GB2312"/>
          <w:bCs/>
          <w:sz w:val="24"/>
        </w:rPr>
        <w:t>方接收销售费、赎回款、分红款等兑付资金账户信息如下：</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户    名：渤银理财有限责任公司TA资金清算专户</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账    号：3053091992000261</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bCs/>
          <w:sz w:val="24"/>
        </w:rPr>
      </w:pPr>
      <w:r>
        <w:rPr>
          <w:rFonts w:hint="eastAsia" w:ascii="仿宋_GB2312" w:hAnsi="宋体" w:eastAsia="仿宋_GB2312"/>
          <w:bCs/>
          <w:sz w:val="24"/>
        </w:rPr>
        <w:t>开户银行：渤海银行股份有限公司天津分行营业部</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bCs/>
          <w:sz w:val="24"/>
        </w:rPr>
      </w:pPr>
      <w:r>
        <w:rPr>
          <w:rFonts w:hint="eastAsia" w:ascii="仿宋_GB2312" w:hAnsi="宋体" w:eastAsia="仿宋_GB2312"/>
          <w:bCs/>
          <w:sz w:val="24"/>
        </w:rPr>
        <w:t>大额支付行号：318110000022</w:t>
      </w:r>
    </w:p>
    <w:p>
      <w:pPr>
        <w:pStyle w:val="10"/>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Cs w:val="24"/>
        </w:rPr>
      </w:pP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bCs w:val="0"/>
          <w:kern w:val="2"/>
          <w:sz w:val="24"/>
          <w:szCs w:val="24"/>
        </w:rPr>
      </w:pPr>
      <w:bookmarkStart w:id="211" w:name="_Toc160530167"/>
      <w:bookmarkEnd w:id="211"/>
      <w:bookmarkStart w:id="212" w:name="_Toc160530237"/>
      <w:bookmarkEnd w:id="212"/>
      <w:bookmarkStart w:id="213" w:name="_Toc160530239"/>
      <w:bookmarkEnd w:id="213"/>
      <w:bookmarkStart w:id="214" w:name="_Toc160530168"/>
      <w:bookmarkEnd w:id="214"/>
      <w:bookmarkStart w:id="215" w:name="_Toc160530240"/>
      <w:bookmarkEnd w:id="215"/>
      <w:bookmarkStart w:id="216" w:name="_Toc160530171"/>
      <w:bookmarkEnd w:id="216"/>
      <w:bookmarkStart w:id="217" w:name="_Toc160530169"/>
      <w:bookmarkEnd w:id="217"/>
      <w:bookmarkStart w:id="218" w:name="_Toc160530236"/>
      <w:bookmarkEnd w:id="218"/>
      <w:bookmarkStart w:id="219" w:name="_Toc160530170"/>
      <w:bookmarkEnd w:id="219"/>
      <w:bookmarkStart w:id="220" w:name="_Toc160530238"/>
      <w:bookmarkEnd w:id="220"/>
      <w:bookmarkStart w:id="221" w:name="_Toc19435"/>
      <w:bookmarkStart w:id="222" w:name="_Toc97719082"/>
      <w:bookmarkStart w:id="223" w:name="_Toc29278"/>
      <w:bookmarkStart w:id="224" w:name="_Toc19899"/>
      <w:bookmarkStart w:id="225" w:name="_Toc5321"/>
      <w:bookmarkStart w:id="226" w:name="_Toc28091918"/>
      <w:bookmarkStart w:id="227" w:name="_Toc162062297"/>
      <w:bookmarkStart w:id="228" w:name="_Toc141850067"/>
      <w:bookmarkStart w:id="229" w:name="_Toc160530172"/>
      <w:bookmarkStart w:id="230" w:name="_Toc135473443"/>
      <w:bookmarkStart w:id="231" w:name="_Toc301882204"/>
      <w:r>
        <w:rPr>
          <w:rFonts w:hint="eastAsia" w:ascii="仿宋_GB2312" w:hAnsi="宋体" w:eastAsia="仿宋_GB2312"/>
          <w:bCs w:val="0"/>
          <w:kern w:val="2"/>
          <w:sz w:val="24"/>
          <w:szCs w:val="24"/>
        </w:rPr>
        <w:t>第十二章  信息披露</w:t>
      </w:r>
      <w:bookmarkEnd w:id="221"/>
      <w:bookmarkEnd w:id="222"/>
      <w:bookmarkEnd w:id="223"/>
      <w:bookmarkEnd w:id="224"/>
      <w:bookmarkEnd w:id="225"/>
      <w:bookmarkEnd w:id="226"/>
    </w:p>
    <w:p>
      <w:pPr>
        <w:pStyle w:val="13"/>
        <w:pageBreakBefore w:val="0"/>
        <w:widowControl w:val="0"/>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b/>
          <w:sz w:val="24"/>
          <w:szCs w:val="24"/>
        </w:rPr>
      </w:pPr>
      <w:r>
        <w:rPr>
          <w:rFonts w:hint="eastAsia" w:ascii="仿宋_GB2312" w:hAnsi="宋体" w:eastAsia="仿宋_GB2312"/>
          <w:b/>
          <w:kern w:val="0"/>
          <w:sz w:val="24"/>
          <w:szCs w:val="24"/>
        </w:rPr>
        <w:t>12.1</w:t>
      </w:r>
      <w:r>
        <w:rPr>
          <w:rFonts w:hint="eastAsia" w:ascii="仿宋_GB2312" w:hAnsi="宋体" w:eastAsia="仿宋_GB2312"/>
          <w:b/>
          <w:sz w:val="24"/>
          <w:szCs w:val="24"/>
        </w:rPr>
        <w:t xml:space="preserve"> 定期报告</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sz w:val="24"/>
        </w:rPr>
      </w:pPr>
      <w:r>
        <w:rPr>
          <w:rFonts w:hint="eastAsia" w:ascii="仿宋_GB2312" w:hAnsi="宋体" w:eastAsia="仿宋_GB2312"/>
          <w:sz w:val="24"/>
        </w:rPr>
        <w:t>甲方应当在每个季度结束之日起10个工作日内、上半年结束之日起40个工作日内、每年结束之日起60个工作日内，编制完成理财产品的季度、半年和年度报告并发送乙方，乙方应在收到甲方季度报告5个工作日内、半年报告20个工作日内、年度报告30个工作日内完成相关财务信息复核并反馈甲方。理财产品成立不足90个工作日或者剩余存续期不超过90个工作日的，甲方可以不编制理财产品当期的季度、半年和年度报告。</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（公募理财产品适用）</w:t>
      </w:r>
      <w:r>
        <w:rPr>
          <w:rFonts w:hint="eastAsia" w:ascii="仿宋_GB2312" w:hAnsi="宋体" w:eastAsia="仿宋_GB2312"/>
          <w:sz w:val="24"/>
        </w:rPr>
        <w:t>甲方应当在理财产品定期报告中，向投资者披露理财产品的存续规模、收益表现，并分别列示直接和间接投资的资产种类、投资比例、投资组合的流动性风险分析，以及前十项资产具体名称、规模和比例等信息。</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（公募理财产品适用）</w:t>
      </w:r>
      <w:r>
        <w:rPr>
          <w:rFonts w:hint="eastAsia" w:ascii="仿宋_GB2312" w:hAnsi="宋体" w:eastAsia="仿宋_GB2312"/>
          <w:sz w:val="24"/>
        </w:rPr>
        <w:t>乙方应在公募理财产品半年度和年度报告中出具理财托管机构报告。</w:t>
      </w:r>
    </w:p>
    <w:p>
      <w:pPr>
        <w:pStyle w:val="13"/>
        <w:pageBreakBefore w:val="0"/>
        <w:widowControl w:val="0"/>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b/>
          <w:sz w:val="24"/>
          <w:szCs w:val="24"/>
        </w:rPr>
      </w:pPr>
      <w:r>
        <w:rPr>
          <w:rFonts w:hint="eastAsia" w:ascii="仿宋_GB2312" w:hAnsi="宋体" w:eastAsia="仿宋_GB2312"/>
          <w:b/>
          <w:kern w:val="0"/>
          <w:sz w:val="24"/>
          <w:szCs w:val="24"/>
        </w:rPr>
        <w:t>12.2</w:t>
      </w:r>
      <w:r>
        <w:rPr>
          <w:rFonts w:hint="eastAsia" w:ascii="仿宋_GB2312" w:hAnsi="宋体" w:eastAsia="仿宋_GB2312"/>
          <w:b/>
          <w:sz w:val="24"/>
          <w:szCs w:val="24"/>
        </w:rPr>
        <w:t xml:space="preserve"> 净值报告及账单</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（私募理财产品适用）</w:t>
      </w:r>
      <w:r>
        <w:rPr>
          <w:rFonts w:hint="eastAsia" w:ascii="仿宋_GB2312" w:hAnsi="宋体" w:eastAsia="仿宋_GB2312"/>
          <w:sz w:val="24"/>
        </w:rPr>
        <w:t>甲方至少每季度向合格投资者披露理财产品的资产净值、份额净值和其他重要信息。</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（公募开放式理财适用）</w:t>
      </w:r>
      <w:r>
        <w:rPr>
          <w:rFonts w:hint="eastAsia" w:ascii="仿宋_GB2312" w:hAnsi="宋体" w:eastAsia="仿宋_GB2312"/>
          <w:sz w:val="24"/>
        </w:rPr>
        <w:t>甲方应当在每个开放日结束后2个工作日内，披露公募开放式理财产品在开放日的份额净值、份额累计净值、认购价格和赎回价格，在定期报告中披露公募开放式理财产品在季度、半年和年度最后一个市场交易日的份额净值、份额累计净值和资产净值。</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（公募封闭式理财适用）</w:t>
      </w:r>
      <w:r>
        <w:rPr>
          <w:rFonts w:hint="eastAsia" w:ascii="仿宋_GB2312" w:hAnsi="宋体" w:eastAsia="仿宋_GB2312"/>
          <w:sz w:val="24"/>
        </w:rPr>
        <w:t>甲方应当至少每周向投资者披露一次公募封闭式理财产品的资产净值和份额净值。</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hint="eastAsia" w:ascii="仿宋_GB2312" w:hAnsi="宋体" w:eastAsia="仿宋_GB2312"/>
          <w:b/>
          <w:sz w:val="24"/>
        </w:rPr>
        <w:t>（公募理财产品适用）</w:t>
      </w:r>
      <w:r>
        <w:rPr>
          <w:rFonts w:hint="eastAsia" w:ascii="仿宋_GB2312" w:hAnsi="宋体" w:eastAsia="仿宋_GB2312"/>
          <w:sz w:val="24"/>
        </w:rPr>
        <w:t>甲方应当在理财产品的存续期内，至少每月向投资者提供其所持有的公募理财产品账单，账单内容包括但不限于投资者持有的理财产品份额、认购金额、份额净值、份额累计净值、资产净值、收益情况、投资者理财交易账户发生的交易明细记录等信息；</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sz w:val="24"/>
        </w:rPr>
      </w:pPr>
      <w:r>
        <w:rPr>
          <w:rFonts w:hint="eastAsia" w:ascii="仿宋_GB2312" w:hAnsi="宋体" w:eastAsia="仿宋_GB2312"/>
          <w:sz w:val="24"/>
        </w:rPr>
        <w:t>在封闭期内，甲方应当至少每周向投资者披露一次理财产品的资产净值和份额净值。</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sz w:val="24"/>
        </w:rPr>
      </w:pPr>
      <w:r>
        <w:rPr>
          <w:rFonts w:ascii="仿宋_GB2312" w:hAnsi="宋体" w:eastAsia="仿宋_GB2312"/>
          <w:b/>
          <w:sz w:val="24"/>
        </w:rPr>
        <w:t>12.3</w:t>
      </w:r>
      <w:r>
        <w:rPr>
          <w:rFonts w:hint="eastAsia" w:ascii="仿宋_GB2312" w:hAnsi="宋体" w:eastAsia="仿宋_GB2312"/>
          <w:sz w:val="24"/>
        </w:rPr>
        <w:t>甲方的信息披露内容包括但不限于上述明列的信息披露内容，</w:t>
      </w:r>
      <w:r>
        <w:rPr>
          <w:rFonts w:hint="eastAsia" w:ascii="仿宋_GB2312" w:eastAsia="仿宋_GB2312" w:cs="宋体"/>
          <w:color w:val="000000"/>
          <w:kern w:val="0"/>
          <w:sz w:val="24"/>
        </w:rPr>
        <w:t>甲方应按相关法律法规和监管规定履行信息披露义务。</w:t>
      </w:r>
    </w:p>
    <w:p>
      <w:pPr>
        <w:pageBreakBefore w:val="0"/>
        <w:widowControl w:val="0"/>
        <w:kinsoku/>
        <w:wordWrap/>
        <w:overflowPunct/>
        <w:topLinePunct w:val="0"/>
        <w:bidi w:val="0"/>
        <w:adjustRightInd w:val="0"/>
        <w:snapToGrid w:val="0"/>
        <w:spacing w:beforeLines="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12.</w:t>
      </w:r>
      <w:r>
        <w:rPr>
          <w:rFonts w:ascii="仿宋_GB2312" w:hAnsi="宋体" w:eastAsia="仿宋_GB2312"/>
          <w:b/>
          <w:kern w:val="0"/>
          <w:sz w:val="24"/>
        </w:rPr>
        <w:t>4</w:t>
      </w:r>
      <w:r>
        <w:rPr>
          <w:rFonts w:hint="eastAsia" w:ascii="仿宋_GB2312" w:hAnsi="宋体" w:eastAsia="仿宋_GB2312"/>
          <w:b/>
          <w:kern w:val="0"/>
          <w:sz w:val="24"/>
        </w:rPr>
        <w:t>甲乙双方在信息披露中的职责和信息披露程序</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甲方负责办理与理财产品有关的信息披露事宜，甲方应根据相关法律法规、监管部门规定及理财文件的约定及时办理包括但不限于本条明列的定期报告、净值报告、账单的编制和披露等理财产品信息披露事宜。</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对于理财产品信息披露文件中的理财产品财务会计报告（包括资产负债表、利润表、所有者权益变动表）等法律法规或监管部门规定应由乙方复核的内容；甲方应及时将上述披露内容提供给乙方并预留充分的时间便于履行复核职责。乙方将通过本协议指定的联系人以邮件形式将复核意见书面通知甲方指定邮箱(bylcbs@cbhb.com.cn)，法律法规另有约定的除外。发生法律法规、监管部门规定或者理财文件中约定需要披露的事项，由甲方按法律法规或者理财文件规定进行公布。</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对于甲方向委托人提供的文件材料中不在乙方复核职责范围内的信息，应由甲方保证该等信息的真实性、有效性、合法性，乙方不承担任何审查和保证责任。</w:t>
      </w:r>
    </w:p>
    <w:p>
      <w:pPr>
        <w:pageBreakBefore w:val="0"/>
        <w:widowControl w:val="0"/>
        <w:kinsoku/>
        <w:wordWrap/>
        <w:overflowPunct/>
        <w:topLinePunct w:val="0"/>
        <w:bidi w:val="0"/>
        <w:adjustRightInd w:val="0"/>
        <w:snapToGrid w:val="0"/>
        <w:spacing w:beforeLines="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对于因甲方未提供或未及时提供应由乙方复核的相关信息披露文件等客观因素，导致乙方无法履行或无法按时履行相应复核职责的，乙方不承担相应责任。</w:t>
      </w: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hint="eastAsia" w:ascii="仿宋_GB2312" w:hAnsi="宋体" w:eastAsia="仿宋_GB2312"/>
          <w:sz w:val="24"/>
          <w:szCs w:val="24"/>
        </w:rPr>
      </w:pPr>
      <w:bookmarkStart w:id="232" w:name="_Toc15480"/>
      <w:bookmarkStart w:id="233" w:name="_Toc97719083"/>
      <w:bookmarkStart w:id="234" w:name="_Toc30674"/>
      <w:bookmarkStart w:id="235" w:name="_Toc19227"/>
      <w:bookmarkStart w:id="236" w:name="_Toc28091919"/>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237" w:name="_Toc10161"/>
      <w:r>
        <w:rPr>
          <w:rFonts w:hint="eastAsia" w:ascii="仿宋_GB2312" w:hAnsi="宋体" w:eastAsia="仿宋_GB2312"/>
          <w:sz w:val="24"/>
          <w:szCs w:val="24"/>
        </w:rPr>
        <w:t>第十三章  理财产品变更、终止、清算</w:t>
      </w:r>
      <w:bookmarkEnd w:id="227"/>
      <w:bookmarkEnd w:id="228"/>
      <w:bookmarkEnd w:id="229"/>
      <w:bookmarkEnd w:id="230"/>
      <w:r>
        <w:rPr>
          <w:rFonts w:hint="eastAsia" w:ascii="仿宋_GB2312" w:hAnsi="宋体" w:eastAsia="仿宋_GB2312"/>
          <w:sz w:val="24"/>
          <w:szCs w:val="24"/>
        </w:rPr>
        <w:t>与分配</w:t>
      </w:r>
      <w:bookmarkEnd w:id="231"/>
      <w:bookmarkEnd w:id="232"/>
      <w:bookmarkEnd w:id="233"/>
      <w:bookmarkEnd w:id="234"/>
      <w:bookmarkEnd w:id="235"/>
      <w:bookmarkEnd w:id="236"/>
      <w:bookmarkEnd w:id="237"/>
    </w:p>
    <w:p>
      <w:pPr>
        <w:pStyle w:val="13"/>
        <w:pageBreakBefore w:val="0"/>
        <w:widowControl w:val="0"/>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b/>
          <w:sz w:val="24"/>
          <w:szCs w:val="24"/>
        </w:rPr>
      </w:pPr>
      <w:r>
        <w:rPr>
          <w:rFonts w:hint="eastAsia" w:ascii="仿宋_GB2312" w:hAnsi="宋体" w:eastAsia="仿宋_GB2312"/>
          <w:b/>
          <w:kern w:val="0"/>
          <w:sz w:val="24"/>
          <w:szCs w:val="24"/>
        </w:rPr>
        <w:t>13.1</w:t>
      </w:r>
      <w:r>
        <w:rPr>
          <w:rFonts w:hint="eastAsia" w:ascii="仿宋_GB2312" w:hAnsi="宋体" w:eastAsia="仿宋_GB2312"/>
          <w:b/>
          <w:sz w:val="24"/>
          <w:szCs w:val="24"/>
        </w:rPr>
        <w:t>理财产品的变更</w:t>
      </w:r>
    </w:p>
    <w:p>
      <w:pPr>
        <w:pStyle w:val="13"/>
        <w:pageBreakBefore w:val="0"/>
        <w:widowControl w:val="0"/>
        <w:kinsoku/>
        <w:wordWrap/>
        <w:overflowPunct/>
        <w:topLinePunct w:val="0"/>
        <w:bidi w:val="0"/>
        <w:adjustRightInd w:val="0"/>
        <w:snapToGrid w:val="0"/>
        <w:spacing w:before="0" w:beforeLines="0" w:after="0" w:afterLines="0" w:line="329" w:lineRule="auto"/>
        <w:ind w:left="0" w:leftChars="0" w:firstLine="480" w:firstLineChars="200"/>
        <w:rPr>
          <w:rFonts w:ascii="仿宋_GB2312" w:hAnsi="宋体" w:eastAsia="仿宋_GB2312"/>
          <w:b/>
          <w:sz w:val="24"/>
          <w:szCs w:val="24"/>
        </w:rPr>
      </w:pPr>
      <w:r>
        <w:rPr>
          <w:rFonts w:hint="eastAsia" w:ascii="仿宋_GB2312" w:hAnsi="宋体" w:eastAsia="仿宋_GB2312"/>
          <w:sz w:val="24"/>
          <w:szCs w:val="24"/>
        </w:rPr>
        <w:t>各理财产品发生变更时，甲方应提前通知乙方，并向乙方提供发生变更的相关文件，作为乙方进行托管运作的书面依据。</w:t>
      </w:r>
    </w:p>
    <w:p>
      <w:pPr>
        <w:pStyle w:val="13"/>
        <w:pageBreakBefore w:val="0"/>
        <w:widowControl w:val="0"/>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b/>
          <w:kern w:val="0"/>
          <w:sz w:val="24"/>
          <w:szCs w:val="24"/>
        </w:rPr>
      </w:pPr>
      <w:r>
        <w:rPr>
          <w:rFonts w:hint="eastAsia" w:ascii="仿宋_GB2312" w:hAnsi="宋体" w:eastAsia="仿宋_GB2312"/>
          <w:b/>
          <w:kern w:val="0"/>
          <w:sz w:val="24"/>
          <w:szCs w:val="24"/>
        </w:rPr>
        <w:t>13.2理财产品的终止</w:t>
      </w:r>
      <w:r>
        <w:rPr>
          <w:rFonts w:hint="eastAsia" w:ascii="仿宋_GB2312" w:hAnsi="宋体" w:eastAsia="仿宋_GB2312"/>
          <w:sz w:val="24"/>
          <w:szCs w:val="24"/>
        </w:rPr>
        <w:t>、</w:t>
      </w:r>
      <w:r>
        <w:rPr>
          <w:rFonts w:hint="eastAsia" w:ascii="仿宋_GB2312" w:hAnsi="宋体" w:eastAsia="仿宋_GB2312"/>
          <w:b/>
          <w:sz w:val="24"/>
          <w:szCs w:val="24"/>
        </w:rPr>
        <w:t>清算与分配</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sz w:val="24"/>
        </w:rPr>
        <w:t>13.2.1</w:t>
      </w:r>
      <w:r>
        <w:rPr>
          <w:rFonts w:hint="eastAsia" w:ascii="仿宋_GB2312" w:hAnsi="宋体" w:eastAsia="仿宋_GB2312"/>
          <w:b/>
          <w:sz w:val="24"/>
          <w:lang w:val="en-US" w:eastAsia="zh-CN"/>
        </w:rPr>
        <w:t xml:space="preserve">  </w:t>
      </w:r>
      <w:r>
        <w:rPr>
          <w:rFonts w:hint="eastAsia" w:ascii="仿宋_GB2312" w:hAnsi="宋体" w:eastAsia="仿宋_GB2312"/>
          <w:sz w:val="24"/>
        </w:rPr>
        <w:t>理财产品终止由甲方按照理财产品的“理财产品说明书”决定，并组织清算，乙方根据甲方指令将理财资金划至甲方指定账户。如提前终止，甲方应在3个工作日前通知乙方。理财产品投资的到期变现回款、理财产品清算工作由甲方负责组织开展。如在理财产品进入清算程序时，乙方已终止职责，但继任新托管人或临时托管人尚未产生的，则原托管人应配合甲方对理财产品进行清算。</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13.2.</w:t>
      </w:r>
      <w:bookmarkStart w:id="238" w:name="_Toc135473444"/>
      <w:bookmarkStart w:id="239" w:name="_Toc141850068"/>
      <w:r>
        <w:rPr>
          <w:rFonts w:hint="eastAsia" w:ascii="仿宋_GB2312" w:hAnsi="宋体" w:eastAsia="仿宋_GB2312"/>
          <w:b/>
          <w:kern w:val="0"/>
          <w:sz w:val="24"/>
        </w:rPr>
        <w:t>2</w:t>
      </w:r>
      <w:r>
        <w:rPr>
          <w:rFonts w:hint="eastAsia" w:ascii="仿宋_GB2312" w:hAnsi="宋体" w:eastAsia="仿宋_GB2312"/>
          <w:kern w:val="0"/>
          <w:sz w:val="24"/>
        </w:rPr>
        <w:t>乙方在收到甲方发出的关于分配理财利益的理财资金运用划款指令后，应与估值表中资产净值核对，核对无误并确认理财产品托管专户有足额资金后在规定时间内执行该指令。</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13.2.3</w:t>
      </w:r>
      <w:r>
        <w:rPr>
          <w:rFonts w:hint="eastAsia" w:ascii="仿宋_GB2312" w:hAnsi="宋体" w:eastAsia="仿宋_GB2312"/>
          <w:kern w:val="0"/>
          <w:sz w:val="24"/>
        </w:rPr>
        <w:t>乙方执行甲方关于分配理财利益的理财资金运用划款指令的职责仅限于将理财产品以现金方式分配的利益划往甲方指定账户为止。甲方应自行办理与投资者的非现金形式的财产的转移手续。</w:t>
      </w:r>
    </w:p>
    <w:p>
      <w:pPr>
        <w:pStyle w:val="13"/>
        <w:pageBreakBefore w:val="0"/>
        <w:widowControl w:val="0"/>
        <w:tabs>
          <w:tab w:val="left" w:pos="1320"/>
        </w:tabs>
        <w:kinsoku/>
        <w:wordWrap/>
        <w:overflowPunct/>
        <w:topLinePunct w:val="0"/>
        <w:bidi w:val="0"/>
        <w:adjustRightInd w:val="0"/>
        <w:snapToGrid w:val="0"/>
        <w:spacing w:before="0" w:beforeLines="0" w:after="0" w:afterLines="0" w:line="329" w:lineRule="auto"/>
        <w:ind w:left="0" w:leftChars="0"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13.3</w:t>
      </w:r>
      <w:r>
        <w:rPr>
          <w:rFonts w:hint="eastAsia" w:ascii="仿宋_GB2312" w:hAnsi="宋体" w:eastAsia="仿宋_GB2312"/>
          <w:kern w:val="0"/>
          <w:sz w:val="24"/>
          <w:szCs w:val="24"/>
        </w:rPr>
        <w:t>乙方在执行完毕甲方某个理财产品的所有理财资金运用划款指令后，不再对该理财产品负有托管职责，甲方应在二十个工作日内向资产托管人发出销户申请，乙方应协助甲方办理该理财产品托管专户等账户的销户事宜。</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sz w:val="24"/>
        </w:rPr>
      </w:pPr>
      <w:r>
        <w:rPr>
          <w:rFonts w:hint="eastAsia" w:ascii="仿宋_GB2312" w:hAnsi="宋体" w:eastAsia="仿宋_GB2312"/>
          <w:b/>
          <w:kern w:val="0"/>
          <w:sz w:val="24"/>
        </w:rPr>
        <w:t>13.4</w:t>
      </w:r>
      <w:r>
        <w:rPr>
          <w:rFonts w:hint="eastAsia" w:ascii="仿宋_GB2312" w:eastAsia="仿宋_GB2312"/>
        </w:rPr>
        <w:t xml:space="preserve"> </w:t>
      </w:r>
      <w:r>
        <w:rPr>
          <w:rFonts w:hint="eastAsia" w:ascii="仿宋_GB2312" w:hAnsi="宋体" w:eastAsia="仿宋_GB2312"/>
          <w:sz w:val="24"/>
        </w:rPr>
        <w:t>乙方发现甲方有下列情形的，有权终止托管服务：</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（1）违反资产管理目的，不当处分理财产品财产的；</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（2）未能遵守或履行合同约定的有关承诺、义务、陈述或保证；</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（3）被依法取消从事资产管理业务的相关资质或经营异常；</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（4）被依法解散、被依法撤销、被依法宣告破产或失联；</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sz w:val="24"/>
        </w:rPr>
      </w:pPr>
      <w:r>
        <w:rPr>
          <w:rFonts w:hint="eastAsia" w:ascii="仿宋_GB2312" w:hAnsi="宋体" w:eastAsia="仿宋_GB2312"/>
          <w:sz w:val="24"/>
        </w:rPr>
        <w:t>（5）法律法规明确规定和合同约定的其他情形。</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sz w:val="24"/>
        </w:rPr>
        <w:t>出现上述第（1）（2）（3）款事由，乙方要求终止托管服务的，应与甲方签署托管终止协议，将托管资金移交至继任托管人；如甲方拒不签署终止协议或未落实继任托管人，乙方有权采用止付措施，或公告解除托管协议，不再履行托管职责；乙方发现上述第（4）款事由，</w:t>
      </w:r>
      <w:r>
        <w:rPr>
          <w:rFonts w:hint="eastAsia" w:ascii="仿宋_GB2312" w:hAnsi="宋体" w:eastAsia="仿宋_GB2312"/>
          <w:sz w:val="24"/>
          <w:lang w:eastAsia="zh-CN"/>
        </w:rPr>
        <w:t>应</w:t>
      </w:r>
      <w:r>
        <w:rPr>
          <w:rFonts w:hint="eastAsia" w:ascii="仿宋_GB2312" w:hAnsi="宋体" w:eastAsia="仿宋_GB2312"/>
          <w:sz w:val="24"/>
        </w:rPr>
        <w:t>立即对托管资金账户采取止付措施。</w:t>
      </w:r>
    </w:p>
    <w:bookmarkEnd w:id="238"/>
    <w:bookmarkEnd w:id="239"/>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hint="eastAsia" w:ascii="仿宋_GB2312" w:hAnsi="宋体" w:eastAsia="仿宋_GB2312"/>
          <w:sz w:val="24"/>
          <w:szCs w:val="24"/>
        </w:rPr>
      </w:pPr>
      <w:bookmarkStart w:id="240" w:name="_Toc160530174"/>
      <w:bookmarkEnd w:id="240"/>
      <w:bookmarkStart w:id="241" w:name="_Toc160530247"/>
      <w:bookmarkEnd w:id="241"/>
      <w:bookmarkStart w:id="242" w:name="_Toc160530177"/>
      <w:bookmarkEnd w:id="242"/>
      <w:bookmarkStart w:id="243" w:name="_Toc160530181"/>
      <w:bookmarkEnd w:id="243"/>
      <w:bookmarkStart w:id="244" w:name="_Toc160530253"/>
      <w:bookmarkEnd w:id="244"/>
      <w:bookmarkStart w:id="245" w:name="_Toc160530179"/>
      <w:bookmarkEnd w:id="245"/>
      <w:bookmarkStart w:id="246" w:name="_Toc160530250"/>
      <w:bookmarkEnd w:id="246"/>
      <w:bookmarkStart w:id="247" w:name="_Toc160530254"/>
      <w:bookmarkEnd w:id="247"/>
      <w:bookmarkStart w:id="248" w:name="_Toc160530246"/>
      <w:bookmarkEnd w:id="248"/>
      <w:bookmarkStart w:id="249" w:name="_Toc160530182"/>
      <w:bookmarkEnd w:id="249"/>
      <w:bookmarkStart w:id="250" w:name="_Toc160530180"/>
      <w:bookmarkEnd w:id="250"/>
      <w:bookmarkStart w:id="251" w:name="_Toc160530176"/>
      <w:bookmarkEnd w:id="251"/>
      <w:bookmarkStart w:id="252" w:name="_Toc160530245"/>
      <w:bookmarkEnd w:id="252"/>
      <w:bookmarkStart w:id="253" w:name="_Toc160530248"/>
      <w:bookmarkEnd w:id="253"/>
      <w:bookmarkStart w:id="254" w:name="_Toc160530183"/>
      <w:bookmarkEnd w:id="254"/>
      <w:bookmarkStart w:id="255" w:name="_Toc160530244"/>
      <w:bookmarkEnd w:id="255"/>
      <w:bookmarkStart w:id="256" w:name="_Toc160530185"/>
      <w:bookmarkEnd w:id="256"/>
      <w:bookmarkStart w:id="257" w:name="_Toc160530249"/>
      <w:bookmarkEnd w:id="257"/>
      <w:bookmarkStart w:id="258" w:name="_Toc160530184"/>
      <w:bookmarkEnd w:id="258"/>
      <w:bookmarkStart w:id="259" w:name="_Toc160530178"/>
      <w:bookmarkEnd w:id="259"/>
      <w:bookmarkStart w:id="260" w:name="_Toc160530251"/>
      <w:bookmarkEnd w:id="260"/>
      <w:bookmarkStart w:id="261" w:name="_Toc160530175"/>
      <w:bookmarkEnd w:id="261"/>
      <w:bookmarkStart w:id="262" w:name="_Toc160530243"/>
      <w:bookmarkEnd w:id="262"/>
      <w:bookmarkStart w:id="263" w:name="_Toc160530252"/>
      <w:bookmarkEnd w:id="263"/>
      <w:bookmarkStart w:id="264" w:name="_Toc141850069"/>
      <w:bookmarkStart w:id="265" w:name="_Toc160530186"/>
      <w:bookmarkStart w:id="266" w:name="_Toc17256"/>
      <w:bookmarkStart w:id="267" w:name="_Toc97719084"/>
      <w:bookmarkStart w:id="268" w:name="_Toc135473445"/>
      <w:bookmarkStart w:id="269" w:name="_Toc23756"/>
      <w:bookmarkStart w:id="270" w:name="_Toc28091920"/>
      <w:bookmarkStart w:id="271" w:name="_Toc9954"/>
      <w:bookmarkStart w:id="272" w:name="_Toc162062299"/>
      <w:bookmarkStart w:id="273" w:name="_Toc301882205"/>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274" w:name="_Toc31967"/>
      <w:r>
        <w:rPr>
          <w:rFonts w:hint="eastAsia" w:ascii="仿宋_GB2312" w:hAnsi="宋体" w:eastAsia="仿宋_GB2312"/>
          <w:sz w:val="24"/>
          <w:szCs w:val="24"/>
        </w:rPr>
        <w:t>第十四章  违约责任</w:t>
      </w:r>
      <w:bookmarkEnd w:id="264"/>
      <w:bookmarkEnd w:id="265"/>
      <w:bookmarkEnd w:id="266"/>
      <w:bookmarkEnd w:id="267"/>
      <w:bookmarkEnd w:id="268"/>
      <w:bookmarkEnd w:id="269"/>
      <w:bookmarkEnd w:id="270"/>
      <w:bookmarkEnd w:id="271"/>
      <w:bookmarkEnd w:id="272"/>
      <w:bookmarkEnd w:id="273"/>
      <w:bookmarkEnd w:id="274"/>
    </w:p>
    <w:p>
      <w:pPr>
        <w:pageBreakBefore w:val="0"/>
        <w:widowControl w:val="0"/>
        <w:tabs>
          <w:tab w:val="left" w:pos="855"/>
        </w:tabs>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14.1</w:t>
      </w:r>
      <w:r>
        <w:rPr>
          <w:rFonts w:hint="eastAsia" w:ascii="仿宋_GB2312" w:hAnsi="宋体" w:eastAsia="仿宋_GB2312"/>
          <w:kern w:val="0"/>
          <w:sz w:val="24"/>
        </w:rPr>
        <w:t>本托管协议当事人不履行或不完全履行本协议，由违约方承担违约责任；如双方均有违约行为，根据实际情况，由双方分别承担各自应负的违约责任。除非法律法规另有约定外，乙方对甲方及其他第三方机构的行为不承担连带责任。</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14.2</w:t>
      </w:r>
      <w:r>
        <w:rPr>
          <w:rFonts w:hint="eastAsia" w:ascii="仿宋_GB2312" w:hAnsi="宋体" w:eastAsia="仿宋_GB2312"/>
          <w:kern w:val="0"/>
          <w:sz w:val="24"/>
          <w:szCs w:val="24"/>
        </w:rPr>
        <w:t>本协议任何一方当事人的违约行为给另外一方或理财产品造成实际损失的，应承担相应的赔偿责任，但发生不可抗力时，当事人免责。</w:t>
      </w:r>
    </w:p>
    <w:p>
      <w:pPr>
        <w:pStyle w:val="12"/>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szCs w:val="24"/>
        </w:rPr>
      </w:pPr>
      <w:r>
        <w:rPr>
          <w:rFonts w:hint="eastAsia" w:ascii="仿宋_GB2312" w:hAnsi="宋体" w:eastAsia="仿宋_GB2312"/>
          <w:b/>
          <w:kern w:val="0"/>
          <w:sz w:val="24"/>
          <w:szCs w:val="24"/>
        </w:rPr>
        <w:t>14.3</w:t>
      </w:r>
      <w:r>
        <w:rPr>
          <w:rFonts w:hint="eastAsia" w:ascii="仿宋_GB2312" w:hAnsi="宋体" w:eastAsia="仿宋_GB2312"/>
          <w:kern w:val="0"/>
          <w:sz w:val="24"/>
          <w:szCs w:val="24"/>
        </w:rPr>
        <w:t>违约行为已经发生，但本协议仍能够继续履行的，在保护理财产品投资者合法权利的前提下，双方当事人应当继续履行本协议规定的各项义务。</w:t>
      </w:r>
    </w:p>
    <w:p>
      <w:pPr>
        <w:pageBreakBefore w:val="0"/>
        <w:widowControl w:val="0"/>
        <w:kinsoku/>
        <w:wordWrap/>
        <w:overflowPunct/>
        <w:topLinePunct w:val="0"/>
        <w:bidi w:val="0"/>
        <w:adjustRightInd w:val="0"/>
        <w:snapToGrid w:val="0"/>
        <w:spacing w:beforeLines="0" w:afterLines="0" w:line="329" w:lineRule="auto"/>
        <w:ind w:firstLine="482" w:firstLineChars="200"/>
        <w:rPr>
          <w:rFonts w:hint="eastAsia" w:ascii="仿宋_GB2312" w:eastAsia="仿宋_GB2312"/>
          <w:color w:val="000000"/>
          <w:sz w:val="24"/>
        </w:rPr>
      </w:pPr>
      <w:r>
        <w:rPr>
          <w:rFonts w:hint="eastAsia" w:ascii="仿宋_GB2312" w:hAnsi="宋体" w:eastAsia="仿宋_GB2312" w:cs="Times New Roman"/>
          <w:b/>
          <w:kern w:val="0"/>
          <w:sz w:val="24"/>
          <w:szCs w:val="24"/>
          <w:lang w:val="en-US" w:eastAsia="zh-CN" w:bidi="ar-SA"/>
        </w:rPr>
        <w:t>14.4</w:t>
      </w:r>
      <w:r>
        <w:rPr>
          <w:rFonts w:hint="eastAsia" w:ascii="仿宋_GB2312" w:eastAsia="仿宋_GB2312"/>
          <w:color w:val="000000"/>
          <w:sz w:val="24"/>
        </w:rPr>
        <w:t>由于甲方、乙方不可控制的因素导致业务出现差错，甲方和乙方虽然已经采取必要、适当、合理的措施进行检查，但是未能发现错误的，由此造成理财产品财产或投资人损失，甲方和乙方免除赔偿责任。但是甲方和乙方应积极采取必要的措施消除或减轻由此造成的影响。</w:t>
      </w:r>
    </w:p>
    <w:p>
      <w:pPr>
        <w:pageBreakBefore w:val="0"/>
        <w:widowControl w:val="0"/>
        <w:kinsoku/>
        <w:wordWrap/>
        <w:overflowPunct/>
        <w:topLinePunct w:val="0"/>
        <w:bidi w:val="0"/>
        <w:adjustRightInd w:val="0"/>
        <w:snapToGrid w:val="0"/>
        <w:spacing w:beforeLines="0" w:afterLines="0" w:line="329" w:lineRule="auto"/>
        <w:ind w:firstLine="480" w:firstLineChars="200"/>
        <w:rPr>
          <w:rFonts w:hint="default" w:ascii="仿宋_GB2312" w:eastAsia="仿宋_GB2312"/>
          <w:color w:val="000000"/>
          <w:sz w:val="24"/>
          <w:lang w:val="en-US" w:eastAsia="zh-CN"/>
        </w:rPr>
      </w:pPr>
      <w:r>
        <w:rPr>
          <w:rFonts w:hint="eastAsia" w:ascii="仿宋_GB2312" w:eastAsia="仿宋_GB2312"/>
          <w:color w:val="000000"/>
          <w:sz w:val="24"/>
          <w:lang w:val="en-US" w:eastAsia="zh-CN"/>
        </w:rPr>
        <w:t>14.5乙方对存放或存管在乙方以外机构的理财产品资产，或交由证券公司等其他机构负责清算交收的理财产品资产及其收益不承担任何责任。</w:t>
      </w:r>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hint="eastAsia" w:ascii="仿宋_GB2312" w:hAnsi="宋体" w:eastAsia="仿宋_GB2312"/>
          <w:sz w:val="24"/>
          <w:szCs w:val="24"/>
        </w:rPr>
      </w:pPr>
      <w:bookmarkStart w:id="275" w:name="_Toc301882206"/>
      <w:bookmarkStart w:id="276" w:name="_Toc15935"/>
      <w:bookmarkStart w:id="277" w:name="_Toc28091921"/>
      <w:bookmarkStart w:id="278" w:name="_Toc97719085"/>
      <w:bookmarkStart w:id="279" w:name="_Toc162062300"/>
      <w:bookmarkStart w:id="280" w:name="_Toc19588"/>
      <w:bookmarkStart w:id="281" w:name="_Toc30156"/>
    </w:p>
    <w:p>
      <w:pPr>
        <w:pStyle w:val="3"/>
        <w:pageBreakBefore w:val="0"/>
        <w:widowControl w:val="0"/>
        <w:tabs>
          <w:tab w:val="left" w:pos="0"/>
        </w:tabs>
        <w:kinsoku/>
        <w:wordWrap/>
        <w:overflowPunct/>
        <w:topLinePunct w:val="0"/>
        <w:bidi w:val="0"/>
        <w:adjustRightInd w:val="0"/>
        <w:snapToGrid w:val="0"/>
        <w:spacing w:before="0" w:beforeLines="0" w:after="0" w:afterLines="0" w:line="329" w:lineRule="auto"/>
        <w:ind w:firstLine="482" w:firstLineChars="200"/>
        <w:jc w:val="center"/>
        <w:rPr>
          <w:rFonts w:ascii="仿宋_GB2312" w:hAnsi="宋体" w:eastAsia="仿宋_GB2312"/>
          <w:sz w:val="24"/>
          <w:szCs w:val="24"/>
        </w:rPr>
      </w:pPr>
      <w:bookmarkStart w:id="282" w:name="_Toc24591"/>
      <w:r>
        <w:rPr>
          <w:rFonts w:hint="eastAsia" w:ascii="仿宋_GB2312" w:hAnsi="宋体" w:eastAsia="仿宋_GB2312"/>
          <w:sz w:val="24"/>
          <w:szCs w:val="24"/>
        </w:rPr>
        <w:t>第十五章  其他事项</w:t>
      </w:r>
      <w:bookmarkEnd w:id="275"/>
      <w:bookmarkEnd w:id="276"/>
      <w:bookmarkEnd w:id="277"/>
      <w:bookmarkEnd w:id="278"/>
      <w:bookmarkEnd w:id="279"/>
      <w:bookmarkEnd w:id="280"/>
      <w:bookmarkEnd w:id="281"/>
      <w:bookmarkEnd w:id="282"/>
    </w:p>
    <w:p>
      <w:pPr>
        <w:pageBreakBefore w:val="0"/>
        <w:widowControl w:val="0"/>
        <w:tabs>
          <w:tab w:val="left" w:pos="870"/>
        </w:tabs>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15.1不可抗力</w:t>
      </w:r>
    </w:p>
    <w:p>
      <w:pPr>
        <w:pageBreakBefore w:val="0"/>
        <w:widowControl w:val="0"/>
        <w:tabs>
          <w:tab w:val="left" w:pos="870"/>
        </w:tabs>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15.1.1</w:t>
      </w:r>
      <w:r>
        <w:rPr>
          <w:rFonts w:hint="eastAsia" w:ascii="仿宋_GB2312" w:hAnsi="宋体" w:eastAsia="仿宋_GB2312"/>
          <w:kern w:val="0"/>
          <w:sz w:val="24"/>
        </w:rPr>
        <w:t>不可抗力是指甲、乙双方不能预见，不能避免，并不能克服的客观情况，包括但不限于任何通讯或电脑系统的故障，停止运作或瘫痪，国家重大政策调整，火灾，暴雨，地震，飓风，雷击等自然灾害。</w:t>
      </w:r>
    </w:p>
    <w:p>
      <w:pPr>
        <w:pageBreakBefore w:val="0"/>
        <w:widowControl w:val="0"/>
        <w:tabs>
          <w:tab w:val="left" w:pos="870"/>
        </w:tabs>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15.1.2</w:t>
      </w:r>
      <w:r>
        <w:rPr>
          <w:rFonts w:hint="eastAsia" w:ascii="仿宋_GB2312" w:hAnsi="宋体" w:eastAsia="仿宋_GB2312"/>
          <w:kern w:val="0"/>
          <w:sz w:val="24"/>
        </w:rPr>
        <w:t>如果甲、乙双方因不可抗力不能履行本协议时，不承担违约责任。协议一方因不可抗力不能履行本协议时，应及时通知对方并在合理期限内提供受到不可抗力影响的证明，并应采取适当措施防止理财产品损失的扩大。</w:t>
      </w:r>
    </w:p>
    <w:p>
      <w:pPr>
        <w:pageBreakBefore w:val="0"/>
        <w:widowControl w:val="0"/>
        <w:tabs>
          <w:tab w:val="left" w:pos="870"/>
        </w:tabs>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15.2 保密条款</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本协议双方承诺，对于本协议签署和履行过程中获得的关于本协议的文件资料和对方的商业秘密（以下统称“保密信息”）负有保密义务，除非出现下列情形之一者，任何一方不得向第三方披露该等保密信息：</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（1）因诉讼、仲裁等法律争议程序之需要；</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（2）因履行本协议之需要；</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（3）监管机构履行监管职责之需要；</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（4）保密信息的有权披露人同意披露；</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（5）法律的要求。</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合同其他方签署本合同即视为知悉</w:t>
      </w:r>
      <w:r>
        <w:rPr>
          <w:rFonts w:ascii="仿宋_GB2312" w:hAnsi="宋体" w:eastAsia="仿宋_GB2312"/>
          <w:kern w:val="0"/>
          <w:sz w:val="24"/>
        </w:rPr>
        <w:t>/授权托管人可为订立、履行个人作为一方当事人的合同所必需或为履行法定职责或者法定义务所必需而处理个人信息；托管人承诺对上述个人息的处理合法合规，其他方亦已知悉其享有《个人信息保护法》项下所有相关权利。如果个人信息系由一方向另一方提供的，该方承诺已告知并获得相关个人同意向另一方提供个人信息，且个人已知晓个人信息的使用用途。</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hint="eastAsia" w:ascii="仿宋_GB2312" w:hAnsi="宋体" w:eastAsia="仿宋_GB2312"/>
          <w:kern w:val="0"/>
          <w:sz w:val="24"/>
        </w:rPr>
      </w:pPr>
      <w:r>
        <w:rPr>
          <w:rFonts w:hint="eastAsia" w:ascii="仿宋_GB2312" w:hAnsi="宋体" w:eastAsia="仿宋_GB2312"/>
          <w:kern w:val="0"/>
          <w:sz w:val="24"/>
        </w:rPr>
        <w:t>本保密条款独立于本协议，本协议的中止、终止或失效将不会影响本保密条款的效力，法律法规另有强制性规定的除外。</w:t>
      </w:r>
      <w:bookmarkStart w:id="283" w:name="_Toc17284"/>
      <w:bookmarkStart w:id="284" w:name="_Toc316015941"/>
      <w:bookmarkStart w:id="285" w:name="_Toc1135317852"/>
      <w:bookmarkStart w:id="286" w:name="_Toc1854804810"/>
    </w:p>
    <w:bookmarkEnd w:id="283"/>
    <w:bookmarkEnd w:id="284"/>
    <w:bookmarkEnd w:id="285"/>
    <w:bookmarkEnd w:id="286"/>
    <w:p>
      <w:pPr>
        <w:pageBreakBefore w:val="0"/>
        <w:widowControl w:val="0"/>
        <w:kinsoku/>
        <w:wordWrap/>
        <w:overflowPunct/>
        <w:topLinePunct w:val="0"/>
        <w:bidi w:val="0"/>
        <w:adjustRightInd w:val="0"/>
        <w:snapToGrid w:val="0"/>
        <w:spacing w:before="0" w:beforeLines="0" w:after="0" w:afterLines="0" w:line="329" w:lineRule="auto"/>
        <w:ind w:firstLine="482" w:firstLineChars="200"/>
        <w:jc w:val="left"/>
        <w:rPr>
          <w:rFonts w:ascii="仿宋_GB2312" w:hAnsi="宋体" w:eastAsia="仿宋_GB2312"/>
          <w:b/>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3</w:t>
      </w:r>
      <w:r>
        <w:rPr>
          <w:rFonts w:hint="eastAsia" w:ascii="仿宋_GB2312" w:hAnsi="宋体" w:eastAsia="仿宋_GB2312"/>
          <w:b/>
          <w:kern w:val="0"/>
          <w:sz w:val="24"/>
        </w:rPr>
        <w:t xml:space="preserve"> 争议的处理</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3</w:t>
      </w:r>
      <w:r>
        <w:rPr>
          <w:rFonts w:hint="eastAsia" w:ascii="仿宋_GB2312" w:hAnsi="宋体" w:eastAsia="仿宋_GB2312"/>
          <w:b/>
          <w:kern w:val="0"/>
          <w:sz w:val="24"/>
        </w:rPr>
        <w:t>.1</w:t>
      </w:r>
      <w:r>
        <w:rPr>
          <w:rFonts w:hint="eastAsia" w:ascii="仿宋_GB2312" w:hAnsi="宋体" w:eastAsia="仿宋_GB2312"/>
          <w:kern w:val="0"/>
          <w:sz w:val="24"/>
        </w:rPr>
        <w:t>本协议的订立、生效、履行、解释、修改和终止等事项适用中华人民共和国现行法律、法规及规章。</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3</w:t>
      </w:r>
      <w:r>
        <w:rPr>
          <w:rFonts w:hint="eastAsia" w:ascii="仿宋_GB2312" w:hAnsi="宋体" w:eastAsia="仿宋_GB2312"/>
          <w:b/>
          <w:kern w:val="0"/>
          <w:sz w:val="24"/>
        </w:rPr>
        <w:t>.2</w:t>
      </w:r>
      <w:r>
        <w:rPr>
          <w:rFonts w:hint="eastAsia" w:ascii="仿宋_GB2312" w:hAnsi="宋体" w:eastAsia="仿宋_GB2312"/>
          <w:kern w:val="0"/>
          <w:sz w:val="24"/>
        </w:rPr>
        <w:t>任何因本协议而产生的或与本协议有关的争议，各方首先应通过友好协商予以解决；若协商不成， 任何一方应向中国国际经济贸易仲裁委员会天津国际经济金融仲裁中心提起仲裁，仲裁地天津市，仲裁裁决是终局的，对各方当事人均有约束力。</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3</w:t>
      </w:r>
      <w:r>
        <w:rPr>
          <w:rFonts w:hint="eastAsia" w:ascii="仿宋_GB2312" w:hAnsi="宋体" w:eastAsia="仿宋_GB2312"/>
          <w:b/>
          <w:kern w:val="0"/>
          <w:sz w:val="24"/>
        </w:rPr>
        <w:t>.3</w:t>
      </w:r>
      <w:r>
        <w:rPr>
          <w:rFonts w:hint="eastAsia" w:ascii="仿宋_GB2312" w:hAnsi="宋体" w:eastAsia="仿宋_GB2312"/>
          <w:kern w:val="0"/>
          <w:sz w:val="24"/>
        </w:rPr>
        <w:t>仲裁期间，除仲裁事由本身外，各方应继续履行本协议规定的各项义务。</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 xml:space="preserve"> 协议的效力及其他</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b/>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.1本协议生效的条件</w:t>
      </w:r>
    </w:p>
    <w:p>
      <w:pPr>
        <w:pageBreakBefore w:val="0"/>
        <w:widowControl w:val="0"/>
        <w:kinsoku/>
        <w:wordWrap/>
        <w:overflowPunct/>
        <w:topLinePunct w:val="0"/>
        <w:bidi w:val="0"/>
        <w:adjustRightInd w:val="0"/>
        <w:snapToGrid w:val="0"/>
        <w:spacing w:before="0" w:beforeLines="0" w:after="0" w:afterLines="0" w:line="329" w:lineRule="auto"/>
        <w:ind w:firstLine="480" w:firstLineChars="200"/>
        <w:rPr>
          <w:rFonts w:ascii="仿宋_GB2312" w:hAnsi="宋体" w:eastAsia="仿宋_GB2312"/>
          <w:kern w:val="0"/>
          <w:sz w:val="24"/>
        </w:rPr>
      </w:pPr>
      <w:r>
        <w:rPr>
          <w:rFonts w:hint="eastAsia" w:ascii="仿宋_GB2312" w:hAnsi="宋体" w:eastAsia="仿宋_GB2312"/>
          <w:kern w:val="0"/>
          <w:sz w:val="24"/>
        </w:rPr>
        <w:t>本协议自甲、乙双方法定代表人/负责人或授权代表签章并加盖公章或合同专用章后生效。</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.2</w:t>
      </w:r>
      <w:r>
        <w:rPr>
          <w:rFonts w:hint="eastAsia" w:ascii="仿宋_GB2312" w:hAnsi="宋体" w:eastAsia="仿宋_GB2312"/>
          <w:kern w:val="0"/>
          <w:sz w:val="24"/>
        </w:rPr>
        <w:t>乙方不能实际履行托管人职责时，甲方有权终止本协议另行选择托管人，乙方应予以配合。</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.3</w:t>
      </w:r>
      <w:r>
        <w:rPr>
          <w:rFonts w:hint="eastAsia" w:ascii="仿宋_GB2312" w:hAnsi="宋体" w:eastAsia="仿宋_GB2312"/>
          <w:kern w:val="0"/>
          <w:sz w:val="24"/>
        </w:rPr>
        <w:t>除非根据本协议的有关规定提前终止本协议，本协议的期限</w:t>
      </w:r>
      <w:r>
        <w:rPr>
          <w:rFonts w:ascii="仿宋_GB2312" w:hAnsi="宋体" w:eastAsia="仿宋_GB2312"/>
          <w:kern w:val="0"/>
          <w:sz w:val="24"/>
        </w:rPr>
        <w:t>自</w:t>
      </w:r>
      <w:r>
        <w:rPr>
          <w:rFonts w:hint="eastAsia" w:ascii="仿宋_GB2312" w:hAnsi="宋体" w:eastAsia="仿宋_GB2312"/>
          <w:kern w:val="0"/>
          <w:sz w:val="24"/>
        </w:rPr>
        <w:t>生效之日起一年，到期前</w:t>
      </w:r>
      <w:r>
        <w:rPr>
          <w:rFonts w:ascii="仿宋_GB2312" w:hAnsi="宋体" w:eastAsia="仿宋_GB2312"/>
          <w:kern w:val="0"/>
          <w:sz w:val="24"/>
        </w:rPr>
        <w:t>1</w:t>
      </w:r>
      <w:r>
        <w:rPr>
          <w:rFonts w:hint="eastAsia" w:ascii="仿宋_GB2312" w:hAnsi="宋体" w:eastAsia="仿宋_GB2312"/>
          <w:kern w:val="0"/>
          <w:sz w:val="24"/>
        </w:rPr>
        <w:t>个月，如甲乙双方均未提出书面异议，本协议在到期后自动展期一年，展期次数不限。本协议终止或解除的，本协议项下</w:t>
      </w:r>
      <w:r>
        <w:rPr>
          <w:rFonts w:hint="eastAsia" w:ascii="仿宋_GB2312" w:hAnsi="宋体" w:eastAsia="仿宋_GB2312"/>
          <w:bCs w:val="0"/>
          <w:kern w:val="0"/>
          <w:sz w:val="24"/>
        </w:rPr>
        <w:t>尚有未到期的理财产品的</w:t>
      </w:r>
      <w:r>
        <w:rPr>
          <w:rFonts w:hint="eastAsia" w:ascii="仿宋_GB2312" w:hAnsi="宋体" w:eastAsia="仿宋_GB2312"/>
          <w:kern w:val="0"/>
          <w:sz w:val="24"/>
        </w:rPr>
        <w:t>或其他未完结事项</w:t>
      </w:r>
      <w:r>
        <w:rPr>
          <w:rFonts w:hint="eastAsia" w:ascii="仿宋_GB2312" w:hAnsi="宋体" w:eastAsia="仿宋_GB2312"/>
          <w:bCs w:val="0"/>
          <w:kern w:val="0"/>
          <w:sz w:val="24"/>
        </w:rPr>
        <w:t>，双方仍按照本协议约定</w:t>
      </w:r>
      <w:r>
        <w:rPr>
          <w:rFonts w:hint="eastAsia" w:ascii="仿宋_GB2312" w:hAnsi="宋体" w:eastAsia="仿宋_GB2312"/>
          <w:kern w:val="0"/>
          <w:sz w:val="24"/>
        </w:rPr>
        <w:t>继续</w:t>
      </w:r>
      <w:r>
        <w:rPr>
          <w:rFonts w:hint="eastAsia" w:ascii="仿宋_GB2312" w:hAnsi="宋体" w:eastAsia="仿宋_GB2312"/>
          <w:bCs w:val="0"/>
          <w:kern w:val="0"/>
          <w:sz w:val="24"/>
        </w:rPr>
        <w:t>履行，相互配合处理善后事宜，直至本协议项下各理财产品完成到期给付之日</w:t>
      </w:r>
      <w:r>
        <w:rPr>
          <w:rFonts w:hint="eastAsia" w:ascii="仿宋_GB2312" w:hAnsi="宋体" w:eastAsia="仿宋_GB2312"/>
          <w:kern w:val="0"/>
          <w:sz w:val="24"/>
        </w:rPr>
        <w:t>或其他未完结事项办结之日。</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.4</w:t>
      </w:r>
      <w:r>
        <w:rPr>
          <w:rFonts w:hint="eastAsia" w:ascii="仿宋_GB2312" w:hAnsi="宋体" w:eastAsia="仿宋_GB2312"/>
          <w:kern w:val="0"/>
          <w:sz w:val="24"/>
        </w:rPr>
        <w:t>本协议未尽事宜，甲、乙双方可另行签订补充协议，所有为执行本协议而签署的补充协议，与本协议具有同等法律效力。</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rPr>
          <w:rFonts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.5</w:t>
      </w:r>
      <w:r>
        <w:rPr>
          <w:rFonts w:hint="eastAsia" w:ascii="仿宋_GB2312" w:hAnsi="宋体" w:eastAsia="仿宋_GB2312"/>
          <w:kern w:val="0"/>
          <w:sz w:val="24"/>
        </w:rPr>
        <w:t>本协议项下某一理财产品通过书面文件就本协议已约定事项单独作出与本协议不一致约定的，以单独约定为准，但其他理财产品未单独作出不一致约定的事项依然以本协议约定为准。</w:t>
      </w:r>
    </w:p>
    <w:p>
      <w:pPr>
        <w:pageBreakBefore w:val="0"/>
        <w:widowControl w:val="0"/>
        <w:kinsoku/>
        <w:wordWrap/>
        <w:overflowPunct/>
        <w:topLinePunct w:val="0"/>
        <w:bidi w:val="0"/>
        <w:adjustRightInd w:val="0"/>
        <w:snapToGrid w:val="0"/>
        <w:spacing w:before="0" w:beforeLines="0" w:after="0" w:afterLines="0" w:line="329" w:lineRule="auto"/>
        <w:ind w:firstLine="482" w:firstLineChars="200"/>
        <w:jc w:val="center"/>
        <w:rPr>
          <w:rFonts w:hint="eastAsia" w:ascii="仿宋_GB2312" w:hAnsi="宋体" w:eastAsia="仿宋_GB2312"/>
          <w:kern w:val="0"/>
          <w:sz w:val="24"/>
        </w:rPr>
      </w:pPr>
      <w:r>
        <w:rPr>
          <w:rFonts w:hint="eastAsia" w:ascii="仿宋_GB2312" w:hAnsi="宋体" w:eastAsia="仿宋_GB2312"/>
          <w:b/>
          <w:kern w:val="0"/>
          <w:sz w:val="24"/>
        </w:rPr>
        <w:t>15.</w:t>
      </w:r>
      <w:r>
        <w:rPr>
          <w:rFonts w:hint="eastAsia" w:ascii="仿宋_GB2312" w:hAnsi="宋体" w:eastAsia="仿宋_GB2312"/>
          <w:b/>
          <w:kern w:val="0"/>
          <w:sz w:val="24"/>
          <w:lang w:val="en-US" w:eastAsia="zh-CN"/>
        </w:rPr>
        <w:t>4</w:t>
      </w:r>
      <w:r>
        <w:rPr>
          <w:rFonts w:hint="eastAsia" w:ascii="仿宋_GB2312" w:hAnsi="宋体" w:eastAsia="仿宋_GB2312"/>
          <w:b/>
          <w:kern w:val="0"/>
          <w:sz w:val="24"/>
        </w:rPr>
        <w:t>.</w:t>
      </w:r>
      <w:r>
        <w:rPr>
          <w:rFonts w:ascii="仿宋_GB2312" w:hAnsi="宋体" w:eastAsia="仿宋_GB2312"/>
          <w:b/>
          <w:kern w:val="0"/>
          <w:sz w:val="24"/>
        </w:rPr>
        <w:t>6</w:t>
      </w:r>
      <w:r>
        <w:rPr>
          <w:rFonts w:hint="eastAsia" w:ascii="仿宋_GB2312" w:hAnsi="宋体" w:eastAsia="仿宋_GB2312"/>
          <w:b/>
          <w:kern w:val="0"/>
          <w:sz w:val="24"/>
          <w:lang w:val="en-US" w:eastAsia="zh-CN"/>
        </w:rPr>
        <w:t xml:space="preserve">  </w:t>
      </w:r>
      <w:r>
        <w:rPr>
          <w:rFonts w:hint="eastAsia" w:ascii="仿宋_GB2312" w:hAnsi="宋体" w:eastAsia="仿宋_GB2312"/>
          <w:kern w:val="0"/>
          <w:sz w:val="24"/>
        </w:rPr>
        <w:t>本协议一式</w:t>
      </w:r>
      <w:r>
        <w:rPr>
          <w:rFonts w:hint="eastAsia" w:ascii="仿宋_GB2312" w:hAnsi="宋体" w:eastAsia="仿宋_GB2312"/>
          <w:kern w:val="0"/>
          <w:sz w:val="24"/>
          <w:lang w:val="en-US" w:eastAsia="zh-CN"/>
        </w:rPr>
        <w:t>肆</w:t>
      </w:r>
      <w:r>
        <w:rPr>
          <w:rFonts w:hint="eastAsia" w:ascii="仿宋_GB2312" w:hAnsi="宋体" w:eastAsia="仿宋_GB2312"/>
          <w:kern w:val="0"/>
          <w:sz w:val="24"/>
        </w:rPr>
        <w:t>份，甲、乙双方各执贰份，均为正本，具有同等的法</w:t>
      </w:r>
    </w:p>
    <w:p>
      <w:pPr>
        <w:pageBreakBefore w:val="0"/>
        <w:widowControl w:val="0"/>
        <w:kinsoku/>
        <w:wordWrap/>
        <w:overflowPunct/>
        <w:topLinePunct w:val="0"/>
        <w:bidi w:val="0"/>
        <w:adjustRightInd w:val="0"/>
        <w:snapToGrid w:val="0"/>
        <w:spacing w:before="0" w:beforeLines="0" w:after="0" w:afterLines="0" w:line="329" w:lineRule="auto"/>
        <w:jc w:val="both"/>
        <w:rPr>
          <w:rFonts w:ascii="仿宋_GB2312" w:hAnsi="宋体" w:eastAsia="仿宋_GB2312"/>
          <w:b/>
          <w:sz w:val="28"/>
          <w:szCs w:val="28"/>
        </w:rPr>
      </w:pPr>
      <w:r>
        <w:rPr>
          <w:rFonts w:hint="eastAsia" w:ascii="仿宋_GB2312" w:hAnsi="宋体" w:eastAsia="仿宋_GB2312"/>
          <w:kern w:val="0"/>
          <w:sz w:val="24"/>
        </w:rPr>
        <w:t>律效力。</w:t>
      </w:r>
      <w:r>
        <w:rPr>
          <w:rFonts w:hint="eastAsia" w:ascii="仿宋_GB2312" w:hAnsi="宋体" w:eastAsia="仿宋_GB2312"/>
          <w:b/>
          <w:sz w:val="24"/>
        </w:rPr>
        <w:br w:type="page"/>
      </w:r>
      <w:r>
        <w:rPr>
          <w:rFonts w:hint="eastAsia" w:ascii="仿宋_GB2312" w:hAnsi="宋体" w:eastAsia="仿宋_GB2312"/>
          <w:b/>
          <w:sz w:val="28"/>
          <w:szCs w:val="28"/>
        </w:rPr>
        <w:t>（</w:t>
      </w:r>
      <w:r>
        <w:rPr>
          <w:rFonts w:hint="eastAsia" w:ascii="仿宋_GB2312" w:hAnsi="宋体" w:eastAsia="仿宋_GB2312"/>
          <w:b/>
          <w:kern w:val="0"/>
          <w:sz w:val="28"/>
        </w:rPr>
        <w:t>本页无正文，为</w:t>
      </w:r>
      <w:r>
        <w:rPr>
          <w:rFonts w:hint="eastAsia" w:ascii="仿宋_GB2312" w:hAnsi="宋体" w:eastAsia="仿宋_GB2312"/>
          <w:b/>
          <w:kern w:val="0"/>
          <w:sz w:val="28"/>
          <w:szCs w:val="28"/>
        </w:rPr>
        <w:t>《</w:t>
      </w:r>
      <w:r>
        <w:rPr>
          <w:rFonts w:hint="eastAsia" w:ascii="仿宋_GB2312" w:hAnsi="宋体" w:eastAsia="仿宋_GB2312"/>
          <w:b/>
          <w:kern w:val="0"/>
          <w:sz w:val="24"/>
        </w:rPr>
        <w:t>渤银理财有限责任公司理财产品托管协议（统签版）</w:t>
      </w:r>
      <w:r>
        <w:rPr>
          <w:rFonts w:hint="eastAsia" w:ascii="仿宋_GB2312" w:hAnsi="宋体" w:eastAsia="仿宋_GB2312"/>
          <w:b/>
          <w:bCs/>
          <w:sz w:val="28"/>
          <w:szCs w:val="28"/>
        </w:rPr>
        <w:t>》签字页</w:t>
      </w:r>
      <w:r>
        <w:rPr>
          <w:rFonts w:hint="eastAsia" w:ascii="仿宋_GB2312" w:hAnsi="宋体" w:eastAsia="仿宋_GB2312"/>
          <w:b/>
          <w:sz w:val="28"/>
          <w:szCs w:val="28"/>
        </w:rPr>
        <w:t>）</w:t>
      </w:r>
    </w:p>
    <w:p>
      <w:pPr>
        <w:spacing w:before="156" w:beforeLines="50" w:after="156" w:afterLines="50" w:line="360" w:lineRule="auto"/>
        <w:rPr>
          <w:rFonts w:ascii="仿宋_GB2312" w:hAnsi="宋体" w:eastAsia="仿宋_GB2312"/>
          <w:sz w:val="28"/>
          <w:szCs w:val="28"/>
        </w:rPr>
      </w:pPr>
    </w:p>
    <w:p>
      <w:pPr>
        <w:spacing w:before="156" w:beforeLines="50" w:after="156" w:afterLines="50" w:line="360" w:lineRule="auto"/>
        <w:rPr>
          <w:rFonts w:ascii="仿宋_GB2312" w:hAnsi="宋体" w:eastAsia="仿宋_GB2312"/>
          <w:sz w:val="28"/>
          <w:szCs w:val="28"/>
        </w:rPr>
      </w:pPr>
    </w:p>
    <w:p>
      <w:pPr>
        <w:spacing w:before="156" w:beforeLines="50" w:after="156" w:afterLines="50" w:line="360" w:lineRule="auto"/>
        <w:rPr>
          <w:rFonts w:ascii="仿宋_GB2312" w:hAnsi="宋体" w:eastAsia="仿宋_GB2312"/>
          <w:sz w:val="28"/>
          <w:szCs w:val="28"/>
        </w:rPr>
      </w:pPr>
    </w:p>
    <w:p>
      <w:pPr>
        <w:spacing w:before="156" w:beforeLines="50" w:after="156" w:afterLines="50" w:line="360" w:lineRule="auto"/>
        <w:rPr>
          <w:rFonts w:ascii="仿宋_GB2312" w:hAnsi="宋体" w:eastAsia="仿宋_GB2312"/>
          <w:b/>
          <w:sz w:val="28"/>
          <w:szCs w:val="28"/>
        </w:rPr>
      </w:pPr>
      <w:r>
        <w:rPr>
          <w:rFonts w:hint="eastAsia" w:ascii="仿宋_GB2312" w:hAnsi="宋体" w:eastAsia="仿宋_GB2312"/>
          <w:b/>
          <w:sz w:val="28"/>
          <w:szCs w:val="28"/>
        </w:rPr>
        <w:t>甲方：渤银理财有限责任公司</w:t>
      </w:r>
    </w:p>
    <w:p>
      <w:pPr>
        <w:spacing w:before="156" w:beforeLines="50" w:after="156" w:afterLines="50" w:line="360" w:lineRule="auto"/>
        <w:rPr>
          <w:rFonts w:ascii="仿宋_GB2312" w:hAnsi="宋体" w:eastAsia="仿宋_GB2312"/>
          <w:b/>
          <w:sz w:val="28"/>
          <w:szCs w:val="28"/>
        </w:rPr>
      </w:pPr>
      <w:r>
        <w:rPr>
          <w:rFonts w:hint="eastAsia" w:ascii="仿宋_GB2312" w:hAnsi="宋体" w:eastAsia="仿宋_GB2312"/>
          <w:b/>
          <w:sz w:val="28"/>
          <w:szCs w:val="28"/>
        </w:rPr>
        <w:t xml:space="preserve">法定代表人/负责人（授权代表）：                       </w:t>
      </w:r>
    </w:p>
    <w:p>
      <w:pPr>
        <w:spacing w:before="156" w:beforeLines="50" w:after="156" w:afterLines="50" w:line="360" w:lineRule="auto"/>
        <w:rPr>
          <w:rFonts w:ascii="仿宋_GB2312" w:hAnsi="宋体" w:eastAsia="仿宋_GB2312"/>
          <w:b/>
          <w:sz w:val="28"/>
          <w:szCs w:val="28"/>
        </w:rPr>
      </w:pPr>
      <w:r>
        <w:rPr>
          <w:rFonts w:hint="eastAsia" w:ascii="仿宋_GB2312" w:hAnsi="宋体" w:eastAsia="仿宋_GB2312"/>
          <w:b/>
          <w:sz w:val="28"/>
        </w:rPr>
        <w:t xml:space="preserve">     年  月  日</w:t>
      </w:r>
    </w:p>
    <w:p>
      <w:pPr>
        <w:spacing w:before="156" w:beforeLines="50" w:after="156" w:afterLines="50" w:line="360" w:lineRule="auto"/>
        <w:rPr>
          <w:rFonts w:ascii="仿宋_GB2312" w:hAnsi="宋体" w:eastAsia="仿宋_GB2312"/>
          <w:b/>
          <w:sz w:val="28"/>
          <w:szCs w:val="28"/>
        </w:rPr>
      </w:pPr>
    </w:p>
    <w:p>
      <w:pPr>
        <w:spacing w:before="156" w:beforeLines="50" w:after="156" w:afterLines="50" w:line="360" w:lineRule="auto"/>
        <w:rPr>
          <w:rFonts w:ascii="仿宋_GB2312" w:hAnsi="宋体" w:eastAsia="仿宋_GB2312"/>
          <w:b/>
          <w:sz w:val="28"/>
          <w:szCs w:val="28"/>
        </w:rPr>
      </w:pPr>
    </w:p>
    <w:p>
      <w:pPr>
        <w:spacing w:before="156" w:beforeLines="50" w:after="156" w:afterLines="50" w:line="360" w:lineRule="auto"/>
        <w:rPr>
          <w:rFonts w:ascii="仿宋_GB2312" w:hAnsi="宋体" w:eastAsia="仿宋_GB2312"/>
          <w:b/>
          <w:sz w:val="28"/>
          <w:szCs w:val="28"/>
        </w:rPr>
      </w:pPr>
    </w:p>
    <w:p>
      <w:pPr>
        <w:spacing w:before="156" w:beforeLines="50" w:after="156" w:afterLines="50" w:line="360" w:lineRule="auto"/>
        <w:rPr>
          <w:rFonts w:ascii="仿宋_GB2312" w:hAnsi="宋体" w:eastAsia="仿宋_GB2312"/>
          <w:b/>
          <w:sz w:val="28"/>
          <w:szCs w:val="28"/>
        </w:rPr>
      </w:pPr>
    </w:p>
    <w:p>
      <w:pPr>
        <w:spacing w:before="156" w:beforeLines="50" w:after="156" w:afterLines="50" w:line="360" w:lineRule="auto"/>
        <w:rPr>
          <w:rFonts w:ascii="仿宋_GB2312" w:hAnsi="宋体" w:eastAsia="仿宋_GB2312"/>
          <w:b/>
          <w:sz w:val="28"/>
          <w:szCs w:val="28"/>
        </w:rPr>
      </w:pPr>
      <w:r>
        <w:rPr>
          <w:rFonts w:hint="eastAsia" w:ascii="仿宋_GB2312" w:hAnsi="宋体" w:eastAsia="仿宋_GB2312"/>
          <w:b/>
          <w:sz w:val="28"/>
          <w:szCs w:val="28"/>
        </w:rPr>
        <w:t>乙方：</w:t>
      </w:r>
      <w:r>
        <w:rPr>
          <w:rFonts w:hint="eastAsia" w:ascii="仿宋_GB2312" w:hAnsi="宋体" w:eastAsia="仿宋_GB2312"/>
          <w:b/>
          <w:sz w:val="28"/>
        </w:rPr>
        <w:t>中信银行股份有限公司</w:t>
      </w:r>
    </w:p>
    <w:p>
      <w:pPr>
        <w:spacing w:before="156" w:beforeLines="50" w:after="156" w:afterLines="50" w:line="360" w:lineRule="auto"/>
        <w:rPr>
          <w:rFonts w:ascii="仿宋_GB2312" w:hAnsi="宋体" w:eastAsia="仿宋_GB2312"/>
          <w:b/>
          <w:sz w:val="28"/>
          <w:szCs w:val="28"/>
        </w:rPr>
      </w:pPr>
      <w:r>
        <w:rPr>
          <w:rFonts w:hint="eastAsia" w:ascii="仿宋_GB2312" w:hAnsi="宋体" w:eastAsia="仿宋_GB2312"/>
          <w:b/>
          <w:sz w:val="28"/>
          <w:szCs w:val="28"/>
        </w:rPr>
        <w:t>法定代表人/负责人（授权代表）：</w:t>
      </w:r>
      <w:r>
        <w:rPr>
          <w:rFonts w:hint="eastAsia" w:ascii="仿宋_GB2312" w:hAnsi="宋体" w:eastAsia="仿宋_GB2312"/>
          <w:b/>
          <w:sz w:val="28"/>
        </w:rPr>
        <w:t xml:space="preserve"> </w:t>
      </w:r>
    </w:p>
    <w:p>
      <w:pPr>
        <w:spacing w:before="156" w:beforeLines="50" w:after="156" w:afterLines="50" w:line="360" w:lineRule="auto"/>
        <w:rPr>
          <w:rFonts w:ascii="仿宋_GB2312" w:hAnsi="宋体" w:eastAsia="仿宋_GB2312"/>
          <w:b/>
          <w:sz w:val="28"/>
        </w:rPr>
      </w:pPr>
      <w:r>
        <w:rPr>
          <w:rFonts w:hint="eastAsia" w:ascii="仿宋_GB2312" w:hAnsi="宋体" w:eastAsia="仿宋_GB2312"/>
          <w:b/>
          <w:sz w:val="28"/>
        </w:rPr>
        <w:t xml:space="preserve">    年   月  日</w:t>
      </w:r>
    </w:p>
    <w:p>
      <w:pPr>
        <w:spacing w:before="156" w:beforeLines="50" w:after="156" w:afterLines="50" w:line="360" w:lineRule="auto"/>
        <w:rPr>
          <w:rFonts w:ascii="仿宋_GB2312" w:hAnsi="宋体" w:eastAsia="仿宋_GB2312"/>
          <w:sz w:val="24"/>
        </w:rPr>
      </w:pPr>
    </w:p>
    <w:p>
      <w:pPr>
        <w:spacing w:before="156" w:beforeLines="50" w:after="156" w:afterLines="50" w:line="360" w:lineRule="auto"/>
        <w:rPr>
          <w:rFonts w:ascii="仿宋_GB2312" w:hAnsi="宋体" w:eastAsia="仿宋_GB2312"/>
          <w:sz w:val="24"/>
        </w:rPr>
      </w:pPr>
    </w:p>
    <w:p>
      <w:pPr>
        <w:spacing w:before="156" w:beforeLines="50" w:after="156" w:afterLines="50" w:line="360" w:lineRule="auto"/>
        <w:jc w:val="left"/>
        <w:rPr>
          <w:rFonts w:ascii="仿宋_GB2312" w:hAnsi="宋体" w:eastAsia="仿宋_GB2312"/>
          <w:sz w:val="24"/>
        </w:rPr>
      </w:pPr>
      <w:r>
        <w:rPr>
          <w:rFonts w:hint="eastAsia" w:ascii="仿宋_GB2312" w:hAnsi="宋体" w:eastAsia="仿宋_GB2312"/>
          <w:sz w:val="24"/>
        </w:rPr>
        <w:br w:type="page"/>
      </w:r>
    </w:p>
    <w:p>
      <w:pPr>
        <w:pStyle w:val="3"/>
        <w:tabs>
          <w:tab w:val="left" w:pos="0"/>
        </w:tabs>
        <w:spacing w:before="312" w:beforeLines="100" w:after="312" w:afterLines="100" w:line="360" w:lineRule="auto"/>
        <w:jc w:val="left"/>
        <w:rPr>
          <w:rFonts w:ascii="仿宋_GB2312" w:hAnsi="宋体" w:eastAsia="仿宋_GB2312"/>
          <w:sz w:val="24"/>
        </w:rPr>
      </w:pPr>
      <w:bookmarkStart w:id="287" w:name="_Toc97719087"/>
      <w:bookmarkStart w:id="288" w:name="_Toc10884"/>
      <w:bookmarkStart w:id="289" w:name="_Toc18805"/>
      <w:bookmarkStart w:id="290" w:name="_Toc1395"/>
      <w:bookmarkStart w:id="291" w:name="_Toc12269"/>
      <w:r>
        <w:rPr>
          <w:rFonts w:hint="eastAsia" w:ascii="仿宋_GB2312" w:hAnsi="宋体" w:eastAsia="仿宋_GB2312"/>
          <w:b w:val="0"/>
          <w:sz w:val="24"/>
        </w:rPr>
        <w:t>附件1：托管运作起始通知书（格式）</w:t>
      </w:r>
      <w:bookmarkEnd w:id="287"/>
      <w:bookmarkEnd w:id="288"/>
      <w:bookmarkEnd w:id="289"/>
      <w:bookmarkEnd w:id="290"/>
      <w:bookmarkEnd w:id="291"/>
    </w:p>
    <w:p>
      <w:pPr>
        <w:keepNext w:val="0"/>
        <w:keepLines w:val="0"/>
        <w:pageBreakBefore w:val="0"/>
        <w:widowControl w:val="0"/>
        <w:kinsoku/>
        <w:wordWrap/>
        <w:overflowPunct/>
        <w:topLinePunct w:val="0"/>
        <w:autoSpaceDE/>
        <w:autoSpaceDN/>
        <w:bidi w:val="0"/>
        <w:adjustRightInd w:val="0"/>
        <w:snapToGrid w:val="0"/>
        <w:spacing w:before="60" w:after="60" w:line="360" w:lineRule="auto"/>
        <w:jc w:val="center"/>
        <w:textAlignment w:val="auto"/>
        <w:rPr>
          <w:rFonts w:ascii="仿宋_GB2312" w:hAnsi="宋体" w:eastAsia="仿宋_GB2312"/>
          <w:sz w:val="28"/>
          <w:szCs w:val="28"/>
        </w:rPr>
      </w:pPr>
      <w:r>
        <w:rPr>
          <w:rFonts w:hint="eastAsia" w:ascii="仿宋_GB2312" w:hAnsi="宋体" w:eastAsia="仿宋_GB2312"/>
          <w:b/>
          <w:sz w:val="28"/>
          <w:szCs w:val="28"/>
        </w:rPr>
        <w:t>托管运作起始通知书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宋体" w:eastAsia="仿宋_GB2312"/>
          <w:b/>
          <w:sz w:val="24"/>
        </w:rPr>
      </w:pPr>
      <w:r>
        <w:rPr>
          <w:rFonts w:hint="eastAsia" w:ascii="仿宋_GB2312" w:hAnsi="宋体" w:eastAsia="仿宋_GB2312"/>
          <w:b/>
          <w:sz w:val="24"/>
        </w:rPr>
        <w:t>理财产品托管人（</w:t>
      </w:r>
      <w:r>
        <w:rPr>
          <w:rFonts w:hint="eastAsia" w:ascii="仿宋_GB2312" w:hAnsi="宋体" w:eastAsia="仿宋_GB2312"/>
          <w:b/>
          <w:sz w:val="24"/>
          <w:lang w:val="en-US" w:eastAsia="zh-CN"/>
        </w:rPr>
        <w:t>中信银行股份有限公司</w:t>
      </w:r>
      <w:r>
        <w:rPr>
          <w:rFonts w:hint="eastAsia" w:ascii="仿宋_GB2312" w:hAnsi="宋体" w:eastAsia="仿宋_GB2312"/>
          <w:b/>
          <w:sz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我方已完成“【          】理财产品”资金募集，根据</w:t>
      </w:r>
      <w:r>
        <w:rPr>
          <w:rFonts w:hint="eastAsia" w:ascii="仿宋_GB2312" w:hAnsi="宋体" w:eastAsia="仿宋_GB2312"/>
          <w:bCs/>
          <w:sz w:val="24"/>
        </w:rPr>
        <w:t>《渤银理财有限责任公司理财产品托管协议（统签版）》（编号：【</w:t>
      </w:r>
      <w:r>
        <w:rPr>
          <w:rFonts w:hint="eastAsia" w:ascii="仿宋_GB2312" w:hAnsi="宋体" w:eastAsia="仿宋_GB2312"/>
          <w:sz w:val="28"/>
          <w:szCs w:val="28"/>
        </w:rPr>
        <w:t>TGBY202</w:t>
      </w:r>
      <w:r>
        <w:rPr>
          <w:rFonts w:hint="eastAsia" w:ascii="仿宋_GB2312" w:hAnsi="宋体" w:eastAsia="仿宋_GB2312"/>
          <w:sz w:val="28"/>
          <w:szCs w:val="28"/>
          <w:lang w:val="en-US" w:eastAsia="zh-CN"/>
        </w:rPr>
        <w:t>5</w:t>
      </w:r>
      <w:r>
        <w:rPr>
          <w:rFonts w:hint="eastAsia" w:ascii="仿宋_GB2312" w:hAnsi="宋体" w:eastAsia="仿宋_GB2312"/>
          <w:sz w:val="28"/>
          <w:szCs w:val="28"/>
        </w:rPr>
        <w:t>0</w:t>
      </w:r>
      <w:r>
        <w:rPr>
          <w:rFonts w:hint="eastAsia" w:ascii="仿宋_GB2312" w:hAnsi="宋体" w:eastAsia="仿宋_GB2312"/>
          <w:sz w:val="28"/>
          <w:szCs w:val="28"/>
          <w:lang w:val="en-US" w:eastAsia="zh-CN"/>
        </w:rPr>
        <w:t>6</w:t>
      </w:r>
      <w:r>
        <w:rPr>
          <w:rFonts w:hint="eastAsia" w:ascii="仿宋_GB2312" w:hAnsi="宋体" w:eastAsia="仿宋_GB2312"/>
          <w:bCs/>
          <w:sz w:val="24"/>
        </w:rPr>
        <w:t>】）</w:t>
      </w:r>
      <w:r>
        <w:rPr>
          <w:rFonts w:hint="eastAsia" w:ascii="仿宋_GB2312" w:hAnsi="宋体" w:eastAsia="仿宋_GB2312"/>
          <w:sz w:val="24"/>
        </w:rPr>
        <w:t>，理财产品资金人民币【      】元整已划入贵行资金托管专户。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兹确定     年   月   日 为托管运作的起始日。</w:t>
      </w:r>
    </w:p>
    <w:p>
      <w:pPr>
        <w:pStyle w:val="15"/>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4"/>
        </w:rPr>
      </w:pPr>
    </w:p>
    <w:p>
      <w:pPr>
        <w:pStyle w:val="15"/>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4"/>
        </w:rPr>
      </w:pPr>
    </w:p>
    <w:p>
      <w:pPr>
        <w:pStyle w:val="15"/>
        <w:keepNext w:val="0"/>
        <w:keepLines w:val="0"/>
        <w:pageBreakBefore w:val="0"/>
        <w:widowControl w:val="0"/>
        <w:kinsoku/>
        <w:wordWrap/>
        <w:overflowPunct/>
        <w:topLinePunct w:val="0"/>
        <w:autoSpaceDE/>
        <w:autoSpaceDN/>
        <w:bidi w:val="0"/>
        <w:adjustRightInd w:val="0"/>
        <w:snapToGrid w:val="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特此通知。</w:t>
      </w:r>
    </w:p>
    <w:p>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before="60" w:after="60" w:line="360" w:lineRule="auto"/>
        <w:jc w:val="right"/>
        <w:textAlignment w:val="auto"/>
        <w:rPr>
          <w:rFonts w:ascii="仿宋_GB2312" w:hAnsi="宋体" w:eastAsia="仿宋_GB2312"/>
          <w:sz w:val="24"/>
        </w:rPr>
      </w:pPr>
      <w:r>
        <w:rPr>
          <w:rFonts w:hint="eastAsia" w:ascii="仿宋_GB2312" w:hAnsi="宋体" w:eastAsia="仿宋_GB2312"/>
          <w:b/>
          <w:bCs/>
          <w:sz w:val="24"/>
        </w:rPr>
        <w:t>理财产品管理人：渤银理财有限责任公司</w:t>
      </w:r>
      <w:r>
        <w:rPr>
          <w:rFonts w:ascii="仿宋_GB2312" w:hAnsi="宋体" w:eastAsia="仿宋_GB2312"/>
          <w:b/>
          <w:sz w:val="24"/>
        </w:rPr>
        <w:t xml:space="preserve">       </w:t>
      </w:r>
      <w:r>
        <w:rPr>
          <w:rFonts w:hint="eastAsia" w:ascii="仿宋_GB2312" w:hAnsi="宋体" w:eastAsia="仿宋_GB2312"/>
          <w:sz w:val="24"/>
        </w:rPr>
        <w:t xml:space="preserve">                                          年    月    日</w:t>
      </w:r>
    </w:p>
    <w:p>
      <w:pPr>
        <w:pStyle w:val="3"/>
        <w:tabs>
          <w:tab w:val="left" w:pos="0"/>
        </w:tabs>
        <w:spacing w:before="312" w:beforeLines="100" w:after="312" w:afterLines="100" w:line="360" w:lineRule="auto"/>
        <w:jc w:val="left"/>
        <w:rPr>
          <w:rFonts w:ascii="仿宋_GB2312" w:hAnsi="宋体" w:eastAsia="仿宋_GB2312"/>
          <w:b w:val="0"/>
          <w:sz w:val="24"/>
        </w:rPr>
      </w:pPr>
      <w:r>
        <w:rPr>
          <w:rFonts w:hint="eastAsia" w:ascii="仿宋_GB2312" w:hAnsi="宋体" w:eastAsia="仿宋_GB2312"/>
          <w:sz w:val="24"/>
        </w:rPr>
        <w:br w:type="page"/>
      </w:r>
      <w:bookmarkStart w:id="292" w:name="_Toc14101"/>
      <w:bookmarkStart w:id="293" w:name="_Toc23176"/>
      <w:bookmarkStart w:id="294" w:name="_Toc97719088"/>
      <w:bookmarkStart w:id="295" w:name="_Toc28091923"/>
      <w:bookmarkStart w:id="296" w:name="_Toc11445"/>
      <w:bookmarkStart w:id="297" w:name="_Toc19256"/>
      <w:r>
        <w:rPr>
          <w:rFonts w:hint="eastAsia" w:ascii="仿宋_GB2312" w:hAnsi="宋体" w:eastAsia="仿宋_GB2312"/>
          <w:b w:val="0"/>
          <w:sz w:val="24"/>
        </w:rPr>
        <w:t>附件2：托管专户划款指令授权书</w:t>
      </w:r>
      <w:bookmarkEnd w:id="292"/>
      <w:bookmarkEnd w:id="293"/>
      <w:bookmarkEnd w:id="294"/>
      <w:bookmarkEnd w:id="295"/>
      <w:bookmarkEnd w:id="296"/>
      <w:bookmarkEnd w:id="297"/>
    </w:p>
    <w:p>
      <w:pPr>
        <w:keepNext w:val="0"/>
        <w:keepLines w:val="0"/>
        <w:pageBreakBefore w:val="0"/>
        <w:widowControl w:val="0"/>
        <w:kinsoku/>
        <w:wordWrap/>
        <w:overflowPunct/>
        <w:topLinePunct w:val="0"/>
        <w:autoSpaceDE/>
        <w:autoSpaceDN/>
        <w:bidi w:val="0"/>
        <w:adjustRightInd w:val="0"/>
        <w:snapToGrid w:val="0"/>
        <w:spacing w:before="60" w:after="60" w:line="360" w:lineRule="auto"/>
        <w:jc w:val="center"/>
        <w:textAlignment w:val="auto"/>
        <w:rPr>
          <w:rFonts w:ascii="仿宋_GB2312" w:hAnsi="宋体" w:eastAsia="仿宋_GB2312"/>
          <w:b/>
          <w:sz w:val="28"/>
          <w:szCs w:val="28"/>
        </w:rPr>
      </w:pPr>
      <w:r>
        <w:rPr>
          <w:rFonts w:hint="eastAsia" w:ascii="仿宋_GB2312" w:hAnsi="宋体" w:eastAsia="仿宋_GB2312"/>
          <w:b/>
          <w:sz w:val="28"/>
          <w:szCs w:val="28"/>
        </w:rPr>
        <w:t>托管专户划款指令授权书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宋体" w:eastAsia="仿宋_GB2312"/>
          <w:b/>
          <w:sz w:val="24"/>
        </w:rPr>
      </w:pPr>
      <w:r>
        <w:rPr>
          <w:rFonts w:hint="eastAsia" w:ascii="仿宋_GB2312" w:hAnsi="宋体" w:eastAsia="仿宋_GB2312"/>
          <w:b/>
          <w:sz w:val="24"/>
        </w:rPr>
        <w:t>理财产品托管人（</w:t>
      </w:r>
      <w:r>
        <w:rPr>
          <w:rFonts w:hint="eastAsia" w:ascii="仿宋_GB2312" w:hAnsi="宋体" w:eastAsia="仿宋_GB2312"/>
          <w:b/>
          <w:sz w:val="24"/>
          <w:lang w:val="en-US" w:eastAsia="zh-CN"/>
        </w:rPr>
        <w:t>中信银行股份有限公司</w:t>
      </w:r>
      <w:r>
        <w:rPr>
          <w:rFonts w:hint="eastAsia" w:ascii="仿宋_GB2312" w:hAnsi="宋体" w:eastAsia="仿宋_GB2312"/>
          <w:b/>
          <w:sz w:val="24"/>
        </w:rPr>
        <w:t>）：</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根据双方签署的</w:t>
      </w:r>
      <w:r>
        <w:rPr>
          <w:rFonts w:hint="eastAsia" w:ascii="仿宋_GB2312" w:hAnsi="宋体" w:eastAsia="仿宋_GB2312"/>
          <w:bCs/>
          <w:sz w:val="24"/>
        </w:rPr>
        <w:t>《渤银理财有限责任公司理财产品托管协议（统签版） 》（编号：【</w:t>
      </w:r>
      <w:r>
        <w:rPr>
          <w:rFonts w:hint="eastAsia" w:ascii="仿宋_GB2312" w:hAnsi="宋体" w:eastAsia="仿宋_GB2312"/>
          <w:sz w:val="28"/>
          <w:szCs w:val="28"/>
        </w:rPr>
        <w:t>TGBY202</w:t>
      </w:r>
      <w:r>
        <w:rPr>
          <w:rFonts w:hint="eastAsia" w:ascii="仿宋_GB2312" w:hAnsi="宋体" w:eastAsia="仿宋_GB2312"/>
          <w:sz w:val="28"/>
          <w:szCs w:val="28"/>
          <w:lang w:val="en-US" w:eastAsia="zh-CN"/>
        </w:rPr>
        <w:t>5</w:t>
      </w:r>
      <w:r>
        <w:rPr>
          <w:rFonts w:hint="eastAsia" w:ascii="仿宋_GB2312" w:hAnsi="宋体" w:eastAsia="仿宋_GB2312"/>
          <w:sz w:val="28"/>
          <w:szCs w:val="28"/>
        </w:rPr>
        <w:t>0</w:t>
      </w:r>
      <w:r>
        <w:rPr>
          <w:rFonts w:hint="eastAsia" w:ascii="仿宋_GB2312" w:hAnsi="宋体" w:eastAsia="仿宋_GB2312"/>
          <w:sz w:val="28"/>
          <w:szCs w:val="28"/>
          <w:lang w:val="en-US" w:eastAsia="zh-CN"/>
        </w:rPr>
        <w:t>6</w:t>
      </w:r>
      <w:r>
        <w:rPr>
          <w:rFonts w:hint="eastAsia" w:ascii="仿宋_GB2312" w:hAnsi="宋体" w:eastAsia="仿宋_GB2312"/>
          <w:bCs/>
          <w:sz w:val="24"/>
        </w:rPr>
        <w:t>】），</w:t>
      </w:r>
      <w:r>
        <w:rPr>
          <w:rFonts w:hint="eastAsia" w:ascii="仿宋_GB2312" w:hAnsi="宋体" w:eastAsia="仿宋_GB2312"/>
          <w:sz w:val="24"/>
        </w:rPr>
        <w:t>理财产品管理人特授权以下人员为有权进行托管专户理财资金运用划款指令及业务往来的办理、签发工作。本授权从【   】年【   】月【   】日起生效，如有变更将另行通知。授权人员及签字</w:t>
      </w:r>
      <w:r>
        <w:rPr>
          <w:rFonts w:hint="eastAsia" w:ascii="仿宋_GB2312" w:hAnsi="宋体" w:eastAsia="仿宋_GB2312"/>
          <w:sz w:val="24"/>
          <w:lang w:val="en-US" w:eastAsia="zh-CN"/>
        </w:rPr>
        <w:t>/盖章</w:t>
      </w:r>
      <w:r>
        <w:rPr>
          <w:rFonts w:hint="eastAsia" w:ascii="仿宋_GB2312" w:hAnsi="宋体" w:eastAsia="仿宋_GB2312"/>
          <w:sz w:val="24"/>
        </w:rPr>
        <w:t>样本如下：</w:t>
      </w:r>
    </w:p>
    <w:tbl>
      <w:tblPr>
        <w:tblStyle w:val="22"/>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0"/>
        <w:gridCol w:w="1609"/>
        <w:gridCol w:w="1609"/>
        <w:gridCol w:w="161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610"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文件类型</w:t>
            </w:r>
          </w:p>
        </w:tc>
        <w:tc>
          <w:tcPr>
            <w:tcW w:w="1609"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经办人员</w:t>
            </w:r>
          </w:p>
        </w:tc>
        <w:tc>
          <w:tcPr>
            <w:tcW w:w="1609"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复核人员</w:t>
            </w:r>
          </w:p>
        </w:tc>
        <w:tc>
          <w:tcPr>
            <w:tcW w:w="1610"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审核签发人员</w:t>
            </w:r>
          </w:p>
        </w:tc>
        <w:tc>
          <w:tcPr>
            <w:tcW w:w="1609"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预留业务公章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1610" w:type="dxa"/>
            <w:vMerge w:val="restart"/>
            <w:vAlign w:val="center"/>
          </w:tcPr>
          <w:p>
            <w:pPr>
              <w:spacing w:line="360" w:lineRule="auto"/>
              <w:jc w:val="center"/>
              <w:rPr>
                <w:rFonts w:ascii="仿宋_GB2312" w:hAnsi="宋体" w:eastAsia="仿宋_GB2312"/>
                <w:szCs w:val="21"/>
              </w:rPr>
            </w:pPr>
            <w:r>
              <w:rPr>
                <w:rFonts w:hint="eastAsia" w:ascii="仿宋_GB2312" w:hAnsi="宋体" w:eastAsia="仿宋_GB2312"/>
                <w:szCs w:val="21"/>
              </w:rPr>
              <w:t>专户划款指令/</w:t>
            </w:r>
          </w:p>
          <w:p>
            <w:pPr>
              <w:spacing w:line="360" w:lineRule="auto"/>
              <w:jc w:val="center"/>
              <w:rPr>
                <w:rFonts w:ascii="仿宋_GB2312" w:hAnsi="宋体" w:eastAsia="仿宋_GB2312"/>
                <w:szCs w:val="21"/>
              </w:rPr>
            </w:pPr>
            <w:r>
              <w:rPr>
                <w:rFonts w:hint="eastAsia" w:ascii="仿宋_GB2312" w:hAnsi="宋体" w:eastAsia="仿宋_GB2312"/>
                <w:szCs w:val="21"/>
              </w:rPr>
              <w:t>收款通知/</w:t>
            </w:r>
          </w:p>
          <w:p>
            <w:pPr>
              <w:spacing w:line="360" w:lineRule="auto"/>
              <w:jc w:val="center"/>
              <w:rPr>
                <w:rFonts w:ascii="仿宋_GB2312" w:hAnsi="宋体" w:eastAsia="仿宋_GB2312"/>
                <w:szCs w:val="21"/>
              </w:rPr>
            </w:pPr>
          </w:p>
        </w:tc>
        <w:tc>
          <w:tcPr>
            <w:tcW w:w="1609" w:type="dxa"/>
            <w:vMerge w:val="restart"/>
            <w:vAlign w:val="center"/>
          </w:tcPr>
          <w:p>
            <w:pPr>
              <w:spacing w:line="360" w:lineRule="auto"/>
              <w:jc w:val="center"/>
              <w:rPr>
                <w:rFonts w:ascii="仿宋_GB2312" w:hAnsi="宋体" w:eastAsia="仿宋_GB2312"/>
                <w:szCs w:val="21"/>
              </w:rPr>
            </w:pPr>
          </w:p>
          <w:p>
            <w:pPr>
              <w:spacing w:line="360" w:lineRule="auto"/>
              <w:ind w:firstLine="420"/>
              <w:jc w:val="center"/>
              <w:rPr>
                <w:rFonts w:ascii="仿宋_GB2312" w:hAnsi="宋体" w:eastAsia="仿宋_GB2312"/>
                <w:szCs w:val="21"/>
              </w:rPr>
            </w:pPr>
          </w:p>
          <w:p>
            <w:pPr>
              <w:spacing w:line="360" w:lineRule="auto"/>
              <w:jc w:val="center"/>
              <w:rPr>
                <w:rFonts w:ascii="仿宋_GB2312" w:hAnsi="宋体" w:eastAsia="仿宋_GB2312"/>
                <w:szCs w:val="21"/>
              </w:rPr>
            </w:pPr>
          </w:p>
          <w:p>
            <w:pPr>
              <w:spacing w:line="360" w:lineRule="auto"/>
              <w:ind w:firstLine="420"/>
              <w:jc w:val="center"/>
              <w:rPr>
                <w:rFonts w:ascii="仿宋_GB2312" w:hAnsi="宋体" w:eastAsia="仿宋_GB2312"/>
                <w:szCs w:val="21"/>
              </w:rPr>
            </w:pPr>
          </w:p>
        </w:tc>
        <w:tc>
          <w:tcPr>
            <w:tcW w:w="1609" w:type="dxa"/>
            <w:vMerge w:val="restart"/>
            <w:vAlign w:val="center"/>
          </w:tcPr>
          <w:p>
            <w:pPr>
              <w:spacing w:line="360" w:lineRule="auto"/>
              <w:ind w:firstLine="420" w:firstLineChars="200"/>
              <w:jc w:val="center"/>
              <w:rPr>
                <w:rFonts w:ascii="仿宋_GB2312" w:hAnsi="宋体" w:eastAsia="仿宋_GB2312"/>
                <w:szCs w:val="21"/>
              </w:rPr>
            </w:pPr>
          </w:p>
          <w:p>
            <w:pPr>
              <w:spacing w:line="360" w:lineRule="auto"/>
              <w:ind w:firstLine="420" w:firstLineChars="200"/>
              <w:jc w:val="center"/>
              <w:rPr>
                <w:rFonts w:ascii="仿宋_GB2312" w:hAnsi="宋体" w:eastAsia="仿宋_GB2312"/>
                <w:szCs w:val="21"/>
              </w:rPr>
            </w:pPr>
          </w:p>
          <w:p>
            <w:pPr>
              <w:spacing w:line="360" w:lineRule="auto"/>
              <w:ind w:firstLine="420" w:firstLineChars="200"/>
              <w:jc w:val="center"/>
              <w:rPr>
                <w:rFonts w:ascii="仿宋_GB2312" w:hAnsi="宋体" w:eastAsia="仿宋_GB2312"/>
                <w:szCs w:val="21"/>
              </w:rPr>
            </w:pPr>
          </w:p>
          <w:p>
            <w:pPr>
              <w:spacing w:line="360" w:lineRule="auto"/>
              <w:ind w:firstLine="420" w:firstLineChars="200"/>
              <w:jc w:val="center"/>
              <w:rPr>
                <w:rFonts w:ascii="仿宋_GB2312" w:hAnsi="宋体" w:eastAsia="仿宋_GB2312"/>
                <w:szCs w:val="21"/>
              </w:rPr>
            </w:pPr>
          </w:p>
        </w:tc>
        <w:tc>
          <w:tcPr>
            <w:tcW w:w="1610" w:type="dxa"/>
            <w:vAlign w:val="center"/>
          </w:tcPr>
          <w:p>
            <w:pPr>
              <w:spacing w:line="360" w:lineRule="auto"/>
              <w:rPr>
                <w:rFonts w:ascii="仿宋_GB2312" w:hAnsi="宋体" w:eastAsia="仿宋_GB2312"/>
                <w:szCs w:val="21"/>
              </w:rPr>
            </w:pPr>
            <w:r>
              <w:rPr>
                <w:rFonts w:hint="eastAsia" w:ascii="仿宋_GB2312" w:hAnsi="宋体" w:eastAsia="仿宋_GB2312"/>
                <w:szCs w:val="21"/>
              </w:rPr>
              <w:t>（A）</w:t>
            </w:r>
          </w:p>
          <w:p>
            <w:pPr>
              <w:spacing w:line="360" w:lineRule="auto"/>
              <w:ind w:firstLine="420" w:firstLineChars="200"/>
              <w:jc w:val="center"/>
              <w:rPr>
                <w:rFonts w:ascii="仿宋_GB2312" w:hAnsi="宋体" w:eastAsia="仿宋_GB2312"/>
                <w:szCs w:val="21"/>
              </w:rPr>
            </w:pPr>
          </w:p>
          <w:p>
            <w:pPr>
              <w:spacing w:line="360" w:lineRule="auto"/>
              <w:ind w:firstLine="420" w:firstLineChars="200"/>
              <w:jc w:val="center"/>
              <w:rPr>
                <w:rFonts w:ascii="仿宋_GB2312" w:hAnsi="宋体" w:eastAsia="仿宋_GB2312"/>
                <w:szCs w:val="21"/>
              </w:rPr>
            </w:pPr>
          </w:p>
        </w:tc>
        <w:tc>
          <w:tcPr>
            <w:tcW w:w="1609" w:type="dxa"/>
            <w:vMerge w:val="restart"/>
            <w:vAlign w:val="center"/>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1610" w:type="dxa"/>
            <w:vMerge w:val="continue"/>
            <w:vAlign w:val="center"/>
          </w:tcPr>
          <w:p>
            <w:pPr>
              <w:spacing w:line="360" w:lineRule="auto"/>
              <w:jc w:val="center"/>
              <w:rPr>
                <w:rFonts w:ascii="仿宋_GB2312" w:hAnsi="宋体" w:eastAsia="仿宋_GB2312"/>
                <w:szCs w:val="21"/>
              </w:rPr>
            </w:pPr>
          </w:p>
        </w:tc>
        <w:tc>
          <w:tcPr>
            <w:tcW w:w="1609" w:type="dxa"/>
            <w:vMerge w:val="continue"/>
            <w:vAlign w:val="center"/>
          </w:tcPr>
          <w:p>
            <w:pPr>
              <w:spacing w:line="360" w:lineRule="auto"/>
              <w:ind w:firstLine="420"/>
              <w:jc w:val="center"/>
              <w:rPr>
                <w:rFonts w:ascii="仿宋_GB2312" w:hAnsi="宋体" w:eastAsia="仿宋_GB2312"/>
                <w:szCs w:val="21"/>
              </w:rPr>
            </w:pPr>
          </w:p>
        </w:tc>
        <w:tc>
          <w:tcPr>
            <w:tcW w:w="1609" w:type="dxa"/>
            <w:vMerge w:val="continue"/>
            <w:vAlign w:val="center"/>
          </w:tcPr>
          <w:p>
            <w:pPr>
              <w:spacing w:line="360" w:lineRule="auto"/>
              <w:ind w:firstLine="420" w:firstLineChars="200"/>
              <w:jc w:val="center"/>
              <w:rPr>
                <w:rFonts w:ascii="仿宋_GB2312" w:hAnsi="宋体" w:eastAsia="仿宋_GB2312"/>
                <w:szCs w:val="21"/>
              </w:rPr>
            </w:pPr>
          </w:p>
        </w:tc>
        <w:tc>
          <w:tcPr>
            <w:tcW w:w="1610" w:type="dxa"/>
            <w:vAlign w:val="center"/>
          </w:tcPr>
          <w:p>
            <w:pPr>
              <w:spacing w:line="360" w:lineRule="auto"/>
              <w:rPr>
                <w:rFonts w:ascii="仿宋_GB2312" w:hAnsi="宋体" w:eastAsia="仿宋_GB2312"/>
                <w:szCs w:val="21"/>
              </w:rPr>
            </w:pPr>
            <w:r>
              <w:rPr>
                <w:rFonts w:hint="eastAsia" w:ascii="仿宋_GB2312" w:hAnsi="宋体" w:eastAsia="仿宋_GB2312"/>
                <w:szCs w:val="21"/>
              </w:rPr>
              <w:t>（B）</w:t>
            </w:r>
          </w:p>
          <w:p>
            <w:pPr>
              <w:spacing w:line="360" w:lineRule="auto"/>
              <w:ind w:firstLine="420" w:firstLineChars="200"/>
              <w:jc w:val="center"/>
              <w:rPr>
                <w:rFonts w:ascii="仿宋_GB2312" w:hAnsi="宋体" w:eastAsia="仿宋_GB2312"/>
                <w:szCs w:val="21"/>
              </w:rPr>
            </w:pPr>
          </w:p>
          <w:p>
            <w:pPr>
              <w:spacing w:line="360" w:lineRule="auto"/>
              <w:ind w:firstLine="420" w:firstLineChars="200"/>
              <w:jc w:val="center"/>
              <w:rPr>
                <w:rFonts w:ascii="仿宋_GB2312" w:hAnsi="宋体" w:eastAsia="仿宋_GB2312"/>
                <w:szCs w:val="21"/>
              </w:rPr>
            </w:pPr>
          </w:p>
        </w:tc>
        <w:tc>
          <w:tcPr>
            <w:tcW w:w="1609" w:type="dxa"/>
            <w:vMerge w:val="continue"/>
            <w:vAlign w:val="center"/>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1610" w:type="dxa"/>
            <w:vMerge w:val="restart"/>
            <w:vAlign w:val="center"/>
          </w:tcPr>
          <w:p>
            <w:pPr>
              <w:spacing w:line="360" w:lineRule="auto"/>
              <w:jc w:val="center"/>
              <w:rPr>
                <w:rFonts w:ascii="仿宋_GB2312" w:hAnsi="宋体" w:eastAsia="仿宋_GB2312"/>
                <w:szCs w:val="21"/>
              </w:rPr>
            </w:pPr>
            <w:r>
              <w:rPr>
                <w:rFonts w:hint="eastAsia" w:ascii="仿宋_GB2312" w:hAnsi="宋体" w:eastAsia="仿宋_GB2312"/>
                <w:szCs w:val="21"/>
              </w:rPr>
              <w:t>/会计处理事项</w:t>
            </w:r>
          </w:p>
          <w:p>
            <w:pPr>
              <w:spacing w:line="360" w:lineRule="auto"/>
              <w:jc w:val="center"/>
              <w:rPr>
                <w:rFonts w:ascii="仿宋_GB2312" w:hAnsi="宋体" w:eastAsia="仿宋_GB2312"/>
                <w:szCs w:val="21"/>
              </w:rPr>
            </w:pPr>
            <w:r>
              <w:rPr>
                <w:rFonts w:hint="eastAsia" w:ascii="仿宋_GB2312" w:hAnsi="宋体" w:eastAsia="仿宋_GB2312"/>
                <w:szCs w:val="21"/>
              </w:rPr>
              <w:t>/其他事项</w:t>
            </w:r>
          </w:p>
          <w:p>
            <w:pPr>
              <w:spacing w:line="360" w:lineRule="auto"/>
              <w:jc w:val="center"/>
              <w:rPr>
                <w:rFonts w:ascii="仿宋_GB2312" w:hAnsi="宋体" w:eastAsia="仿宋_GB2312"/>
                <w:szCs w:val="21"/>
              </w:rPr>
            </w:pPr>
          </w:p>
        </w:tc>
        <w:tc>
          <w:tcPr>
            <w:tcW w:w="1609" w:type="dxa"/>
            <w:vAlign w:val="center"/>
          </w:tcPr>
          <w:p>
            <w:pPr>
              <w:spacing w:line="360" w:lineRule="auto"/>
              <w:rPr>
                <w:rFonts w:ascii="仿宋_GB2312" w:hAnsi="宋体" w:eastAsia="仿宋_GB2312"/>
                <w:szCs w:val="21"/>
              </w:rPr>
            </w:pPr>
            <w:r>
              <w:rPr>
                <w:rFonts w:hint="eastAsia" w:ascii="仿宋_GB2312" w:hAnsi="宋体" w:eastAsia="仿宋_GB2312"/>
                <w:szCs w:val="21"/>
              </w:rPr>
              <w:t>（A）</w:t>
            </w:r>
          </w:p>
          <w:p>
            <w:pPr>
              <w:spacing w:line="360" w:lineRule="auto"/>
              <w:ind w:firstLine="420" w:firstLineChars="200"/>
              <w:jc w:val="center"/>
              <w:rPr>
                <w:rFonts w:ascii="仿宋_GB2312" w:hAnsi="宋体" w:eastAsia="仿宋_GB2312"/>
                <w:szCs w:val="21"/>
              </w:rPr>
            </w:pPr>
          </w:p>
        </w:tc>
        <w:tc>
          <w:tcPr>
            <w:tcW w:w="1609" w:type="dxa"/>
            <w:vAlign w:val="center"/>
          </w:tcPr>
          <w:p>
            <w:pPr>
              <w:spacing w:line="360" w:lineRule="auto"/>
              <w:rPr>
                <w:rFonts w:ascii="仿宋_GB2312" w:hAnsi="宋体" w:eastAsia="仿宋_GB2312"/>
                <w:szCs w:val="21"/>
              </w:rPr>
            </w:pPr>
            <w:r>
              <w:rPr>
                <w:rFonts w:hint="eastAsia" w:ascii="仿宋_GB2312" w:hAnsi="宋体" w:eastAsia="仿宋_GB2312"/>
                <w:szCs w:val="21"/>
              </w:rPr>
              <w:t>（A）</w:t>
            </w:r>
          </w:p>
          <w:p>
            <w:pPr>
              <w:spacing w:line="360" w:lineRule="auto"/>
              <w:ind w:firstLine="420" w:firstLineChars="200"/>
              <w:jc w:val="center"/>
              <w:rPr>
                <w:rFonts w:ascii="仿宋_GB2312" w:hAnsi="宋体" w:eastAsia="仿宋_GB2312"/>
                <w:szCs w:val="21"/>
              </w:rPr>
            </w:pPr>
          </w:p>
        </w:tc>
        <w:tc>
          <w:tcPr>
            <w:tcW w:w="1610" w:type="dxa"/>
            <w:vAlign w:val="center"/>
          </w:tcPr>
          <w:p>
            <w:pPr>
              <w:spacing w:line="360" w:lineRule="auto"/>
              <w:rPr>
                <w:rFonts w:ascii="仿宋_GB2312" w:hAnsi="宋体" w:eastAsia="仿宋_GB2312"/>
                <w:szCs w:val="21"/>
              </w:rPr>
            </w:pPr>
            <w:r>
              <w:rPr>
                <w:rFonts w:hint="eastAsia" w:ascii="仿宋_GB2312" w:hAnsi="宋体" w:eastAsia="仿宋_GB2312"/>
                <w:szCs w:val="21"/>
              </w:rPr>
              <w:t>（A）</w:t>
            </w:r>
          </w:p>
          <w:p>
            <w:pPr>
              <w:spacing w:line="360" w:lineRule="auto"/>
              <w:ind w:firstLine="420" w:firstLineChars="200"/>
              <w:jc w:val="center"/>
              <w:rPr>
                <w:rFonts w:ascii="仿宋_GB2312" w:hAnsi="宋体" w:eastAsia="仿宋_GB2312"/>
                <w:szCs w:val="21"/>
              </w:rPr>
            </w:pPr>
          </w:p>
        </w:tc>
        <w:tc>
          <w:tcPr>
            <w:tcW w:w="1609" w:type="dxa"/>
            <w:vMerge w:val="restart"/>
            <w:vAlign w:val="center"/>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 w:hRule="atLeast"/>
          <w:jc w:val="center"/>
        </w:trPr>
        <w:tc>
          <w:tcPr>
            <w:tcW w:w="1610" w:type="dxa"/>
            <w:vMerge w:val="continue"/>
            <w:vAlign w:val="center"/>
          </w:tcPr>
          <w:p>
            <w:pPr>
              <w:spacing w:line="360" w:lineRule="auto"/>
              <w:jc w:val="center"/>
              <w:rPr>
                <w:rFonts w:ascii="仿宋_GB2312" w:hAnsi="宋体" w:eastAsia="仿宋_GB2312"/>
                <w:szCs w:val="21"/>
              </w:rPr>
            </w:pPr>
          </w:p>
        </w:tc>
        <w:tc>
          <w:tcPr>
            <w:tcW w:w="1609" w:type="dxa"/>
            <w:vAlign w:val="center"/>
          </w:tcPr>
          <w:p>
            <w:pPr>
              <w:spacing w:line="360" w:lineRule="auto"/>
              <w:rPr>
                <w:rFonts w:ascii="仿宋_GB2312" w:hAnsi="宋体" w:eastAsia="仿宋_GB2312"/>
                <w:szCs w:val="21"/>
              </w:rPr>
            </w:pPr>
            <w:r>
              <w:rPr>
                <w:rFonts w:hint="eastAsia" w:ascii="仿宋_GB2312" w:hAnsi="宋体" w:eastAsia="仿宋_GB2312"/>
                <w:szCs w:val="21"/>
              </w:rPr>
              <w:t>（B）</w:t>
            </w:r>
          </w:p>
          <w:p>
            <w:pPr>
              <w:spacing w:line="360" w:lineRule="auto"/>
              <w:ind w:firstLine="420" w:firstLineChars="200"/>
              <w:jc w:val="center"/>
              <w:rPr>
                <w:rFonts w:ascii="仿宋_GB2312" w:hAnsi="宋体" w:eastAsia="仿宋_GB2312"/>
                <w:szCs w:val="21"/>
              </w:rPr>
            </w:pPr>
          </w:p>
        </w:tc>
        <w:tc>
          <w:tcPr>
            <w:tcW w:w="1609" w:type="dxa"/>
            <w:vAlign w:val="center"/>
          </w:tcPr>
          <w:p>
            <w:pPr>
              <w:spacing w:line="360" w:lineRule="auto"/>
              <w:rPr>
                <w:rFonts w:ascii="仿宋_GB2312" w:hAnsi="宋体" w:eastAsia="仿宋_GB2312"/>
                <w:szCs w:val="21"/>
              </w:rPr>
            </w:pPr>
            <w:r>
              <w:rPr>
                <w:rFonts w:hint="eastAsia" w:ascii="仿宋_GB2312" w:hAnsi="宋体" w:eastAsia="仿宋_GB2312"/>
                <w:szCs w:val="21"/>
              </w:rPr>
              <w:t>（B）</w:t>
            </w:r>
          </w:p>
          <w:p>
            <w:pPr>
              <w:spacing w:line="360" w:lineRule="auto"/>
              <w:ind w:firstLine="420" w:firstLineChars="200"/>
              <w:jc w:val="center"/>
              <w:rPr>
                <w:rFonts w:ascii="仿宋_GB2312" w:hAnsi="宋体" w:eastAsia="仿宋_GB2312"/>
                <w:szCs w:val="21"/>
              </w:rPr>
            </w:pPr>
          </w:p>
        </w:tc>
        <w:tc>
          <w:tcPr>
            <w:tcW w:w="1610" w:type="dxa"/>
            <w:vAlign w:val="center"/>
          </w:tcPr>
          <w:p>
            <w:pPr>
              <w:spacing w:line="360" w:lineRule="auto"/>
              <w:rPr>
                <w:rFonts w:ascii="仿宋_GB2312" w:hAnsi="宋体" w:eastAsia="仿宋_GB2312"/>
                <w:szCs w:val="21"/>
              </w:rPr>
            </w:pPr>
            <w:r>
              <w:rPr>
                <w:rFonts w:hint="eastAsia" w:ascii="仿宋_GB2312" w:hAnsi="宋体" w:eastAsia="仿宋_GB2312"/>
                <w:szCs w:val="21"/>
              </w:rPr>
              <w:t>（B）</w:t>
            </w:r>
          </w:p>
          <w:p>
            <w:pPr>
              <w:spacing w:line="360" w:lineRule="auto"/>
              <w:ind w:firstLine="420" w:firstLineChars="200"/>
              <w:jc w:val="center"/>
              <w:rPr>
                <w:rFonts w:ascii="仿宋_GB2312" w:hAnsi="宋体" w:eastAsia="仿宋_GB2312"/>
                <w:szCs w:val="21"/>
              </w:rPr>
            </w:pPr>
          </w:p>
        </w:tc>
        <w:tc>
          <w:tcPr>
            <w:tcW w:w="1609" w:type="dxa"/>
            <w:vMerge w:val="continue"/>
            <w:vAlign w:val="center"/>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610" w:type="dxa"/>
            <w:vAlign w:val="center"/>
          </w:tcPr>
          <w:p>
            <w:pPr>
              <w:spacing w:line="360" w:lineRule="auto"/>
              <w:jc w:val="center"/>
              <w:rPr>
                <w:rFonts w:ascii="仿宋_GB2312" w:hAnsi="宋体" w:eastAsia="仿宋_GB2312"/>
                <w:szCs w:val="21"/>
              </w:rPr>
            </w:pPr>
            <w:r>
              <w:rPr>
                <w:rFonts w:hint="eastAsia" w:ascii="仿宋_GB2312" w:hAnsi="宋体" w:eastAsia="仿宋_GB2312"/>
                <w:szCs w:val="21"/>
              </w:rPr>
              <w:t>密押公式</w:t>
            </w:r>
          </w:p>
          <w:p>
            <w:pPr>
              <w:spacing w:line="360" w:lineRule="auto"/>
              <w:jc w:val="center"/>
              <w:rPr>
                <w:rFonts w:ascii="仿宋_GB2312" w:hAnsi="宋体" w:eastAsia="仿宋_GB2312"/>
                <w:szCs w:val="21"/>
              </w:rPr>
            </w:pPr>
            <w:r>
              <w:rPr>
                <w:rFonts w:hint="eastAsia" w:ascii="仿宋_GB2312" w:hAnsi="宋体" w:eastAsia="仿宋_GB2312"/>
                <w:szCs w:val="21"/>
              </w:rPr>
              <w:t>（可选）</w:t>
            </w:r>
          </w:p>
        </w:tc>
        <w:tc>
          <w:tcPr>
            <w:tcW w:w="4828" w:type="dxa"/>
            <w:gridSpan w:val="3"/>
            <w:vAlign w:val="center"/>
          </w:tcPr>
          <w:p>
            <w:pPr>
              <w:spacing w:line="360" w:lineRule="auto"/>
              <w:jc w:val="center"/>
              <w:rPr>
                <w:rFonts w:ascii="仿宋_GB2312" w:hAnsi="宋体" w:eastAsia="仿宋_GB2312"/>
                <w:szCs w:val="21"/>
              </w:rPr>
            </w:pPr>
          </w:p>
        </w:tc>
        <w:tc>
          <w:tcPr>
            <w:tcW w:w="1609" w:type="dxa"/>
            <w:vAlign w:val="center"/>
          </w:tcPr>
          <w:p>
            <w:pPr>
              <w:spacing w:line="360" w:lineRule="auto"/>
              <w:jc w:val="center"/>
              <w:rPr>
                <w:rFonts w:ascii="仿宋_GB2312" w:hAnsi="宋体" w:eastAsia="仿宋_GB2312"/>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宋体" w:eastAsia="仿宋_GB2312"/>
          <w:sz w:val="24"/>
        </w:rPr>
      </w:pPr>
      <w:r>
        <w:rPr>
          <w:rFonts w:hint="eastAsia" w:ascii="仿宋_GB2312" w:hAnsi="宋体" w:eastAsia="仿宋_GB2312"/>
          <w:sz w:val="24"/>
        </w:rPr>
        <w:t>传真：</w:t>
      </w:r>
      <w:bookmarkStart w:id="329" w:name="_GoBack"/>
      <w:bookmarkEnd w:id="329"/>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hAnsi="宋体" w:eastAsia="仿宋_GB2312"/>
          <w:sz w:val="24"/>
        </w:rPr>
      </w:pPr>
      <w:r>
        <w:rPr>
          <w:rFonts w:hint="eastAsia" w:ascii="仿宋_GB2312" w:hAnsi="宋体" w:eastAsia="仿宋_GB2312"/>
          <w:sz w:val="24"/>
        </w:rPr>
        <w:t>邮寄地址：</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仿宋_GB2312" w:hAnsi="宋体" w:eastAsia="仿宋_GB2312"/>
          <w:b/>
          <w:sz w:val="24"/>
        </w:rPr>
      </w:pPr>
      <w:r>
        <w:rPr>
          <w:rFonts w:hint="eastAsia" w:ascii="仿宋_GB2312" w:hAnsi="宋体" w:eastAsia="仿宋_GB2312"/>
          <w:b/>
          <w:sz w:val="24"/>
        </w:rPr>
        <w:t>理财产品管理人：渤银理财有限责任公司</w:t>
      </w:r>
    </w:p>
    <w:p>
      <w:pPr>
        <w:keepNext w:val="0"/>
        <w:keepLines w:val="0"/>
        <w:pageBreakBefore w:val="0"/>
        <w:widowControl w:val="0"/>
        <w:kinsoku/>
        <w:wordWrap/>
        <w:overflowPunct/>
        <w:topLinePunct w:val="0"/>
        <w:autoSpaceDE/>
        <w:autoSpaceDN/>
        <w:bidi w:val="0"/>
        <w:adjustRightInd w:val="0"/>
        <w:snapToGrid w:val="0"/>
        <w:spacing w:before="156" w:after="156" w:line="360" w:lineRule="auto"/>
        <w:jc w:val="right"/>
        <w:textAlignment w:val="auto"/>
        <w:rPr>
          <w:rFonts w:ascii="仿宋_GB2312" w:hAnsi="宋体" w:eastAsia="仿宋_GB2312"/>
          <w:sz w:val="24"/>
        </w:rPr>
      </w:pPr>
      <w:r>
        <w:rPr>
          <w:rFonts w:hint="eastAsia" w:ascii="仿宋_GB2312" w:hAnsi="宋体" w:eastAsia="仿宋_GB2312"/>
          <w:sz w:val="24"/>
        </w:rPr>
        <w:t xml:space="preserve">      【  】年【  】月【  】日</w:t>
      </w:r>
      <w:r>
        <w:rPr>
          <w:rFonts w:ascii="仿宋_GB2312" w:hAnsi="宋体" w:eastAsia="仿宋_GB2312"/>
          <w:sz w:val="24"/>
        </w:rPr>
        <w:br w:type="page"/>
      </w:r>
    </w:p>
    <w:p>
      <w:pPr>
        <w:pStyle w:val="3"/>
        <w:pageBreakBefore w:val="0"/>
        <w:widowControl w:val="0"/>
        <w:tabs>
          <w:tab w:val="left" w:pos="0"/>
        </w:tabs>
        <w:kinsoku/>
        <w:wordWrap/>
        <w:overflowPunct/>
        <w:topLinePunct w:val="0"/>
        <w:bidi w:val="0"/>
        <w:adjustRightInd w:val="0"/>
        <w:snapToGrid w:val="0"/>
        <w:spacing w:before="0" w:after="0" w:line="360" w:lineRule="auto"/>
        <w:jc w:val="left"/>
        <w:rPr>
          <w:rFonts w:ascii="仿宋_GB2312" w:hAnsi="宋体" w:eastAsia="仿宋_GB2312"/>
          <w:b w:val="0"/>
          <w:sz w:val="24"/>
        </w:rPr>
      </w:pPr>
      <w:bookmarkStart w:id="298" w:name="_Toc6658"/>
      <w:bookmarkStart w:id="299" w:name="_Toc28091924"/>
      <w:bookmarkStart w:id="300" w:name="_Toc8562"/>
      <w:bookmarkStart w:id="301" w:name="_Toc5179"/>
      <w:bookmarkStart w:id="302" w:name="_Toc97719089"/>
      <w:bookmarkStart w:id="303" w:name="_Toc9881"/>
      <w:r>
        <w:rPr>
          <w:rFonts w:hint="eastAsia" w:ascii="仿宋_GB2312" w:hAnsi="宋体" w:eastAsia="仿宋_GB2312"/>
          <w:b w:val="0"/>
          <w:sz w:val="24"/>
        </w:rPr>
        <w:t>附件3：理财产品理财资金运用划款指令（样本）</w:t>
      </w:r>
      <w:bookmarkEnd w:id="298"/>
      <w:bookmarkEnd w:id="299"/>
      <w:bookmarkEnd w:id="300"/>
      <w:bookmarkEnd w:id="301"/>
      <w:bookmarkEnd w:id="302"/>
      <w:bookmarkEnd w:id="303"/>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0"/>
        <w:rPr>
          <w:b/>
          <w:bCs/>
          <w:sz w:val="28"/>
          <w:szCs w:val="28"/>
        </w:rPr>
      </w:pPr>
      <w:bookmarkStart w:id="304" w:name="_Toc15440"/>
      <w:bookmarkStart w:id="305" w:name="_Toc13302"/>
      <w:bookmarkStart w:id="306" w:name="_Toc26105"/>
      <w:bookmarkStart w:id="307" w:name="_Toc31838"/>
      <w:r>
        <w:rPr>
          <w:rFonts w:hint="eastAsia"/>
          <w:b/>
          <w:bCs/>
          <w:sz w:val="28"/>
          <w:szCs w:val="28"/>
        </w:rPr>
        <w:t>理财产品理财资金运用划款指令</w:t>
      </w:r>
      <w:bookmarkEnd w:id="304"/>
      <w:bookmarkEnd w:id="305"/>
      <w:bookmarkEnd w:id="306"/>
      <w:bookmarkEnd w:id="307"/>
    </w:p>
    <w:p>
      <w:pPr>
        <w:keepNext w:val="0"/>
        <w:keepLines w:val="0"/>
        <w:pageBreakBefore w:val="0"/>
        <w:widowControl w:val="0"/>
        <w:kinsoku/>
        <w:wordWrap/>
        <w:overflowPunct/>
        <w:topLinePunct w:val="0"/>
        <w:bidi w:val="0"/>
        <w:adjustRightInd w:val="0"/>
        <w:snapToGrid w:val="0"/>
        <w:spacing w:line="240" w:lineRule="auto"/>
        <w:jc w:val="center"/>
        <w:textAlignment w:val="auto"/>
      </w:pPr>
      <w:r>
        <w:rPr>
          <w:rFonts w:hint="eastAsia"/>
        </w:rPr>
        <w:t xml:space="preserve">  </w:t>
      </w:r>
      <w:r>
        <w:rPr>
          <w:rFonts w:hint="eastAsia" w:ascii="仿宋_GB2312" w:hAnsi="宋体" w:eastAsia="仿宋_GB2312"/>
          <w:sz w:val="24"/>
        </w:rPr>
        <w:t xml:space="preserve">  年  月  日</w:t>
      </w:r>
    </w:p>
    <w:p>
      <w:pPr>
        <w:keepNext w:val="0"/>
        <w:keepLines w:val="0"/>
        <w:pageBreakBefore w:val="0"/>
        <w:widowControl w:val="0"/>
        <w:kinsoku/>
        <w:wordWrap/>
        <w:overflowPunct/>
        <w:topLinePunct w:val="0"/>
        <w:bidi w:val="0"/>
        <w:adjustRightInd w:val="0"/>
        <w:snapToGrid w:val="0"/>
        <w:spacing w:line="240" w:lineRule="auto"/>
        <w:textAlignment w:val="auto"/>
        <w:rPr>
          <w:rFonts w:ascii="仿宋_GB2312" w:hAnsi="宋体" w:eastAsia="仿宋_GB2312"/>
          <w:sz w:val="24"/>
        </w:rPr>
      </w:pPr>
      <w:r>
        <w:rPr>
          <w:rFonts w:hint="eastAsia" w:ascii="仿宋_GB2312" w:hAnsi="宋体" w:eastAsia="仿宋_GB2312"/>
          <w:sz w:val="24"/>
        </w:rPr>
        <w:t>编号：</w:t>
      </w:r>
    </w:p>
    <w:p>
      <w:pPr>
        <w:keepNext w:val="0"/>
        <w:keepLines w:val="0"/>
        <w:pageBreakBefore w:val="0"/>
        <w:widowControl w:val="0"/>
        <w:kinsoku/>
        <w:wordWrap/>
        <w:overflowPunct/>
        <w:topLinePunct w:val="0"/>
        <w:bidi w:val="0"/>
        <w:adjustRightInd w:val="0"/>
        <w:snapToGrid w:val="0"/>
        <w:spacing w:line="240" w:lineRule="auto"/>
        <w:textAlignment w:val="auto"/>
        <w:rPr>
          <w:rFonts w:ascii="仿宋_GB2312" w:hAnsi="宋体" w:eastAsia="仿宋_GB2312"/>
          <w:sz w:val="24"/>
        </w:rPr>
      </w:pPr>
      <w:r>
        <w:rPr>
          <w:rFonts w:hint="eastAsia" w:ascii="仿宋_GB2312" w:hAnsi="宋体" w:eastAsia="仿宋_GB2312"/>
          <w:sz w:val="24"/>
        </w:rPr>
        <w:t>付款方名称：</w:t>
      </w:r>
    </w:p>
    <w:p>
      <w:pPr>
        <w:keepNext w:val="0"/>
        <w:keepLines w:val="0"/>
        <w:pageBreakBefore w:val="0"/>
        <w:widowControl w:val="0"/>
        <w:kinsoku/>
        <w:wordWrap/>
        <w:overflowPunct/>
        <w:topLinePunct w:val="0"/>
        <w:bidi w:val="0"/>
        <w:adjustRightInd w:val="0"/>
        <w:snapToGrid w:val="0"/>
        <w:spacing w:line="240" w:lineRule="auto"/>
        <w:textAlignment w:val="auto"/>
      </w:pPr>
      <w:r>
        <w:rPr>
          <w:rFonts w:hint="eastAsia" w:ascii="仿宋_GB2312" w:hAnsi="宋体" w:eastAsia="仿宋_GB2312"/>
          <w:sz w:val="24"/>
        </w:rPr>
        <w:t>付款方账号：</w:t>
      </w:r>
      <w:r>
        <w:rPr>
          <w:rFonts w:hint="eastAsia"/>
        </w:rPr>
        <w:t xml:space="preserve">                                               </w:t>
      </w:r>
      <w:r>
        <w:rPr>
          <w:rFonts w:hint="eastAsia" w:ascii="仿宋_GB2312" w:hAnsi="宋体" w:eastAsia="仿宋_GB2312"/>
          <w:sz w:val="24"/>
        </w:rPr>
        <w:t>页数：</w:t>
      </w:r>
      <w:r>
        <w:rPr>
          <w:rFonts w:hint="eastAsia"/>
          <w:b/>
          <w:bCs/>
        </w:rPr>
        <w:t>第 页，共 页</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23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pPr>
              <w:spacing w:line="360" w:lineRule="auto"/>
            </w:pPr>
            <w:r>
              <w:rPr>
                <w:rFonts w:hint="eastAsia" w:ascii="仿宋_GB2312" w:hAnsi="宋体" w:eastAsia="仿宋_GB2312"/>
                <w:bCs/>
                <w:kern w:val="44"/>
                <w:sz w:val="24"/>
                <w:szCs w:val="44"/>
              </w:rPr>
              <w:t>请于    年  月  日    时前支付下列款项（共  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理财产品名称：</w:t>
            </w:r>
          </w:p>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金额大写：</w:t>
            </w:r>
          </w:p>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金额小写：</w:t>
            </w:r>
          </w:p>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收款方名称：</w:t>
            </w:r>
          </w:p>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收款账号：</w:t>
            </w:r>
          </w:p>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开户银行：</w:t>
            </w:r>
          </w:p>
          <w:p>
            <w:pPr>
              <w:spacing w:line="360" w:lineRule="auto"/>
            </w:pPr>
            <w:r>
              <w:rPr>
                <w:rFonts w:hint="eastAsia" w:ascii="仿宋_GB2312" w:hAnsi="宋体" w:eastAsia="仿宋_GB2312"/>
                <w:bCs/>
                <w:kern w:val="44"/>
                <w:sz w:val="24"/>
                <w:szCs w:val="44"/>
              </w:rPr>
              <w:t>对方银行电子联行号（非必填项）：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3"/>
          </w:tcPr>
          <w:p>
            <w:pPr>
              <w:spacing w:line="360" w:lineRule="auto"/>
              <w:rPr>
                <w:b/>
                <w:bCs/>
                <w:u w:val="single"/>
              </w:rPr>
            </w:pPr>
            <w:r>
              <w:rPr>
                <w:rFonts w:hint="eastAsia"/>
                <w:b/>
                <w:bCs/>
                <w:u w:val="single"/>
              </w:rPr>
              <w:t>资金用途（限</w:t>
            </w:r>
            <w:r>
              <w:rPr>
                <w:b/>
                <w:bCs/>
                <w:u w:val="single"/>
              </w:rPr>
              <w:t>15</w:t>
            </w:r>
            <w:r>
              <w:rPr>
                <w:rFonts w:hint="eastAsia"/>
                <w:b/>
                <w:bCs/>
                <w:u w:val="single"/>
              </w:rPr>
              <w:t>个字以内）</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22" w:type="dxa"/>
            <w:gridSpan w:val="3"/>
          </w:tcPr>
          <w:p>
            <w:pPr>
              <w:spacing w:line="360" w:lineRule="auto"/>
            </w:pPr>
            <w:r>
              <w:rPr>
                <w:rFonts w:hint="eastAsia"/>
                <w:b/>
                <w:bCs/>
                <w:u w:val="single"/>
              </w:rPr>
              <w:t>委托人备注</w:t>
            </w:r>
            <w:r>
              <w:rPr>
                <w:rFonts w:hint="eastAsia"/>
              </w:rPr>
              <w:t>：</w:t>
            </w:r>
            <w:r>
              <w:rPr>
                <w:rFonts w:hint="eastAsia" w:ascii="仿宋_GB2312" w:hAnsi="宋体" w:eastAsia="仿宋_GB2312"/>
                <w:bCs/>
                <w:kern w:val="44"/>
                <w:sz w:val="24"/>
                <w:szCs w:val="44"/>
              </w:rPr>
              <w:t>附件____张□加急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4068" w:type="dxa"/>
          </w:tcPr>
          <w:p>
            <w:pPr>
              <w:spacing w:line="360" w:lineRule="auto"/>
              <w:rPr>
                <w:rFonts w:ascii="仿宋_GB2312" w:hAnsi="宋体" w:eastAsia="仿宋_GB2312"/>
                <w:bCs/>
                <w:kern w:val="44"/>
                <w:sz w:val="24"/>
                <w:szCs w:val="44"/>
              </w:rPr>
            </w:pPr>
            <w:r>
              <w:rPr>
                <w:rFonts w:hint="eastAsia" w:ascii="仿宋_GB2312" w:hAnsi="宋体" w:eastAsia="仿宋_GB2312"/>
                <w:bCs/>
                <w:kern w:val="44"/>
                <w:sz w:val="24"/>
                <w:szCs w:val="44"/>
              </w:rPr>
              <w:t>预留印鉴：</w:t>
            </w:r>
          </w:p>
          <w:p>
            <w:pPr>
              <w:keepNext/>
              <w:keepLines/>
              <w:spacing w:before="260" w:after="260" w:line="360" w:lineRule="auto"/>
            </w:pPr>
          </w:p>
          <w:p>
            <w:pPr>
              <w:keepNext/>
              <w:keepLines/>
              <w:spacing w:before="260" w:after="260" w:line="360" w:lineRule="auto"/>
            </w:pPr>
          </w:p>
          <w:p>
            <w:pPr>
              <w:keepNext/>
              <w:keepLines/>
              <w:spacing w:before="260" w:after="260" w:line="360" w:lineRule="auto"/>
            </w:pPr>
          </w:p>
        </w:tc>
        <w:tc>
          <w:tcPr>
            <w:tcW w:w="2340" w:type="dxa"/>
          </w:tcPr>
          <w:p>
            <w:pPr>
              <w:spacing w:before="100" w:after="100" w:line="400" w:lineRule="exact"/>
              <w:rPr>
                <w:rFonts w:ascii="仿宋_GB2312" w:hAnsi="宋体" w:eastAsia="仿宋_GB2312"/>
                <w:sz w:val="24"/>
              </w:rPr>
            </w:pPr>
            <w:r>
              <w:rPr>
                <w:rFonts w:hint="eastAsia" w:ascii="仿宋_GB2312" w:hAnsi="宋体" w:eastAsia="仿宋_GB2312"/>
                <w:sz w:val="24"/>
              </w:rPr>
              <w:t>经办（签字或盖章）：</w:t>
            </w:r>
          </w:p>
          <w:p>
            <w:pPr>
              <w:keepNext/>
              <w:keepLines/>
              <w:spacing w:before="260" w:after="260" w:line="360" w:lineRule="auto"/>
            </w:pPr>
          </w:p>
          <w:p>
            <w:pPr>
              <w:spacing w:line="360" w:lineRule="auto"/>
            </w:pPr>
            <w:r>
              <w:rPr>
                <w:rFonts w:hint="eastAsia" w:ascii="仿宋_GB2312" w:hAnsi="宋体" w:eastAsia="仿宋_GB2312"/>
                <w:sz w:val="24"/>
              </w:rPr>
              <w:t>复核（签字或盖章）：</w:t>
            </w:r>
          </w:p>
        </w:tc>
        <w:tc>
          <w:tcPr>
            <w:tcW w:w="2114" w:type="dxa"/>
          </w:tcPr>
          <w:p>
            <w:pPr>
              <w:spacing w:line="360" w:lineRule="auto"/>
              <w:rPr>
                <w:b/>
                <w:bCs/>
                <w:sz w:val="32"/>
              </w:rPr>
            </w:pPr>
            <w:r>
              <w:rPr>
                <w:rFonts w:hint="eastAsia" w:ascii="仿宋_GB2312" w:hAnsi="宋体" w:eastAsia="仿宋_GB2312"/>
                <w:sz w:val="24"/>
              </w:rPr>
              <w:t>审批（签字或盖章）：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522" w:type="dxa"/>
            <w:gridSpan w:val="3"/>
          </w:tcPr>
          <w:p>
            <w:pPr>
              <w:spacing w:line="360" w:lineRule="auto"/>
              <w:rPr>
                <w:rFonts w:ascii="仿宋_GB2312" w:hAnsi="宋体" w:eastAsia="仿宋_GB2312"/>
                <w:sz w:val="24"/>
              </w:rPr>
            </w:pPr>
            <w:r>
              <w:rPr>
                <w:rFonts w:hint="eastAsia" w:ascii="仿宋_GB2312" w:hAnsi="宋体" w:eastAsia="仿宋_GB2312"/>
                <w:sz w:val="24"/>
              </w:rPr>
              <w:t>托管银行审核：</w:t>
            </w:r>
          </w:p>
          <w:p>
            <w:pPr>
              <w:keepNext/>
              <w:keepLines/>
              <w:spacing w:before="260" w:after="260" w:line="360" w:lineRule="auto"/>
            </w:pPr>
          </w:p>
        </w:tc>
      </w:tr>
    </w:tbl>
    <w:p>
      <w:pPr>
        <w:widowControl/>
        <w:jc w:val="left"/>
        <w:rPr>
          <w:rFonts w:ascii="仿宋_GB2312" w:hAnsi="宋体" w:eastAsia="仿宋_GB2312"/>
          <w:b/>
          <w:bCs/>
          <w:kern w:val="0"/>
          <w:sz w:val="24"/>
        </w:rPr>
      </w:pPr>
      <w:r>
        <w:rPr>
          <w:rFonts w:ascii="仿宋_GB2312" w:hAnsi="宋体" w:eastAsia="仿宋_GB2312"/>
          <w:b/>
          <w:bCs/>
          <w:kern w:val="0"/>
          <w:sz w:val="24"/>
        </w:rPr>
        <w:br w:type="page"/>
      </w:r>
    </w:p>
    <w:p>
      <w:pPr>
        <w:pStyle w:val="3"/>
        <w:tabs>
          <w:tab w:val="left" w:pos="0"/>
        </w:tabs>
        <w:spacing w:before="312" w:beforeLines="100" w:after="312" w:afterLines="100" w:line="240" w:lineRule="auto"/>
        <w:jc w:val="left"/>
        <w:rPr>
          <w:rFonts w:ascii="仿宋_GB2312" w:hAnsi="宋体" w:eastAsia="仿宋_GB2312"/>
          <w:kern w:val="0"/>
          <w:sz w:val="24"/>
        </w:rPr>
      </w:pPr>
      <w:bookmarkStart w:id="308" w:name="_Toc18470"/>
      <w:bookmarkStart w:id="309" w:name="_Toc14139"/>
      <w:bookmarkStart w:id="310" w:name="_Toc26134"/>
      <w:bookmarkStart w:id="311" w:name="_Toc28091925"/>
      <w:bookmarkStart w:id="312" w:name="_Toc4350"/>
      <w:bookmarkStart w:id="313" w:name="_Toc97719090"/>
      <w:r>
        <w:rPr>
          <w:rFonts w:hint="eastAsia" w:ascii="仿宋_GB2312" w:hAnsi="宋体" w:eastAsia="仿宋_GB2312"/>
          <w:b w:val="0"/>
          <w:sz w:val="24"/>
        </w:rPr>
        <w:t>附件4</w:t>
      </w:r>
      <w:r>
        <w:rPr>
          <w:rFonts w:ascii="仿宋_GB2312" w:hAnsi="宋体" w:eastAsia="仿宋_GB2312"/>
          <w:b w:val="0"/>
          <w:sz w:val="24"/>
        </w:rPr>
        <w:t>-1</w:t>
      </w:r>
      <w:r>
        <w:rPr>
          <w:rFonts w:hint="eastAsia" w:ascii="仿宋_GB2312" w:hAnsi="宋体" w:eastAsia="仿宋_GB2312"/>
          <w:b w:val="0"/>
          <w:sz w:val="24"/>
        </w:rPr>
        <w:t>：理财</w:t>
      </w:r>
      <w:r>
        <w:rPr>
          <w:rFonts w:ascii="仿宋_GB2312" w:hAnsi="宋体" w:eastAsia="仿宋_GB2312"/>
          <w:b w:val="0"/>
          <w:sz w:val="24"/>
        </w:rPr>
        <w:t>产品</w:t>
      </w:r>
      <w:r>
        <w:rPr>
          <w:rFonts w:hint="eastAsia" w:ascii="仿宋_GB2312" w:hAnsi="宋体" w:eastAsia="仿宋_GB2312"/>
          <w:b w:val="0"/>
          <w:sz w:val="24"/>
        </w:rPr>
        <w:t>管理人（渤银理财有限责任公司）业务联系名册暨有关业务往来印章和具体操作人员授权书</w:t>
      </w:r>
      <w:bookmarkEnd w:id="308"/>
      <w:bookmarkEnd w:id="309"/>
      <w:bookmarkEnd w:id="310"/>
    </w:p>
    <w:p>
      <w:pPr>
        <w:spacing w:before="100" w:after="100"/>
        <w:jc w:val="center"/>
        <w:rPr>
          <w:rFonts w:ascii="仿宋_GB2312" w:hAnsi="宋体" w:eastAsia="仿宋_GB2312"/>
          <w:sz w:val="24"/>
        </w:rPr>
      </w:pPr>
      <w:r>
        <w:rPr>
          <w:rFonts w:hint="eastAsia" w:ascii="仿宋_GB2312" w:hAnsi="宋体" w:eastAsia="仿宋_GB2312"/>
          <w:b/>
          <w:bCs/>
          <w:kern w:val="0"/>
          <w:sz w:val="28"/>
          <w:szCs w:val="28"/>
        </w:rPr>
        <w:t>理财</w:t>
      </w:r>
      <w:r>
        <w:rPr>
          <w:rFonts w:ascii="仿宋_GB2312" w:hAnsi="宋体" w:eastAsia="仿宋_GB2312"/>
          <w:b/>
          <w:bCs/>
          <w:kern w:val="0"/>
          <w:sz w:val="28"/>
          <w:szCs w:val="28"/>
        </w:rPr>
        <w:t>产品</w:t>
      </w:r>
      <w:r>
        <w:rPr>
          <w:rFonts w:hint="eastAsia" w:ascii="仿宋_GB2312" w:hAnsi="宋体" w:eastAsia="仿宋_GB2312"/>
          <w:b/>
          <w:bCs/>
          <w:kern w:val="0"/>
          <w:sz w:val="28"/>
          <w:szCs w:val="28"/>
        </w:rPr>
        <w:t>管理人业务联系名册暨有关业务往来印章和具体操作人员授权书</w:t>
      </w:r>
    </w:p>
    <w:p>
      <w:pPr>
        <w:spacing w:line="360" w:lineRule="auto"/>
        <w:rPr>
          <w:rFonts w:ascii="仿宋_GB2312" w:hAnsi="宋体" w:eastAsia="仿宋_GB2312"/>
          <w:sz w:val="24"/>
        </w:rPr>
      </w:pPr>
      <w:r>
        <w:rPr>
          <w:rFonts w:hint="eastAsia" w:ascii="仿宋_GB2312" w:hAnsi="宋体" w:eastAsia="仿宋_GB2312"/>
          <w:sz w:val="24"/>
        </w:rPr>
        <w:t>以下授权的期限同托管协议有效期限。</w:t>
      </w:r>
    </w:p>
    <w:tbl>
      <w:tblPr>
        <w:tblStyle w:val="22"/>
        <w:tblpPr w:leftFromText="180" w:rightFromText="180" w:vertAnchor="text" w:horzAnchor="page" w:tblpX="1097" w:tblpY="777"/>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591"/>
        <w:gridCol w:w="1587"/>
        <w:gridCol w:w="1489"/>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76" w:type="dxa"/>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岗    位</w:t>
            </w:r>
          </w:p>
        </w:tc>
        <w:tc>
          <w:tcPr>
            <w:tcW w:w="1591" w:type="dxa"/>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587" w:type="dxa"/>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1489" w:type="dxa"/>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手    机</w:t>
            </w:r>
          </w:p>
        </w:tc>
        <w:tc>
          <w:tcPr>
            <w:tcW w:w="2875" w:type="dxa"/>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划款经办人</w:t>
            </w: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划款复核人</w:t>
            </w: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976"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划款审核签发人</w:t>
            </w:r>
          </w:p>
        </w:tc>
        <w:tc>
          <w:tcPr>
            <w:tcW w:w="1591" w:type="dxa"/>
            <w:vAlign w:val="center"/>
          </w:tcPr>
          <w:p>
            <w:pPr>
              <w:rPr>
                <w:rFonts w:hint="eastAsia" w:ascii="仿宋_GB2312" w:hAnsi="仿宋_GB2312" w:eastAsia="仿宋_GB2312" w:cs="仿宋_GB2312"/>
                <w:szCs w:val="21"/>
                <w:lang w:eastAsia="zh-CN"/>
              </w:rPr>
            </w:pPr>
          </w:p>
        </w:tc>
        <w:tc>
          <w:tcPr>
            <w:tcW w:w="1587" w:type="dxa"/>
            <w:vAlign w:val="center"/>
          </w:tcPr>
          <w:p>
            <w:pPr>
              <w:keepNext w:val="0"/>
              <w:keepLines w:val="0"/>
              <w:suppressLineNumbers w:val="0"/>
              <w:spacing w:before="0" w:beforeAutospacing="0" w:after="0" w:afterAutospacing="0" w:line="360" w:lineRule="auto"/>
              <w:ind w:left="0" w:leftChars="0" w:right="0" w:rightChars="0"/>
              <w:rPr>
                <w:rFonts w:ascii="仿宋_GB2312" w:hAnsi="仿宋_GB2312" w:eastAsia="仿宋_GB2312" w:cs="仿宋_GB2312"/>
                <w:szCs w:val="21"/>
              </w:rPr>
            </w:pPr>
          </w:p>
        </w:tc>
        <w:tc>
          <w:tcPr>
            <w:tcW w:w="1489" w:type="dxa"/>
            <w:vAlign w:val="center"/>
          </w:tcPr>
          <w:p>
            <w:pPr>
              <w:keepNext w:val="0"/>
              <w:keepLines w:val="0"/>
              <w:suppressLineNumbers w:val="0"/>
              <w:spacing w:before="0" w:beforeAutospacing="0" w:after="0" w:afterAutospacing="0"/>
              <w:ind w:left="0" w:leftChars="0" w:right="0" w:rightChars="0"/>
              <w:rPr>
                <w:rFonts w:ascii="仿宋_GB2312" w:hAnsi="仿宋_GB2312" w:eastAsia="仿宋_GB2312" w:cs="仿宋_GB2312"/>
                <w:szCs w:val="21"/>
              </w:rPr>
            </w:pPr>
          </w:p>
        </w:tc>
        <w:tc>
          <w:tcPr>
            <w:tcW w:w="2875" w:type="dxa"/>
            <w:vAlign w:val="center"/>
          </w:tcPr>
          <w:p>
            <w:pPr>
              <w:keepNext w:val="0"/>
              <w:keepLines w:val="0"/>
              <w:suppressLineNumbers w:val="0"/>
              <w:spacing w:before="0" w:beforeAutospacing="0" w:after="0" w:afterAutospacing="0" w:line="360" w:lineRule="auto"/>
              <w:ind w:left="0" w:leftChars="0" w:right="0" w:rightChars="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976" w:type="dxa"/>
            <w:vMerge w:val="continue"/>
            <w:vAlign w:val="center"/>
          </w:tcPr>
          <w:p>
            <w:pPr>
              <w:rPr>
                <w:rFonts w:ascii="仿宋_GB2312" w:hAnsi="仿宋_GB2312" w:eastAsia="仿宋_GB2312" w:cs="仿宋_GB2312"/>
                <w:szCs w:val="21"/>
              </w:rPr>
            </w:pPr>
          </w:p>
        </w:tc>
        <w:tc>
          <w:tcPr>
            <w:tcW w:w="1591" w:type="dxa"/>
            <w:vAlign w:val="center"/>
          </w:tcPr>
          <w:p>
            <w:pPr>
              <w:rPr>
                <w:rFonts w:ascii="仿宋_GB2312" w:hAnsi="仿宋_GB2312" w:eastAsia="仿宋_GB2312" w:cs="仿宋_GB2312"/>
                <w:szCs w:val="21"/>
              </w:rPr>
            </w:pPr>
          </w:p>
        </w:tc>
        <w:tc>
          <w:tcPr>
            <w:tcW w:w="1587" w:type="dxa"/>
            <w:vAlign w:val="center"/>
          </w:tcPr>
          <w:p>
            <w:pPr>
              <w:rPr>
                <w:rFonts w:ascii="仿宋_GB2312" w:hAnsi="仿宋_GB2312" w:eastAsia="仿宋_GB2312" w:cs="仿宋_GB2312"/>
                <w:szCs w:val="21"/>
              </w:rPr>
            </w:pPr>
          </w:p>
        </w:tc>
        <w:tc>
          <w:tcPr>
            <w:tcW w:w="1489" w:type="dxa"/>
            <w:vAlign w:val="center"/>
          </w:tcPr>
          <w:p>
            <w:pPr>
              <w:rPr>
                <w:rFonts w:ascii="仿宋_GB2312" w:hAnsi="仿宋_GB2312" w:eastAsia="仿宋_GB2312" w:cs="仿宋_GB2312"/>
                <w:szCs w:val="21"/>
              </w:rPr>
            </w:pPr>
          </w:p>
        </w:tc>
        <w:tc>
          <w:tcPr>
            <w:tcW w:w="2875"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restart"/>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估值核算</w:t>
            </w: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976" w:type="dxa"/>
            <w:vMerge w:val="continue"/>
            <w:vAlign w:val="center"/>
          </w:tcPr>
          <w:p>
            <w:pPr>
              <w:spacing w:line="360" w:lineRule="auto"/>
              <w:rPr>
                <w:rFonts w:ascii="仿宋_GB2312" w:hAnsi="仿宋_GB2312" w:eastAsia="仿宋_GB2312" w:cs="仿宋_GB2312"/>
                <w:szCs w:val="21"/>
              </w:rPr>
            </w:pP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1976" w:type="dxa"/>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业务联系协调人</w:t>
            </w: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976" w:type="dxa"/>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风险提示函接收人</w:t>
            </w:r>
          </w:p>
        </w:tc>
        <w:tc>
          <w:tcPr>
            <w:tcW w:w="1591" w:type="dxa"/>
            <w:vAlign w:val="center"/>
          </w:tcPr>
          <w:p>
            <w:pPr>
              <w:spacing w:line="360" w:lineRule="auto"/>
              <w:rPr>
                <w:rFonts w:ascii="仿宋_GB2312" w:hAnsi="仿宋_GB2312" w:eastAsia="仿宋_GB2312" w:cs="仿宋_GB2312"/>
                <w:szCs w:val="21"/>
              </w:rPr>
            </w:pPr>
          </w:p>
        </w:tc>
        <w:tc>
          <w:tcPr>
            <w:tcW w:w="1587" w:type="dxa"/>
            <w:vAlign w:val="center"/>
          </w:tcPr>
          <w:p>
            <w:pPr>
              <w:spacing w:line="360" w:lineRule="auto"/>
              <w:rPr>
                <w:rFonts w:ascii="仿宋_GB2312" w:hAnsi="仿宋_GB2312" w:eastAsia="仿宋_GB2312" w:cs="仿宋_GB2312"/>
                <w:szCs w:val="21"/>
              </w:rPr>
            </w:pPr>
          </w:p>
        </w:tc>
        <w:tc>
          <w:tcPr>
            <w:tcW w:w="1489" w:type="dxa"/>
            <w:vAlign w:val="center"/>
          </w:tcPr>
          <w:p>
            <w:pPr>
              <w:spacing w:line="360" w:lineRule="auto"/>
              <w:rPr>
                <w:rFonts w:ascii="仿宋_GB2312" w:hAnsi="仿宋_GB2312" w:eastAsia="仿宋_GB2312" w:cs="仿宋_GB2312"/>
                <w:szCs w:val="21"/>
              </w:rPr>
            </w:pPr>
          </w:p>
        </w:tc>
        <w:tc>
          <w:tcPr>
            <w:tcW w:w="2875" w:type="dxa"/>
            <w:vAlign w:val="center"/>
          </w:tcPr>
          <w:p>
            <w:pPr>
              <w:spacing w:line="360" w:lineRule="auto"/>
              <w:rPr>
                <w:rFonts w:ascii="仿宋_GB2312" w:hAnsi="仿宋_GB2312" w:eastAsia="仿宋_GB2312" w:cs="仿宋_GB2312"/>
                <w:szCs w:val="21"/>
              </w:rPr>
            </w:pPr>
          </w:p>
        </w:tc>
      </w:tr>
    </w:tbl>
    <w:p>
      <w:pPr>
        <w:spacing w:line="360" w:lineRule="auto"/>
        <w:rPr>
          <w:rFonts w:ascii="仿宋_GB2312" w:hAnsi="宋体" w:eastAsia="仿宋_GB2312"/>
          <w:sz w:val="24"/>
        </w:rPr>
      </w:pPr>
      <w:r>
        <w:rPr>
          <w:rFonts w:hint="eastAsia" w:ascii="仿宋_GB2312" w:hAnsi="宋体" w:eastAsia="仿宋_GB2312"/>
          <w:sz w:val="24"/>
        </w:rPr>
        <w:t>预留有效业务往来用章（样本）：</w:t>
      </w:r>
    </w:p>
    <w:p>
      <w:pPr>
        <w:spacing w:line="360" w:lineRule="auto"/>
        <w:rPr>
          <w:rFonts w:ascii="仿宋_GB2312" w:hAnsi="宋体" w:eastAsia="仿宋_GB2312"/>
          <w:bCs/>
          <w:sz w:val="24"/>
          <w:lang w:val="de-DE"/>
        </w:rPr>
      </w:pPr>
      <w:r>
        <w:rPr>
          <w:rFonts w:hint="eastAsia" w:ascii="仿宋_GB2312" w:hAnsi="宋体" w:eastAsia="仿宋_GB2312"/>
          <w:sz w:val="24"/>
        </w:rPr>
        <w:t>传真电话：</w:t>
      </w:r>
      <w:bookmarkEnd w:id="311"/>
      <w:bookmarkEnd w:id="312"/>
      <w:bookmarkEnd w:id="313"/>
    </w:p>
    <w:p>
      <w:pPr>
        <w:spacing w:before="312" w:beforeLines="100" w:after="312" w:afterLines="100" w:line="360" w:lineRule="auto"/>
        <w:jc w:val="left"/>
        <w:rPr>
          <w:rFonts w:hint="eastAsia" w:ascii="仿宋_GB2312" w:hAnsi="宋体" w:eastAsia="仿宋_GB2312"/>
          <w:b w:val="0"/>
          <w:sz w:val="24"/>
        </w:rPr>
      </w:pPr>
      <w:bookmarkStart w:id="314" w:name="_Toc28091926"/>
      <w:bookmarkStart w:id="315" w:name="_Toc97719091"/>
      <w:bookmarkStart w:id="316" w:name="_Toc26725"/>
      <w:r>
        <w:rPr>
          <w:rFonts w:hint="eastAsia" w:ascii="仿宋_GB2312" w:hAnsi="宋体" w:eastAsia="仿宋_GB2312"/>
          <w:b w:val="0"/>
          <w:sz w:val="24"/>
        </w:rPr>
        <w:br w:type="page"/>
      </w:r>
    </w:p>
    <w:p>
      <w:pPr>
        <w:pStyle w:val="3"/>
        <w:tabs>
          <w:tab w:val="left" w:pos="0"/>
        </w:tabs>
        <w:spacing w:before="312" w:beforeLines="100" w:after="312" w:afterLines="100" w:line="360" w:lineRule="auto"/>
        <w:jc w:val="left"/>
        <w:rPr>
          <w:rFonts w:ascii="仿宋_GB2312" w:hAnsi="宋体" w:eastAsia="仿宋_GB2312"/>
          <w:b w:val="0"/>
          <w:sz w:val="24"/>
        </w:rPr>
      </w:pPr>
      <w:bookmarkStart w:id="317" w:name="_Toc25566"/>
      <w:bookmarkStart w:id="318" w:name="_Toc8438"/>
      <w:bookmarkStart w:id="319" w:name="_Toc4527"/>
      <w:r>
        <w:rPr>
          <w:rFonts w:hint="eastAsia" w:ascii="仿宋_GB2312" w:hAnsi="宋体" w:eastAsia="仿宋_GB2312"/>
          <w:b w:val="0"/>
          <w:sz w:val="24"/>
        </w:rPr>
        <w:t>附件4</w:t>
      </w:r>
      <w:r>
        <w:rPr>
          <w:rFonts w:ascii="仿宋_GB2312" w:hAnsi="宋体" w:eastAsia="仿宋_GB2312"/>
          <w:b w:val="0"/>
          <w:sz w:val="24"/>
        </w:rPr>
        <w:t>-2</w:t>
      </w:r>
      <w:r>
        <w:rPr>
          <w:rFonts w:hint="eastAsia" w:ascii="仿宋_GB2312" w:hAnsi="宋体" w:eastAsia="仿宋_GB2312"/>
          <w:b w:val="0"/>
          <w:sz w:val="24"/>
        </w:rPr>
        <w:t>：托管人业务联系名册</w:t>
      </w:r>
      <w:bookmarkEnd w:id="314"/>
      <w:bookmarkEnd w:id="315"/>
      <w:bookmarkEnd w:id="316"/>
      <w:bookmarkEnd w:id="317"/>
      <w:bookmarkEnd w:id="318"/>
      <w:bookmarkEnd w:id="319"/>
    </w:p>
    <w:p>
      <w:pPr>
        <w:rPr>
          <w:rFonts w:ascii="仿宋_GB2312" w:hAnsi="宋体" w:eastAsia="仿宋_GB2312"/>
          <w:sz w:val="24"/>
        </w:rPr>
      </w:pPr>
    </w:p>
    <w:tbl>
      <w:tblPr>
        <w:tblStyle w:val="22"/>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338"/>
        <w:gridCol w:w="1532"/>
        <w:gridCol w:w="132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9" w:type="dxa"/>
            <w:gridSpan w:val="5"/>
            <w:noWrap w:val="0"/>
            <w:vAlign w:val="center"/>
          </w:tcPr>
          <w:p>
            <w:pPr>
              <w:adjustRightInd w:val="0"/>
              <w:snapToGrid w:val="0"/>
              <w:jc w:val="center"/>
              <w:rPr>
                <w:rFonts w:hint="eastAsia" w:ascii="宋体" w:hAnsi="宋体" w:cs="宋体"/>
                <w:sz w:val="18"/>
                <w:szCs w:val="18"/>
              </w:rPr>
            </w:pPr>
            <w:r>
              <w:rPr>
                <w:rFonts w:hint="eastAsia" w:ascii="仿宋_GB2312" w:hAnsi="宋体" w:eastAsia="仿宋_GB2312"/>
                <w:b/>
                <w:sz w:val="24"/>
              </w:rPr>
              <w:t>中信银行股份有限公司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8"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岗位</w:t>
            </w:r>
          </w:p>
        </w:tc>
        <w:tc>
          <w:tcPr>
            <w:tcW w:w="1338"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姓名</w:t>
            </w:r>
          </w:p>
        </w:tc>
        <w:tc>
          <w:tcPr>
            <w:tcW w:w="1532"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联系电话</w:t>
            </w:r>
          </w:p>
        </w:tc>
        <w:tc>
          <w:tcPr>
            <w:tcW w:w="1320"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传真</w:t>
            </w:r>
          </w:p>
        </w:tc>
        <w:tc>
          <w:tcPr>
            <w:tcW w:w="3151"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58"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业务联系协调人</w:t>
            </w:r>
          </w:p>
        </w:tc>
        <w:tc>
          <w:tcPr>
            <w:tcW w:w="1338" w:type="dxa"/>
            <w:noWrap w:val="0"/>
            <w:vAlign w:val="center"/>
          </w:tcPr>
          <w:p>
            <w:pPr>
              <w:adjustRightInd w:val="0"/>
              <w:snapToGrid w:val="0"/>
              <w:jc w:val="center"/>
              <w:rPr>
                <w:rFonts w:hint="eastAsia" w:ascii="宋体" w:hAnsi="宋体" w:eastAsia="宋体" w:cs="宋体"/>
                <w:sz w:val="18"/>
                <w:szCs w:val="18"/>
                <w:lang w:eastAsia="zh-CN"/>
              </w:rPr>
            </w:pPr>
          </w:p>
        </w:tc>
        <w:tc>
          <w:tcPr>
            <w:tcW w:w="1532" w:type="dxa"/>
            <w:noWrap w:val="0"/>
            <w:vAlign w:val="center"/>
          </w:tcPr>
          <w:p>
            <w:pPr>
              <w:adjustRightInd w:val="0"/>
              <w:snapToGrid w:val="0"/>
              <w:jc w:val="center"/>
              <w:rPr>
                <w:rFonts w:hint="default" w:ascii="宋体" w:hAnsi="宋体" w:eastAsia="宋体" w:cs="宋体"/>
                <w:sz w:val="18"/>
                <w:szCs w:val="18"/>
                <w:lang w:val="en-US" w:eastAsia="zh-CN"/>
              </w:rPr>
            </w:pPr>
          </w:p>
        </w:tc>
        <w:tc>
          <w:tcPr>
            <w:tcW w:w="1320" w:type="dxa"/>
            <w:noWrap w:val="0"/>
            <w:vAlign w:val="center"/>
          </w:tcPr>
          <w:p>
            <w:pPr>
              <w:adjustRightInd w:val="0"/>
              <w:snapToGrid w:val="0"/>
              <w:jc w:val="center"/>
              <w:rPr>
                <w:rFonts w:ascii="宋体" w:hAnsi="宋体" w:cs="宋体"/>
                <w:sz w:val="18"/>
                <w:szCs w:val="18"/>
              </w:rPr>
            </w:pPr>
          </w:p>
        </w:tc>
        <w:tc>
          <w:tcPr>
            <w:tcW w:w="3151" w:type="dxa"/>
            <w:noWrap w:val="0"/>
            <w:vAlign w:val="center"/>
          </w:tcPr>
          <w:p>
            <w:pPr>
              <w:adjustRightInd w:val="0"/>
              <w:snapToGrid w:val="0"/>
              <w:jc w:val="center"/>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restart"/>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划款指令接收及经办人</w:t>
            </w:r>
          </w:p>
        </w:tc>
        <w:tc>
          <w:tcPr>
            <w:tcW w:w="1338" w:type="dxa"/>
            <w:noWrap w:val="0"/>
            <w:vAlign w:val="center"/>
          </w:tcPr>
          <w:p>
            <w:pPr>
              <w:adjustRightInd w:val="0"/>
              <w:snapToGrid w:val="0"/>
              <w:jc w:val="center"/>
              <w:rPr>
                <w:rFonts w:ascii="宋体" w:hAnsi="宋体" w:cs="宋体"/>
                <w:sz w:val="18"/>
                <w:szCs w:val="18"/>
              </w:rPr>
            </w:pPr>
          </w:p>
        </w:tc>
        <w:tc>
          <w:tcPr>
            <w:tcW w:w="1532" w:type="dxa"/>
            <w:noWrap w:val="0"/>
            <w:vAlign w:val="center"/>
          </w:tcPr>
          <w:p>
            <w:pPr>
              <w:adjustRightInd w:val="0"/>
              <w:snapToGrid w:val="0"/>
              <w:jc w:val="center"/>
              <w:rPr>
                <w:rFonts w:hint="default" w:ascii="宋体" w:hAnsi="宋体" w:eastAsia="宋体" w:cs="宋体"/>
                <w:sz w:val="18"/>
                <w:szCs w:val="18"/>
                <w:lang w:val="en-US" w:eastAsia="zh-CN"/>
              </w:rPr>
            </w:pPr>
          </w:p>
        </w:tc>
        <w:tc>
          <w:tcPr>
            <w:tcW w:w="1320" w:type="dxa"/>
            <w:noWrap w:val="0"/>
            <w:vAlign w:val="center"/>
          </w:tcPr>
          <w:p>
            <w:pPr>
              <w:adjustRightInd w:val="0"/>
              <w:snapToGrid w:val="0"/>
              <w:ind w:left="0" w:leftChars="0" w:firstLine="0" w:firstLineChars="0"/>
              <w:jc w:val="both"/>
              <w:rPr>
                <w:rFonts w:ascii="宋体" w:hAnsi="宋体" w:cs="宋体"/>
                <w:sz w:val="18"/>
                <w:szCs w:val="18"/>
              </w:rPr>
            </w:pPr>
          </w:p>
        </w:tc>
        <w:tc>
          <w:tcPr>
            <w:tcW w:w="3151" w:type="dxa"/>
            <w:noWrap w:val="0"/>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adjustRightInd w:val="0"/>
              <w:snapToGrid w:val="0"/>
              <w:jc w:val="center"/>
              <w:rPr>
                <w:rFonts w:ascii="宋体" w:hAnsi="宋体" w:cs="宋体"/>
                <w:sz w:val="18"/>
                <w:szCs w:val="18"/>
              </w:rPr>
            </w:pPr>
          </w:p>
        </w:tc>
        <w:tc>
          <w:tcPr>
            <w:tcW w:w="1338" w:type="dxa"/>
            <w:noWrap w:val="0"/>
            <w:vAlign w:val="center"/>
          </w:tcPr>
          <w:p>
            <w:pPr>
              <w:widowControl/>
              <w:ind w:firstLine="0" w:firstLineChars="0"/>
              <w:jc w:val="center"/>
              <w:textAlignment w:val="center"/>
              <w:rPr>
                <w:rFonts w:hint="eastAsia" w:ascii="宋体" w:hAnsi="宋体" w:eastAsia="宋体" w:cs="宋体"/>
                <w:color w:val="000000"/>
                <w:kern w:val="0"/>
                <w:sz w:val="18"/>
                <w:szCs w:val="18"/>
                <w:lang w:val="en-US" w:eastAsia="zh-CN" w:bidi="ar"/>
              </w:rPr>
            </w:pPr>
          </w:p>
        </w:tc>
        <w:tc>
          <w:tcPr>
            <w:tcW w:w="1532" w:type="dxa"/>
            <w:noWrap w:val="0"/>
            <w:vAlign w:val="center"/>
          </w:tcPr>
          <w:p>
            <w:pPr>
              <w:widowControl/>
              <w:ind w:firstLine="180" w:firstLineChars="100"/>
              <w:jc w:val="both"/>
              <w:textAlignment w:val="center"/>
              <w:rPr>
                <w:rFonts w:hint="default" w:ascii="宋体" w:hAnsi="宋体" w:eastAsia="宋体" w:cs="宋体"/>
                <w:color w:val="000000"/>
                <w:kern w:val="0"/>
                <w:sz w:val="18"/>
                <w:szCs w:val="18"/>
                <w:lang w:val="en-US" w:eastAsia="zh-CN" w:bidi="ar"/>
              </w:rPr>
            </w:pPr>
          </w:p>
        </w:tc>
        <w:tc>
          <w:tcPr>
            <w:tcW w:w="1320" w:type="dxa"/>
            <w:noWrap w:val="0"/>
            <w:vAlign w:val="center"/>
          </w:tcPr>
          <w:p>
            <w:pPr>
              <w:adjustRightInd w:val="0"/>
              <w:snapToGrid w:val="0"/>
              <w:ind w:firstLine="0" w:firstLineChars="0"/>
              <w:jc w:val="center"/>
              <w:rPr>
                <w:rFonts w:hint="eastAsia" w:ascii="宋体" w:hAnsi="宋体" w:eastAsia="宋体" w:cs="宋体"/>
                <w:kern w:val="2"/>
                <w:sz w:val="18"/>
                <w:szCs w:val="18"/>
                <w:lang w:val="en-US" w:eastAsia="zh-CN" w:bidi="ar-SA"/>
              </w:rPr>
            </w:pPr>
          </w:p>
        </w:tc>
        <w:tc>
          <w:tcPr>
            <w:tcW w:w="3151" w:type="dxa"/>
            <w:noWrap w:val="0"/>
            <w:vAlign w:val="center"/>
          </w:tcPr>
          <w:p>
            <w:pPr>
              <w:adjustRightInd w:val="0"/>
              <w:snapToGrid w:val="0"/>
              <w:ind w:firstLine="0" w:firstLineChars="0"/>
              <w:jc w:val="center"/>
              <w:rPr>
                <w:rFonts w:hint="default"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widowControl/>
              <w:adjustRightInd w:val="0"/>
              <w:snapToGrid w:val="0"/>
              <w:jc w:val="center"/>
              <w:rPr>
                <w:rFonts w:ascii="宋体" w:hAnsi="宋体" w:cs="宋体"/>
                <w:sz w:val="18"/>
                <w:szCs w:val="18"/>
              </w:rPr>
            </w:pPr>
          </w:p>
        </w:tc>
        <w:tc>
          <w:tcPr>
            <w:tcW w:w="1338" w:type="dxa"/>
            <w:noWrap w:val="0"/>
            <w:vAlign w:val="center"/>
          </w:tcPr>
          <w:p>
            <w:pPr>
              <w:widowControl/>
              <w:ind w:firstLine="0" w:firstLineChars="0"/>
              <w:jc w:val="center"/>
              <w:textAlignment w:val="center"/>
              <w:rPr>
                <w:rFonts w:hint="eastAsia" w:ascii="宋体" w:hAnsi="宋体" w:eastAsia="宋体" w:cs="宋体"/>
                <w:kern w:val="2"/>
                <w:sz w:val="18"/>
                <w:szCs w:val="18"/>
                <w:lang w:val="en-US" w:eastAsia="zh-CN" w:bidi="ar-SA"/>
              </w:rPr>
            </w:pPr>
          </w:p>
        </w:tc>
        <w:tc>
          <w:tcPr>
            <w:tcW w:w="1532" w:type="dxa"/>
            <w:noWrap w:val="0"/>
            <w:vAlign w:val="center"/>
          </w:tcPr>
          <w:p>
            <w:pPr>
              <w:widowControl/>
              <w:ind w:firstLine="180" w:firstLineChars="100"/>
              <w:jc w:val="both"/>
              <w:textAlignment w:val="center"/>
              <w:rPr>
                <w:rFonts w:hint="default" w:ascii="宋体" w:hAnsi="宋体" w:eastAsia="宋体" w:cs="宋体"/>
                <w:kern w:val="2"/>
                <w:sz w:val="18"/>
                <w:szCs w:val="18"/>
                <w:lang w:val="en-US" w:eastAsia="zh-CN" w:bidi="ar-SA"/>
              </w:rPr>
            </w:pPr>
          </w:p>
        </w:tc>
        <w:tc>
          <w:tcPr>
            <w:tcW w:w="1320" w:type="dxa"/>
            <w:noWrap w:val="0"/>
            <w:vAlign w:val="center"/>
          </w:tcPr>
          <w:p>
            <w:pPr>
              <w:adjustRightInd w:val="0"/>
              <w:snapToGrid w:val="0"/>
              <w:ind w:firstLine="0" w:firstLineChars="0"/>
              <w:jc w:val="center"/>
              <w:rPr>
                <w:rFonts w:hint="eastAsia" w:ascii="宋体" w:hAnsi="宋体" w:eastAsia="宋体" w:cs="宋体"/>
                <w:kern w:val="2"/>
                <w:sz w:val="18"/>
                <w:szCs w:val="18"/>
                <w:lang w:val="en-US" w:eastAsia="zh-CN" w:bidi="ar-SA"/>
              </w:rPr>
            </w:pPr>
          </w:p>
        </w:tc>
        <w:tc>
          <w:tcPr>
            <w:tcW w:w="3151" w:type="dxa"/>
            <w:noWrap w:val="0"/>
            <w:vAlign w:val="center"/>
          </w:tcPr>
          <w:p>
            <w:pPr>
              <w:adjustRightInd w:val="0"/>
              <w:snapToGrid w:val="0"/>
              <w:ind w:firstLine="0" w:firstLineChars="0"/>
              <w:jc w:val="center"/>
              <w:rPr>
                <w:rFonts w:hint="default" w:ascii="宋体" w:hAnsi="宋体" w:eastAsia="宋体" w:cs="宋体"/>
                <w:color w:val="333333"/>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restart"/>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估值核算联系人</w:t>
            </w:r>
          </w:p>
        </w:tc>
        <w:tc>
          <w:tcPr>
            <w:tcW w:w="1338" w:type="dxa"/>
            <w:noWrap w:val="0"/>
            <w:vAlign w:val="center"/>
          </w:tcPr>
          <w:p>
            <w:pPr>
              <w:widowControl/>
              <w:jc w:val="center"/>
              <w:textAlignment w:val="center"/>
              <w:rPr>
                <w:rFonts w:ascii="宋体" w:hAnsi="宋体" w:cs="宋体"/>
                <w:sz w:val="18"/>
                <w:szCs w:val="18"/>
              </w:rPr>
            </w:pPr>
          </w:p>
        </w:tc>
        <w:tc>
          <w:tcPr>
            <w:tcW w:w="1532" w:type="dxa"/>
            <w:noWrap w:val="0"/>
            <w:vAlign w:val="center"/>
          </w:tcPr>
          <w:p>
            <w:pPr>
              <w:widowControl/>
              <w:jc w:val="center"/>
              <w:textAlignment w:val="center"/>
              <w:rPr>
                <w:rFonts w:ascii="宋体" w:hAnsi="宋体" w:cs="宋体"/>
                <w:sz w:val="18"/>
                <w:szCs w:val="18"/>
              </w:rPr>
            </w:pPr>
          </w:p>
        </w:tc>
        <w:tc>
          <w:tcPr>
            <w:tcW w:w="1320" w:type="dxa"/>
            <w:noWrap w:val="0"/>
            <w:vAlign w:val="center"/>
          </w:tcPr>
          <w:p>
            <w:pPr>
              <w:adjustRightInd w:val="0"/>
              <w:snapToGrid w:val="0"/>
              <w:jc w:val="center"/>
              <w:rPr>
                <w:rFonts w:ascii="宋体" w:hAnsi="宋体" w:cs="宋体"/>
                <w:sz w:val="18"/>
                <w:szCs w:val="18"/>
              </w:rPr>
            </w:pPr>
          </w:p>
        </w:tc>
        <w:tc>
          <w:tcPr>
            <w:tcW w:w="3151" w:type="dxa"/>
            <w:noWrap w:val="0"/>
            <w:vAlign w:val="center"/>
          </w:tcPr>
          <w:p>
            <w:pPr>
              <w:adjustRightInd w:val="0"/>
              <w:snapToGrid w:val="0"/>
              <w:jc w:val="center"/>
              <w:rPr>
                <w:rFonts w:hint="eastAsia" w:ascii="宋体" w:hAnsi="宋体" w:cs="宋体"/>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adjustRightInd w:val="0"/>
              <w:snapToGrid w:val="0"/>
              <w:jc w:val="center"/>
              <w:rPr>
                <w:rFonts w:ascii="宋体" w:hAnsi="宋体" w:cs="宋体"/>
                <w:sz w:val="18"/>
                <w:szCs w:val="18"/>
              </w:rPr>
            </w:pPr>
          </w:p>
        </w:tc>
        <w:tc>
          <w:tcPr>
            <w:tcW w:w="1338" w:type="dxa"/>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p>
        </w:tc>
        <w:tc>
          <w:tcPr>
            <w:tcW w:w="1532" w:type="dxa"/>
            <w:noWrap w:val="0"/>
            <w:vAlign w:val="center"/>
          </w:tcPr>
          <w:p>
            <w:pPr>
              <w:widowControl/>
              <w:jc w:val="center"/>
              <w:textAlignment w:val="center"/>
              <w:rPr>
                <w:rFonts w:hint="eastAsia" w:ascii="宋体" w:hAnsi="宋体" w:cs="宋体"/>
                <w:color w:val="000000"/>
                <w:kern w:val="0"/>
                <w:sz w:val="18"/>
                <w:szCs w:val="18"/>
                <w:lang w:bidi="ar"/>
              </w:rPr>
            </w:pPr>
          </w:p>
        </w:tc>
        <w:tc>
          <w:tcPr>
            <w:tcW w:w="1320" w:type="dxa"/>
            <w:noWrap w:val="0"/>
            <w:vAlign w:val="center"/>
          </w:tcPr>
          <w:p>
            <w:pPr>
              <w:adjustRightInd w:val="0"/>
              <w:snapToGrid w:val="0"/>
              <w:jc w:val="center"/>
              <w:rPr>
                <w:rFonts w:hint="default" w:ascii="宋体" w:hAnsi="宋体" w:eastAsia="宋体" w:cs="宋体"/>
                <w:sz w:val="18"/>
                <w:szCs w:val="18"/>
                <w:lang w:val="en-US" w:eastAsia="zh-CN"/>
              </w:rPr>
            </w:pPr>
          </w:p>
        </w:tc>
        <w:tc>
          <w:tcPr>
            <w:tcW w:w="3151" w:type="dxa"/>
            <w:noWrap w:val="0"/>
            <w:vAlign w:val="center"/>
          </w:tcPr>
          <w:p>
            <w:pPr>
              <w:adjustRightInd w:val="0"/>
              <w:snapToGrid w:val="0"/>
              <w:jc w:val="center"/>
              <w:rPr>
                <w:rFonts w:hint="eastAsia" w:ascii="宋体" w:hAnsi="宋体" w:cs="宋体"/>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adjustRightInd w:val="0"/>
              <w:snapToGrid w:val="0"/>
              <w:jc w:val="center"/>
              <w:rPr>
                <w:rFonts w:ascii="宋体" w:hAnsi="宋体" w:cs="宋体"/>
                <w:sz w:val="18"/>
                <w:szCs w:val="18"/>
              </w:rPr>
            </w:pPr>
          </w:p>
        </w:tc>
        <w:tc>
          <w:tcPr>
            <w:tcW w:w="1338" w:type="dxa"/>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1532" w:type="dxa"/>
            <w:noWrap w:val="0"/>
            <w:vAlign w:val="center"/>
          </w:tcPr>
          <w:p>
            <w:pPr>
              <w:widowControl/>
              <w:jc w:val="center"/>
              <w:textAlignment w:val="center"/>
              <w:rPr>
                <w:rFonts w:hint="eastAsia" w:ascii="宋体" w:hAnsi="宋体" w:eastAsia="宋体" w:cs="宋体"/>
                <w:color w:val="000000"/>
                <w:kern w:val="0"/>
                <w:sz w:val="18"/>
                <w:szCs w:val="18"/>
                <w:lang w:val="en-US" w:eastAsia="zh-CN" w:bidi="ar"/>
              </w:rPr>
            </w:pPr>
          </w:p>
        </w:tc>
        <w:tc>
          <w:tcPr>
            <w:tcW w:w="1320" w:type="dxa"/>
            <w:noWrap w:val="0"/>
            <w:vAlign w:val="center"/>
          </w:tcPr>
          <w:p>
            <w:pPr>
              <w:adjustRightInd w:val="0"/>
              <w:snapToGrid w:val="0"/>
              <w:jc w:val="center"/>
              <w:rPr>
                <w:rFonts w:hint="eastAsia" w:ascii="宋体" w:hAnsi="宋体" w:eastAsia="宋体" w:cs="宋体"/>
                <w:kern w:val="2"/>
                <w:sz w:val="18"/>
                <w:szCs w:val="18"/>
                <w:lang w:val="en-US" w:eastAsia="zh-CN" w:bidi="ar-SA"/>
              </w:rPr>
            </w:pPr>
          </w:p>
        </w:tc>
        <w:tc>
          <w:tcPr>
            <w:tcW w:w="3151" w:type="dxa"/>
            <w:noWrap w:val="0"/>
            <w:vAlign w:val="center"/>
          </w:tcPr>
          <w:p>
            <w:pPr>
              <w:adjustRightInd w:val="0"/>
              <w:snapToGrid w:val="0"/>
              <w:jc w:val="center"/>
              <w:rPr>
                <w:rFonts w:hint="eastAsia" w:ascii="宋体" w:hAnsi="宋体" w:eastAsia="宋体" w:cs="宋体"/>
                <w:color w:val="333333"/>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adjustRightInd w:val="0"/>
              <w:snapToGrid w:val="0"/>
              <w:jc w:val="center"/>
              <w:rPr>
                <w:rFonts w:ascii="宋体" w:hAnsi="宋体" w:cs="宋体"/>
                <w:sz w:val="18"/>
                <w:szCs w:val="18"/>
              </w:rPr>
            </w:pPr>
          </w:p>
        </w:tc>
        <w:tc>
          <w:tcPr>
            <w:tcW w:w="1338" w:type="dxa"/>
            <w:noWrap w:val="0"/>
            <w:vAlign w:val="center"/>
          </w:tcPr>
          <w:p>
            <w:pPr>
              <w:widowControl/>
              <w:jc w:val="center"/>
              <w:textAlignment w:val="center"/>
              <w:rPr>
                <w:rFonts w:hint="eastAsia" w:ascii="宋体" w:hAnsi="宋体" w:eastAsia="宋体" w:cs="宋体"/>
                <w:kern w:val="2"/>
                <w:sz w:val="18"/>
                <w:szCs w:val="18"/>
                <w:lang w:val="en-US" w:eastAsia="zh-CN" w:bidi="ar-SA"/>
              </w:rPr>
            </w:pPr>
          </w:p>
        </w:tc>
        <w:tc>
          <w:tcPr>
            <w:tcW w:w="1532" w:type="dxa"/>
            <w:noWrap w:val="0"/>
            <w:vAlign w:val="center"/>
          </w:tcPr>
          <w:p>
            <w:pPr>
              <w:widowControl/>
              <w:jc w:val="center"/>
              <w:textAlignment w:val="center"/>
              <w:rPr>
                <w:rFonts w:hint="eastAsia" w:ascii="宋体" w:hAnsi="宋体" w:eastAsia="宋体" w:cs="宋体"/>
                <w:kern w:val="2"/>
                <w:sz w:val="18"/>
                <w:szCs w:val="18"/>
                <w:lang w:val="en-US" w:eastAsia="zh-CN" w:bidi="ar-SA"/>
              </w:rPr>
            </w:pPr>
          </w:p>
        </w:tc>
        <w:tc>
          <w:tcPr>
            <w:tcW w:w="1320" w:type="dxa"/>
            <w:noWrap w:val="0"/>
            <w:vAlign w:val="center"/>
          </w:tcPr>
          <w:p>
            <w:pPr>
              <w:adjustRightInd w:val="0"/>
              <w:snapToGrid w:val="0"/>
              <w:jc w:val="center"/>
              <w:rPr>
                <w:rFonts w:hint="eastAsia" w:ascii="宋体" w:hAnsi="宋体" w:eastAsia="宋体" w:cs="宋体"/>
                <w:kern w:val="2"/>
                <w:sz w:val="18"/>
                <w:szCs w:val="18"/>
                <w:lang w:val="en-US" w:eastAsia="zh-CN" w:bidi="ar-SA"/>
              </w:rPr>
            </w:pPr>
          </w:p>
        </w:tc>
        <w:tc>
          <w:tcPr>
            <w:tcW w:w="3151" w:type="dxa"/>
            <w:noWrap w:val="0"/>
            <w:vAlign w:val="center"/>
          </w:tcPr>
          <w:p>
            <w:pPr>
              <w:adjustRightInd w:val="0"/>
              <w:snapToGrid w:val="0"/>
              <w:jc w:val="center"/>
              <w:rPr>
                <w:rFonts w:hint="eastAsia" w:ascii="宋体" w:hAnsi="宋体" w:eastAsia="宋体" w:cs="宋体"/>
                <w:color w:val="333333"/>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vMerge w:val="continue"/>
            <w:noWrap w:val="0"/>
            <w:vAlign w:val="center"/>
          </w:tcPr>
          <w:p>
            <w:pPr>
              <w:adjustRightInd w:val="0"/>
              <w:snapToGrid w:val="0"/>
              <w:jc w:val="center"/>
              <w:rPr>
                <w:rFonts w:ascii="宋体" w:hAnsi="宋体" w:cs="宋体"/>
                <w:sz w:val="18"/>
                <w:szCs w:val="18"/>
              </w:rPr>
            </w:pPr>
          </w:p>
        </w:tc>
        <w:tc>
          <w:tcPr>
            <w:tcW w:w="1338" w:type="dxa"/>
            <w:noWrap w:val="0"/>
            <w:vAlign w:val="center"/>
          </w:tcPr>
          <w:p>
            <w:pPr>
              <w:widowControl/>
              <w:jc w:val="center"/>
              <w:textAlignment w:val="center"/>
              <w:rPr>
                <w:rFonts w:hint="default" w:ascii="宋体" w:hAnsi="宋体" w:eastAsia="宋体" w:cs="宋体"/>
                <w:kern w:val="2"/>
                <w:sz w:val="18"/>
                <w:szCs w:val="18"/>
                <w:lang w:val="en-US" w:eastAsia="zh-CN" w:bidi="ar-SA"/>
              </w:rPr>
            </w:pPr>
          </w:p>
        </w:tc>
        <w:tc>
          <w:tcPr>
            <w:tcW w:w="1532" w:type="dxa"/>
            <w:noWrap w:val="0"/>
            <w:vAlign w:val="center"/>
          </w:tcPr>
          <w:p>
            <w:pPr>
              <w:widowControl/>
              <w:jc w:val="center"/>
              <w:textAlignment w:val="center"/>
              <w:rPr>
                <w:rFonts w:hint="eastAsia" w:ascii="宋体" w:hAnsi="宋体" w:eastAsia="宋体" w:cs="宋体"/>
                <w:kern w:val="2"/>
                <w:sz w:val="18"/>
                <w:szCs w:val="18"/>
                <w:lang w:val="en-US" w:eastAsia="zh-CN" w:bidi="ar-SA"/>
              </w:rPr>
            </w:pPr>
          </w:p>
        </w:tc>
        <w:tc>
          <w:tcPr>
            <w:tcW w:w="1320" w:type="dxa"/>
            <w:noWrap w:val="0"/>
            <w:vAlign w:val="center"/>
          </w:tcPr>
          <w:p>
            <w:pPr>
              <w:adjustRightInd w:val="0"/>
              <w:snapToGrid w:val="0"/>
              <w:jc w:val="center"/>
              <w:rPr>
                <w:rFonts w:ascii="宋体" w:hAnsi="宋体" w:eastAsia="宋体" w:cs="宋体"/>
                <w:kern w:val="2"/>
                <w:sz w:val="18"/>
                <w:szCs w:val="18"/>
                <w:lang w:val="en-US" w:eastAsia="zh-CN" w:bidi="ar-SA"/>
              </w:rPr>
            </w:pPr>
          </w:p>
        </w:tc>
        <w:tc>
          <w:tcPr>
            <w:tcW w:w="3151" w:type="dxa"/>
            <w:noWrap w:val="0"/>
            <w:vAlign w:val="center"/>
          </w:tcPr>
          <w:p>
            <w:pPr>
              <w:adjustRightInd w:val="0"/>
              <w:snapToGrid w:val="0"/>
              <w:jc w:val="center"/>
              <w:rPr>
                <w:rFonts w:hint="eastAsia" w:ascii="宋体" w:hAnsi="宋体" w:eastAsia="宋体" w:cs="宋体"/>
                <w:color w:val="333333"/>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投资监督联系人</w:t>
            </w:r>
          </w:p>
        </w:tc>
        <w:tc>
          <w:tcPr>
            <w:tcW w:w="1338" w:type="dxa"/>
            <w:noWrap w:val="0"/>
            <w:vAlign w:val="center"/>
          </w:tcPr>
          <w:p>
            <w:pPr>
              <w:widowControl/>
              <w:jc w:val="center"/>
              <w:textAlignment w:val="center"/>
              <w:rPr>
                <w:rFonts w:ascii="宋体" w:hAnsi="宋体" w:cs="宋体"/>
                <w:sz w:val="18"/>
                <w:szCs w:val="18"/>
              </w:rPr>
            </w:pPr>
          </w:p>
        </w:tc>
        <w:tc>
          <w:tcPr>
            <w:tcW w:w="1532" w:type="dxa"/>
            <w:noWrap w:val="0"/>
            <w:vAlign w:val="center"/>
          </w:tcPr>
          <w:p>
            <w:pPr>
              <w:widowControl/>
              <w:jc w:val="center"/>
              <w:textAlignment w:val="center"/>
              <w:rPr>
                <w:rFonts w:ascii="宋体" w:hAnsi="宋体" w:cs="宋体"/>
                <w:sz w:val="18"/>
                <w:szCs w:val="18"/>
              </w:rPr>
            </w:pPr>
          </w:p>
        </w:tc>
        <w:tc>
          <w:tcPr>
            <w:tcW w:w="1320" w:type="dxa"/>
            <w:noWrap w:val="0"/>
            <w:vAlign w:val="center"/>
          </w:tcPr>
          <w:p>
            <w:pPr>
              <w:adjustRightInd w:val="0"/>
              <w:snapToGrid w:val="0"/>
              <w:jc w:val="center"/>
              <w:rPr>
                <w:rFonts w:ascii="宋体" w:hAnsi="宋体" w:cs="宋体"/>
                <w:sz w:val="18"/>
                <w:szCs w:val="18"/>
              </w:rPr>
            </w:pPr>
          </w:p>
        </w:tc>
        <w:tc>
          <w:tcPr>
            <w:tcW w:w="3151" w:type="dxa"/>
            <w:noWrap w:val="0"/>
            <w:vAlign w:val="center"/>
          </w:tcPr>
          <w:p>
            <w:pPr>
              <w:adjustRightInd w:val="0"/>
              <w:snapToGrid w:val="0"/>
              <w:jc w:val="center"/>
              <w:rPr>
                <w:rFonts w:hint="eastAsia" w:ascii="宋体" w:hAnsi="宋体" w:cs="宋体"/>
                <w:color w:val="33333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748" w:type="dxa"/>
            <w:gridSpan w:val="4"/>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数据接收深圳通小号</w:t>
            </w:r>
          </w:p>
        </w:tc>
        <w:tc>
          <w:tcPr>
            <w:tcW w:w="3151" w:type="dxa"/>
            <w:noWrap w:val="0"/>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748" w:type="dxa"/>
            <w:gridSpan w:val="4"/>
            <w:noWrap w:val="0"/>
            <w:vAlign w:val="center"/>
          </w:tcPr>
          <w:p>
            <w:pPr>
              <w:adjustRightInd w:val="0"/>
              <w:snapToGrid w:val="0"/>
              <w:jc w:val="center"/>
              <w:rPr>
                <w:rFonts w:ascii="宋体" w:hAnsi="宋体" w:cs="宋体"/>
                <w:sz w:val="18"/>
                <w:szCs w:val="18"/>
              </w:rPr>
            </w:pPr>
            <w:r>
              <w:rPr>
                <w:rFonts w:hint="eastAsia" w:ascii="宋体" w:hAnsi="宋体" w:cs="宋体"/>
                <w:sz w:val="18"/>
                <w:szCs w:val="18"/>
              </w:rPr>
              <w:t>数据/估值表接收邮箱（非深圳通）</w:t>
            </w:r>
          </w:p>
        </w:tc>
        <w:tc>
          <w:tcPr>
            <w:tcW w:w="3151" w:type="dxa"/>
            <w:noWrap w:val="0"/>
            <w:vAlign w:val="center"/>
          </w:tcPr>
          <w:p>
            <w:pPr>
              <w:adjustRightInd w:val="0"/>
              <w:snapToGrid w:val="0"/>
              <w:jc w:val="center"/>
              <w:rPr>
                <w:rFonts w:ascii="宋体" w:hAnsi="宋体" w:cs="宋体"/>
                <w:color w:val="333333"/>
                <w:sz w:val="18"/>
                <w:szCs w:val="18"/>
              </w:rPr>
            </w:pPr>
          </w:p>
        </w:tc>
      </w:tr>
    </w:tbl>
    <w:p>
      <w:pPr>
        <w:widowControl/>
        <w:jc w:val="left"/>
        <w:rPr>
          <w:rFonts w:ascii="仿宋_GB2312" w:hAnsi="宋体" w:eastAsia="仿宋_GB2312"/>
          <w:sz w:val="24"/>
        </w:rPr>
      </w:pPr>
      <w:r>
        <w:rPr>
          <w:rFonts w:ascii="仿宋_GB2312" w:hAnsi="宋体" w:eastAsia="仿宋_GB2312"/>
          <w:sz w:val="24"/>
        </w:rPr>
        <w:br w:type="page"/>
      </w:r>
    </w:p>
    <w:p>
      <w:pPr>
        <w:pStyle w:val="3"/>
        <w:tabs>
          <w:tab w:val="left" w:pos="0"/>
        </w:tabs>
        <w:spacing w:before="312" w:beforeLines="100" w:after="312" w:afterLines="100"/>
        <w:jc w:val="left"/>
        <w:rPr>
          <w:rFonts w:ascii="仿宋_GB2312" w:hAnsi="宋体" w:eastAsia="仿宋_GB2312"/>
          <w:b/>
          <w:bCs/>
          <w:sz w:val="24"/>
        </w:rPr>
      </w:pPr>
      <w:bookmarkStart w:id="320" w:name="_Toc28091927"/>
      <w:bookmarkStart w:id="321" w:name="_Toc21000"/>
      <w:bookmarkStart w:id="322" w:name="_Toc19596"/>
      <w:bookmarkStart w:id="323" w:name="_Toc97719092"/>
      <w:bookmarkStart w:id="324" w:name="_Toc7403"/>
      <w:bookmarkStart w:id="325" w:name="_Toc29333"/>
      <w:r>
        <w:rPr>
          <w:rFonts w:hint="eastAsia" w:ascii="仿宋_GB2312" w:hAnsi="宋体" w:eastAsia="仿宋_GB2312"/>
          <w:b w:val="0"/>
          <w:sz w:val="24"/>
        </w:rPr>
        <w:t>附件5：理财产品托管专户收款通知书（样本）</w:t>
      </w:r>
      <w:bookmarkEnd w:id="320"/>
      <w:bookmarkEnd w:id="321"/>
      <w:bookmarkEnd w:id="322"/>
      <w:bookmarkEnd w:id="323"/>
      <w:bookmarkEnd w:id="324"/>
      <w:bookmarkEnd w:id="325"/>
      <w:r>
        <w:rPr>
          <w:rFonts w:hint="eastAsia" w:ascii="仿宋_GB2312" w:hAnsi="宋体" w:eastAsia="仿宋_GB2312"/>
          <w:b/>
          <w:bCs/>
          <w:sz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仿宋_GB2312" w:eastAsia="仿宋_GB2312"/>
          <w:sz w:val="28"/>
          <w:szCs w:val="28"/>
        </w:rPr>
      </w:pPr>
      <w:r>
        <w:rPr>
          <w:rFonts w:hint="eastAsia" w:ascii="仿宋_GB2312" w:hAnsi="宋体" w:eastAsia="仿宋_GB2312"/>
          <w:b/>
          <w:kern w:val="0"/>
          <w:sz w:val="28"/>
          <w:szCs w:val="28"/>
        </w:rPr>
        <w:t>理财产品</w:t>
      </w:r>
      <w:r>
        <w:rPr>
          <w:rFonts w:hint="eastAsia" w:ascii="仿宋_GB2312" w:eastAsia="仿宋_GB2312"/>
          <w:b/>
          <w:sz w:val="28"/>
          <w:szCs w:val="28"/>
        </w:rPr>
        <w:t xml:space="preserve">托管专户收款通知书 </w:t>
      </w:r>
    </w:p>
    <w:p>
      <w:pPr>
        <w:keepNext w:val="0"/>
        <w:keepLines w:val="0"/>
        <w:pageBreakBefore w:val="0"/>
        <w:widowControl w:val="0"/>
        <w:kinsoku/>
        <w:wordWrap/>
        <w:overflowPunct/>
        <w:topLinePunct w:val="0"/>
        <w:autoSpaceDE/>
        <w:autoSpaceDN/>
        <w:bidi w:val="0"/>
        <w:adjustRightInd w:val="0"/>
        <w:snapToGrid w:val="0"/>
        <w:spacing w:line="240" w:lineRule="atLeast"/>
        <w:ind w:firstLine="2520" w:firstLineChars="1050"/>
        <w:textAlignment w:val="auto"/>
        <w:rPr>
          <w:rFonts w:ascii="仿宋_GB2312" w:hAnsi="宋体" w:eastAsia="仿宋_GB2312"/>
          <w:sz w:val="24"/>
        </w:rPr>
      </w:pPr>
      <w:r>
        <w:rPr>
          <w:rFonts w:hint="eastAsia" w:ascii="仿宋_GB2312" w:hAnsi="宋体" w:eastAsia="仿宋_GB2312"/>
          <w:sz w:val="24"/>
        </w:rPr>
        <w:t>编号：</w:t>
      </w:r>
    </w:p>
    <w:tbl>
      <w:tblPr>
        <w:tblStyle w:val="22"/>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6"/>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 xml:space="preserve">付款户名： </w:t>
            </w:r>
          </w:p>
        </w:tc>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收款户名：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付款账号：</w:t>
            </w:r>
          </w:p>
        </w:tc>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收款账号：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 xml:space="preserve">开户行： </w:t>
            </w:r>
          </w:p>
        </w:tc>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大写金额：</w:t>
            </w:r>
          </w:p>
        </w:tc>
        <w:tc>
          <w:tcPr>
            <w:tcW w:w="4166" w:type="dxa"/>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小写金额：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8332" w:type="dxa"/>
            <w:gridSpan w:val="2"/>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 xml:space="preserve">预计到账日期：      </w:t>
            </w: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1" w:hRule="atLeast"/>
        </w:trPr>
        <w:tc>
          <w:tcPr>
            <w:tcW w:w="8332" w:type="dxa"/>
            <w:gridSpan w:val="2"/>
          </w:tcPr>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收款说明：</w:t>
            </w: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211" w:firstLineChars="88"/>
              <w:textAlignment w:val="auto"/>
              <w:rPr>
                <w:rFonts w:ascii="仿宋_GB2312" w:hAnsi="宋体" w:eastAsia="仿宋_GB2312"/>
                <w:sz w:val="24"/>
              </w:rPr>
            </w:pPr>
          </w:p>
        </w:tc>
      </w:tr>
    </w:tbl>
    <w:p>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rPr>
      </w:pPr>
      <w:r>
        <w:rPr>
          <w:rFonts w:hint="eastAsia" w:ascii="仿宋_GB2312" w:eastAsia="仿宋_GB2312"/>
        </w:rPr>
        <w:t xml:space="preserve"> </w:t>
      </w:r>
    </w:p>
    <w:p>
      <w:pPr>
        <w:keepNext w:val="0"/>
        <w:keepLines w:val="0"/>
        <w:pageBreakBefore w:val="0"/>
        <w:widowControl w:val="0"/>
        <w:kinsoku/>
        <w:wordWrap/>
        <w:overflowPunct/>
        <w:topLinePunct w:val="0"/>
        <w:autoSpaceDE/>
        <w:autoSpaceDN/>
        <w:bidi w:val="0"/>
        <w:adjustRightInd w:val="0"/>
        <w:snapToGrid w:val="0"/>
        <w:textAlignment w:val="auto"/>
        <w:rPr>
          <w:rFonts w:ascii="仿宋_GB2312" w:eastAsia="仿宋_GB2312"/>
          <w:sz w:val="24"/>
        </w:rPr>
      </w:pPr>
      <w:r>
        <w:rPr>
          <w:rFonts w:hint="eastAsia" w:ascii="仿宋_GB2312" w:eastAsia="仿宋_GB2312"/>
        </w:rPr>
        <w:t xml:space="preserve">                                        </w:t>
      </w:r>
      <w:r>
        <w:rPr>
          <w:rFonts w:hint="eastAsia" w:ascii="仿宋_GB2312" w:eastAsia="仿宋_GB2312"/>
          <w:sz w:val="24"/>
        </w:rPr>
        <w:t xml:space="preserve">   （理财产品管理人授权业务往来章）</w:t>
      </w:r>
    </w:p>
    <w:p>
      <w:pPr>
        <w:keepNext w:val="0"/>
        <w:keepLines w:val="0"/>
        <w:pageBreakBefore w:val="0"/>
        <w:widowControl w:val="0"/>
        <w:kinsoku/>
        <w:wordWrap/>
        <w:overflowPunct/>
        <w:topLinePunct w:val="0"/>
        <w:autoSpaceDE/>
        <w:autoSpaceDN/>
        <w:bidi w:val="0"/>
        <w:adjustRightInd w:val="0"/>
        <w:snapToGrid w:val="0"/>
        <w:ind w:firstLine="1200" w:firstLineChars="500"/>
        <w:textAlignment w:val="auto"/>
        <w:rPr>
          <w:rFonts w:ascii="仿宋_GB2312" w:eastAsia="仿宋_GB2312"/>
          <w:sz w:val="24"/>
        </w:rPr>
      </w:pPr>
      <w:r>
        <w:rPr>
          <w:rFonts w:hint="eastAsia" w:ascii="仿宋_GB2312" w:eastAsia="仿宋_GB2312"/>
          <w:sz w:val="24"/>
        </w:rPr>
        <w:t xml:space="preserve">                                       </w:t>
      </w:r>
    </w:p>
    <w:p>
      <w:pPr>
        <w:keepNext w:val="0"/>
        <w:keepLines w:val="0"/>
        <w:pageBreakBefore w:val="0"/>
        <w:widowControl w:val="0"/>
        <w:kinsoku/>
        <w:wordWrap/>
        <w:overflowPunct/>
        <w:topLinePunct w:val="0"/>
        <w:autoSpaceDE/>
        <w:autoSpaceDN/>
        <w:bidi w:val="0"/>
        <w:adjustRightInd w:val="0"/>
        <w:snapToGrid w:val="0"/>
        <w:ind w:firstLine="5400" w:firstLineChars="2250"/>
        <w:textAlignment w:val="auto"/>
        <w:rPr>
          <w:rFonts w:ascii="仿宋_GB2312" w:eastAsia="仿宋_GB2312"/>
          <w:sz w:val="24"/>
        </w:rPr>
      </w:pPr>
      <w:r>
        <w:rPr>
          <w:rFonts w:hint="eastAsia" w:ascii="仿宋_GB2312" w:eastAsia="仿宋_GB2312"/>
          <w:sz w:val="24"/>
        </w:rPr>
        <w:t xml:space="preserve">   年     月     日 </w:t>
      </w:r>
    </w:p>
    <w:p>
      <w:pPr>
        <w:rPr>
          <w:rFonts w:ascii="仿宋_GB2312" w:eastAsia="仿宋_GB2312"/>
        </w:rPr>
      </w:pPr>
      <w:r>
        <w:rPr>
          <w:rFonts w:ascii="仿宋_GB2312" w:eastAsia="仿宋_GB2312"/>
        </w:rPr>
        <w:br w:type="page"/>
      </w:r>
    </w:p>
    <w:p>
      <w:pPr>
        <w:pStyle w:val="3"/>
        <w:tabs>
          <w:tab w:val="left" w:pos="0"/>
        </w:tabs>
        <w:spacing w:before="312" w:beforeLines="100" w:after="312" w:afterLines="100" w:line="360" w:lineRule="auto"/>
        <w:jc w:val="left"/>
        <w:rPr>
          <w:rFonts w:ascii="仿宋_GB2312" w:hAnsi="宋体" w:eastAsia="仿宋_GB2312"/>
          <w:b w:val="0"/>
          <w:sz w:val="24"/>
        </w:rPr>
      </w:pPr>
      <w:bookmarkStart w:id="326" w:name="_Toc11854"/>
      <w:bookmarkStart w:id="327" w:name="_Toc25532"/>
      <w:bookmarkStart w:id="328" w:name="_Toc20725"/>
      <w:r>
        <w:rPr>
          <w:rFonts w:hint="eastAsia" w:ascii="仿宋_GB2312" w:hAnsi="宋体" w:eastAsia="仿宋_GB2312"/>
          <w:b w:val="0"/>
          <w:sz w:val="24"/>
        </w:rPr>
        <w:t>附件6：关联方名单</w:t>
      </w:r>
      <w:bookmarkEnd w:id="326"/>
      <w:bookmarkEnd w:id="327"/>
      <w:bookmarkEnd w:id="328"/>
    </w:p>
    <w:tbl>
      <w:tblPr>
        <w:tblStyle w:val="22"/>
        <w:tblW w:w="6260" w:type="dxa"/>
        <w:tblInd w:w="93" w:type="dxa"/>
        <w:tblLayout w:type="fixed"/>
        <w:tblCellMar>
          <w:top w:w="0" w:type="dxa"/>
          <w:left w:w="108" w:type="dxa"/>
          <w:bottom w:w="0" w:type="dxa"/>
          <w:right w:w="108" w:type="dxa"/>
        </w:tblCellMar>
      </w:tblPr>
      <w:tblGrid>
        <w:gridCol w:w="1969"/>
        <w:gridCol w:w="1476"/>
        <w:gridCol w:w="2815"/>
      </w:tblGrid>
      <w:tr>
        <w:tblPrEx>
          <w:tblCellMar>
            <w:top w:w="0" w:type="dxa"/>
            <w:left w:w="108" w:type="dxa"/>
            <w:bottom w:w="0" w:type="dxa"/>
            <w:right w:w="108" w:type="dxa"/>
          </w:tblCellMar>
        </w:tblPrEx>
        <w:trPr>
          <w:trHeight w:val="255" w:hRule="atLeast"/>
        </w:trPr>
        <w:tc>
          <w:tcPr>
            <w:tcW w:w="1969" w:type="dxa"/>
            <w:tcBorders>
              <w:top w:val="single" w:color="000000" w:sz="4" w:space="0"/>
              <w:left w:val="single" w:color="000000" w:sz="4" w:space="0"/>
              <w:bottom w:val="nil"/>
              <w:right w:val="single" w:color="000000" w:sz="4" w:space="0"/>
            </w:tcBorders>
            <w:shd w:val="clear" w:color="000000" w:fill="C0C0C0"/>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证券代码</w:t>
            </w:r>
          </w:p>
        </w:tc>
        <w:tc>
          <w:tcPr>
            <w:tcW w:w="1476" w:type="dxa"/>
            <w:tcBorders>
              <w:top w:val="single" w:color="000000" w:sz="4" w:space="0"/>
              <w:left w:val="nil"/>
              <w:bottom w:val="nil"/>
              <w:right w:val="single" w:color="000000" w:sz="4" w:space="0"/>
            </w:tcBorders>
            <w:shd w:val="clear" w:color="000000" w:fill="C0C0C0"/>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证券名称</w:t>
            </w:r>
          </w:p>
        </w:tc>
        <w:tc>
          <w:tcPr>
            <w:tcW w:w="2815" w:type="dxa"/>
            <w:tcBorders>
              <w:top w:val="single" w:color="000000" w:sz="4" w:space="0"/>
              <w:left w:val="nil"/>
              <w:bottom w:val="nil"/>
              <w:right w:val="single" w:color="000000" w:sz="4" w:space="0"/>
            </w:tcBorders>
            <w:shd w:val="clear" w:color="000000" w:fill="C0C0C0"/>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交易市场</w:t>
            </w:r>
          </w:p>
        </w:tc>
      </w:tr>
      <w:tr>
        <w:tblPrEx>
          <w:tblCellMar>
            <w:top w:w="0" w:type="dxa"/>
            <w:left w:w="108" w:type="dxa"/>
            <w:bottom w:w="0" w:type="dxa"/>
            <w:right w:w="108" w:type="dxa"/>
          </w:tblCellMar>
        </w:tblPrEx>
        <w:trPr>
          <w:trHeight w:val="255"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tc>
        <w:tc>
          <w:tcPr>
            <w:tcW w:w="1476"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tc>
        <w:tc>
          <w:tcPr>
            <w:tcW w:w="2815" w:type="dxa"/>
            <w:tcBorders>
              <w:top w:val="single" w:color="auto" w:sz="4" w:space="0"/>
              <w:left w:val="nil"/>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1969" w:type="dxa"/>
            <w:tcBorders>
              <w:top w:val="nil"/>
              <w:left w:val="single" w:color="auto" w:sz="4" w:space="0"/>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tc>
        <w:tc>
          <w:tcPr>
            <w:tcW w:w="1476"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p/>
        </w:tc>
        <w:tc>
          <w:tcPr>
            <w:tcW w:w="2815" w:type="dxa"/>
            <w:tcBorders>
              <w:top w:val="nil"/>
              <w:left w:val="nil"/>
              <w:bottom w:val="single" w:color="auto" w:sz="4" w:space="0"/>
              <w:right w:val="single" w:color="auto" w:sz="4" w:space="0"/>
            </w:tcBorders>
            <w:shd w:val="clear" w:color="auto" w:fill="auto"/>
            <w:vAlign w:val="bottom"/>
          </w:tcPr>
          <w:p>
            <w:pPr>
              <w:widowControl/>
              <w:jc w:val="left"/>
              <w:textAlignment w:val="bottom"/>
              <w:rPr>
                <w:rFonts w:ascii="Arial" w:hAnsi="Arial" w:cs="Arial"/>
                <w:color w:val="000000"/>
                <w:sz w:val="20"/>
                <w:szCs w:val="20"/>
              </w:rPr>
            </w:pPr>
          </w:p>
        </w:tc>
      </w:tr>
    </w:tbl>
    <w:p/>
    <w:p>
      <w:pPr>
        <w:spacing w:line="560" w:lineRule="exact"/>
        <w:ind w:firstLine="0" w:firstLineChars="0"/>
        <w:jc w:val="left"/>
        <w:rPr>
          <w:rFonts w:hint="eastAsia"/>
          <w:szCs w:val="24"/>
          <w:lang w:val="en-US" w:eastAsia="zh-CN" w:bidi="ar"/>
        </w:rPr>
      </w:pPr>
    </w:p>
    <w:sectPr>
      <w:headerReference r:id="rId8" w:type="first"/>
      <w:footerReference r:id="rId11" w:type="first"/>
      <w:footerReference r:id="rId9" w:type="default"/>
      <w:headerReference r:id="rId7" w:type="even"/>
      <w:footerReference r:id="rId10" w:type="even"/>
      <w:pgSz w:w="11906" w:h="16838"/>
      <w:pgMar w:top="0" w:right="1800" w:bottom="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auto"/>
    <w:pitch w:val="default"/>
    <w:sig w:usb0="00000000" w:usb1="00000000" w:usb2="00000016" w:usb3="00000000" w:csb0="00040001" w:csb1="00000000"/>
  </w:font>
  <w:font w:name="方正宋体-人口信息">
    <w:panose1 w:val="03000509000000000000"/>
    <w:charset w:val="86"/>
    <w:family w:val="auto"/>
    <w:pitch w:val="default"/>
    <w:sig w:usb0="A00002BF" w:usb1="38CFFCFA" w:usb2="00000016" w:usb3="00000008" w:csb0="6004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36</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黑体" w:hAnsi="黑体" w:eastAsia="黑体"/>
        <w:b/>
        <w:bCs/>
        <w:sz w:val="18"/>
        <w:szCs w:val="18"/>
      </w:rPr>
    </w:pPr>
    <w:r>
      <w:rPr>
        <w:rFonts w:hint="eastAsia" w:ascii="黑体" w:hAnsi="黑体" w:eastAsia="黑体"/>
        <w:b/>
        <w:bCs/>
        <w:sz w:val="18"/>
        <w:szCs w:val="18"/>
      </w:rPr>
      <w:t>渤银理财有限责任公司理财产品托管协议</w:t>
    </w:r>
    <w:r>
      <w:rPr>
        <w:rFonts w:ascii="黑体" w:hAnsi="黑体" w:eastAsia="黑体"/>
        <w:b/>
        <w:bCs/>
        <w:sz w:val="18"/>
        <w:szCs w:val="18"/>
      </w:rPr>
      <w:t>(</w:t>
    </w:r>
    <w:r>
      <w:rPr>
        <w:rFonts w:hint="eastAsia" w:ascii="黑体" w:hAnsi="黑体" w:eastAsia="黑体"/>
        <w:b/>
        <w:bCs/>
        <w:sz w:val="18"/>
        <w:szCs w:val="18"/>
      </w:rPr>
      <w:t>统签版</w:t>
    </w:r>
    <w:r>
      <w:rPr>
        <w:rFonts w:ascii="黑体" w:hAnsi="黑体" w:eastAsia="黑体"/>
        <w:b/>
        <w:bCs/>
        <w:sz w:val="18"/>
        <w:szCs w:val="18"/>
      </w:rPr>
      <w:t>)</w:t>
    </w:r>
  </w:p>
  <w:p>
    <w:pPr>
      <w:spacing w:line="360" w:lineRule="auto"/>
      <w:jc w:val="right"/>
      <w:rPr>
        <w:rFonts w:ascii="仿宋_GB2312" w:eastAsia="仿宋_GB2312"/>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黑体" w:hAnsi="黑体" w:eastAsia="黑体"/>
        <w:b/>
        <w:bCs/>
        <w:sz w:val="18"/>
        <w:szCs w:val="18"/>
      </w:rPr>
    </w:pPr>
    <w:r>
      <w:rPr>
        <w:rFonts w:hint="eastAsia" w:ascii="黑体" w:hAnsi="黑体" w:eastAsia="黑体"/>
        <w:b/>
        <w:bCs/>
        <w:sz w:val="18"/>
        <w:szCs w:val="18"/>
      </w:rPr>
      <w:t>渤银理财有限责任公司理财产品托管协议</w:t>
    </w:r>
    <w:r>
      <w:rPr>
        <w:rFonts w:ascii="黑体" w:hAnsi="黑体" w:eastAsia="黑体"/>
        <w:b/>
        <w:bCs/>
        <w:sz w:val="18"/>
        <w:szCs w:val="18"/>
      </w:rPr>
      <w:t>(</w:t>
    </w:r>
    <w:r>
      <w:rPr>
        <w:rFonts w:hint="eastAsia" w:ascii="黑体" w:hAnsi="黑体" w:eastAsia="黑体"/>
        <w:b/>
        <w:bCs/>
        <w:sz w:val="18"/>
        <w:szCs w:val="18"/>
      </w:rPr>
      <w:t>统签版</w:t>
    </w:r>
    <w:r>
      <w:rPr>
        <w:rFonts w:ascii="黑体" w:hAnsi="黑体" w:eastAsia="黑体"/>
        <w:b/>
        <w:b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DI4OTlkNWI3ZGMyMTI4M2FjZjI0ZjQ4ZWY2ZjcifQ=="/>
  </w:docVars>
  <w:rsids>
    <w:rsidRoot w:val="008D4AA9"/>
    <w:rsid w:val="0000141C"/>
    <w:rsid w:val="00001A45"/>
    <w:rsid w:val="000023C6"/>
    <w:rsid w:val="00002B93"/>
    <w:rsid w:val="0000473F"/>
    <w:rsid w:val="00004D8E"/>
    <w:rsid w:val="00011415"/>
    <w:rsid w:val="0001194D"/>
    <w:rsid w:val="00012DE0"/>
    <w:rsid w:val="00020434"/>
    <w:rsid w:val="000209DF"/>
    <w:rsid w:val="00020EB5"/>
    <w:rsid w:val="0002184B"/>
    <w:rsid w:val="00021BED"/>
    <w:rsid w:val="00024384"/>
    <w:rsid w:val="0002479B"/>
    <w:rsid w:val="00024D25"/>
    <w:rsid w:val="00025339"/>
    <w:rsid w:val="00025F62"/>
    <w:rsid w:val="00027B14"/>
    <w:rsid w:val="000317DF"/>
    <w:rsid w:val="00031AB2"/>
    <w:rsid w:val="00031B86"/>
    <w:rsid w:val="00032308"/>
    <w:rsid w:val="000327AE"/>
    <w:rsid w:val="000333C7"/>
    <w:rsid w:val="00035ADC"/>
    <w:rsid w:val="00035CEE"/>
    <w:rsid w:val="000370C4"/>
    <w:rsid w:val="00037A13"/>
    <w:rsid w:val="0004280A"/>
    <w:rsid w:val="00043419"/>
    <w:rsid w:val="000436A4"/>
    <w:rsid w:val="00045870"/>
    <w:rsid w:val="00047A4C"/>
    <w:rsid w:val="000503FD"/>
    <w:rsid w:val="0005254A"/>
    <w:rsid w:val="00054315"/>
    <w:rsid w:val="00054B26"/>
    <w:rsid w:val="00056631"/>
    <w:rsid w:val="00057854"/>
    <w:rsid w:val="000579DC"/>
    <w:rsid w:val="00060E8C"/>
    <w:rsid w:val="00063D0A"/>
    <w:rsid w:val="0006507E"/>
    <w:rsid w:val="00065420"/>
    <w:rsid w:val="000661BE"/>
    <w:rsid w:val="00066217"/>
    <w:rsid w:val="00066AC3"/>
    <w:rsid w:val="00067BD8"/>
    <w:rsid w:val="00067F26"/>
    <w:rsid w:val="00070919"/>
    <w:rsid w:val="00071037"/>
    <w:rsid w:val="00071777"/>
    <w:rsid w:val="00071C9D"/>
    <w:rsid w:val="000724ED"/>
    <w:rsid w:val="00072943"/>
    <w:rsid w:val="00072B85"/>
    <w:rsid w:val="000733DD"/>
    <w:rsid w:val="00073757"/>
    <w:rsid w:val="00074D77"/>
    <w:rsid w:val="00075D48"/>
    <w:rsid w:val="00076E94"/>
    <w:rsid w:val="000774C4"/>
    <w:rsid w:val="000810A1"/>
    <w:rsid w:val="00082338"/>
    <w:rsid w:val="0008451E"/>
    <w:rsid w:val="000864AA"/>
    <w:rsid w:val="0009002A"/>
    <w:rsid w:val="00090E07"/>
    <w:rsid w:val="00096424"/>
    <w:rsid w:val="000966E7"/>
    <w:rsid w:val="00096DF9"/>
    <w:rsid w:val="000A2AC5"/>
    <w:rsid w:val="000A3029"/>
    <w:rsid w:val="000A3E05"/>
    <w:rsid w:val="000A3E8B"/>
    <w:rsid w:val="000A4E18"/>
    <w:rsid w:val="000A5295"/>
    <w:rsid w:val="000A611D"/>
    <w:rsid w:val="000B12FE"/>
    <w:rsid w:val="000B395B"/>
    <w:rsid w:val="000B3E9E"/>
    <w:rsid w:val="000B6117"/>
    <w:rsid w:val="000B6134"/>
    <w:rsid w:val="000B67C1"/>
    <w:rsid w:val="000B7F44"/>
    <w:rsid w:val="000C19D9"/>
    <w:rsid w:val="000C2A05"/>
    <w:rsid w:val="000C4CAF"/>
    <w:rsid w:val="000C5397"/>
    <w:rsid w:val="000D01E2"/>
    <w:rsid w:val="000D0628"/>
    <w:rsid w:val="000D0D2B"/>
    <w:rsid w:val="000D1053"/>
    <w:rsid w:val="000D5366"/>
    <w:rsid w:val="000D5867"/>
    <w:rsid w:val="000D5C81"/>
    <w:rsid w:val="000D5FBC"/>
    <w:rsid w:val="000D65D4"/>
    <w:rsid w:val="000D68DE"/>
    <w:rsid w:val="000D6970"/>
    <w:rsid w:val="000D6EE0"/>
    <w:rsid w:val="000E1824"/>
    <w:rsid w:val="000E23F8"/>
    <w:rsid w:val="000E3FA6"/>
    <w:rsid w:val="000E4B36"/>
    <w:rsid w:val="000E4D64"/>
    <w:rsid w:val="000E511D"/>
    <w:rsid w:val="000E5724"/>
    <w:rsid w:val="000E5F17"/>
    <w:rsid w:val="000E63A4"/>
    <w:rsid w:val="000F0AEA"/>
    <w:rsid w:val="000F0F1F"/>
    <w:rsid w:val="000F10F9"/>
    <w:rsid w:val="000F1E74"/>
    <w:rsid w:val="000F3A3D"/>
    <w:rsid w:val="000F46C1"/>
    <w:rsid w:val="000F61E9"/>
    <w:rsid w:val="000F7405"/>
    <w:rsid w:val="000F77DE"/>
    <w:rsid w:val="001002C3"/>
    <w:rsid w:val="00100714"/>
    <w:rsid w:val="00100D26"/>
    <w:rsid w:val="00100EED"/>
    <w:rsid w:val="00102E88"/>
    <w:rsid w:val="00105ACF"/>
    <w:rsid w:val="001066A8"/>
    <w:rsid w:val="001070C7"/>
    <w:rsid w:val="001077A1"/>
    <w:rsid w:val="0011110C"/>
    <w:rsid w:val="00111C95"/>
    <w:rsid w:val="001133A7"/>
    <w:rsid w:val="001139E7"/>
    <w:rsid w:val="0011495E"/>
    <w:rsid w:val="00115382"/>
    <w:rsid w:val="001155F3"/>
    <w:rsid w:val="001157C4"/>
    <w:rsid w:val="0012084D"/>
    <w:rsid w:val="00121593"/>
    <w:rsid w:val="00121D7F"/>
    <w:rsid w:val="0012214C"/>
    <w:rsid w:val="00124A74"/>
    <w:rsid w:val="0012514A"/>
    <w:rsid w:val="00125A83"/>
    <w:rsid w:val="00125E79"/>
    <w:rsid w:val="00127EB0"/>
    <w:rsid w:val="00130F9E"/>
    <w:rsid w:val="00132F1C"/>
    <w:rsid w:val="001335CA"/>
    <w:rsid w:val="0013540C"/>
    <w:rsid w:val="00135F1B"/>
    <w:rsid w:val="00140F47"/>
    <w:rsid w:val="001410C4"/>
    <w:rsid w:val="00142E8A"/>
    <w:rsid w:val="00143868"/>
    <w:rsid w:val="00146592"/>
    <w:rsid w:val="00153141"/>
    <w:rsid w:val="00153D44"/>
    <w:rsid w:val="00155CFF"/>
    <w:rsid w:val="00155EBB"/>
    <w:rsid w:val="00156313"/>
    <w:rsid w:val="001565D0"/>
    <w:rsid w:val="00157180"/>
    <w:rsid w:val="001577F4"/>
    <w:rsid w:val="00157AF9"/>
    <w:rsid w:val="001616A2"/>
    <w:rsid w:val="001617C9"/>
    <w:rsid w:val="001619CA"/>
    <w:rsid w:val="001631DA"/>
    <w:rsid w:val="001632DB"/>
    <w:rsid w:val="00163D5B"/>
    <w:rsid w:val="00164FD4"/>
    <w:rsid w:val="001652B9"/>
    <w:rsid w:val="00167139"/>
    <w:rsid w:val="00171EF3"/>
    <w:rsid w:val="00172465"/>
    <w:rsid w:val="001730CE"/>
    <w:rsid w:val="00173C20"/>
    <w:rsid w:val="00176F72"/>
    <w:rsid w:val="00177593"/>
    <w:rsid w:val="001801B2"/>
    <w:rsid w:val="00181137"/>
    <w:rsid w:val="001821D8"/>
    <w:rsid w:val="001824B3"/>
    <w:rsid w:val="001857FC"/>
    <w:rsid w:val="0019101F"/>
    <w:rsid w:val="001922C2"/>
    <w:rsid w:val="00192906"/>
    <w:rsid w:val="00192CF6"/>
    <w:rsid w:val="001936CC"/>
    <w:rsid w:val="00195988"/>
    <w:rsid w:val="00196118"/>
    <w:rsid w:val="0019652E"/>
    <w:rsid w:val="00197772"/>
    <w:rsid w:val="001A0A0F"/>
    <w:rsid w:val="001A122E"/>
    <w:rsid w:val="001A2733"/>
    <w:rsid w:val="001A2B9D"/>
    <w:rsid w:val="001A3774"/>
    <w:rsid w:val="001A39E8"/>
    <w:rsid w:val="001A3B59"/>
    <w:rsid w:val="001A4AA8"/>
    <w:rsid w:val="001A4D91"/>
    <w:rsid w:val="001A50F9"/>
    <w:rsid w:val="001A5124"/>
    <w:rsid w:val="001A5C71"/>
    <w:rsid w:val="001A616F"/>
    <w:rsid w:val="001B23AB"/>
    <w:rsid w:val="001B483D"/>
    <w:rsid w:val="001B54F4"/>
    <w:rsid w:val="001B5F69"/>
    <w:rsid w:val="001B6486"/>
    <w:rsid w:val="001B666A"/>
    <w:rsid w:val="001B6B68"/>
    <w:rsid w:val="001C0447"/>
    <w:rsid w:val="001C0E12"/>
    <w:rsid w:val="001C174C"/>
    <w:rsid w:val="001C2970"/>
    <w:rsid w:val="001C2B0D"/>
    <w:rsid w:val="001C4265"/>
    <w:rsid w:val="001C474D"/>
    <w:rsid w:val="001C4DE3"/>
    <w:rsid w:val="001C72AE"/>
    <w:rsid w:val="001C7D1F"/>
    <w:rsid w:val="001C7F6A"/>
    <w:rsid w:val="001D037C"/>
    <w:rsid w:val="001D07A8"/>
    <w:rsid w:val="001D2A1B"/>
    <w:rsid w:val="001D301F"/>
    <w:rsid w:val="001D33BA"/>
    <w:rsid w:val="001D3511"/>
    <w:rsid w:val="001D4D2C"/>
    <w:rsid w:val="001D5D6F"/>
    <w:rsid w:val="001D6D93"/>
    <w:rsid w:val="001D6F41"/>
    <w:rsid w:val="001D6FA3"/>
    <w:rsid w:val="001D7193"/>
    <w:rsid w:val="001D73CF"/>
    <w:rsid w:val="001D7F05"/>
    <w:rsid w:val="001E0DB3"/>
    <w:rsid w:val="001E1090"/>
    <w:rsid w:val="001E131A"/>
    <w:rsid w:val="001E28E9"/>
    <w:rsid w:val="001E353F"/>
    <w:rsid w:val="001E436B"/>
    <w:rsid w:val="001E5C9F"/>
    <w:rsid w:val="001E7043"/>
    <w:rsid w:val="001F0325"/>
    <w:rsid w:val="001F0345"/>
    <w:rsid w:val="001F087C"/>
    <w:rsid w:val="001F106B"/>
    <w:rsid w:val="001F1341"/>
    <w:rsid w:val="001F42F5"/>
    <w:rsid w:val="001F5427"/>
    <w:rsid w:val="001F59BD"/>
    <w:rsid w:val="001F5C15"/>
    <w:rsid w:val="001F5C83"/>
    <w:rsid w:val="001F6D49"/>
    <w:rsid w:val="00200234"/>
    <w:rsid w:val="00200235"/>
    <w:rsid w:val="0020152E"/>
    <w:rsid w:val="00202BE2"/>
    <w:rsid w:val="00202EF4"/>
    <w:rsid w:val="00203540"/>
    <w:rsid w:val="0020525F"/>
    <w:rsid w:val="00205522"/>
    <w:rsid w:val="002068D3"/>
    <w:rsid w:val="00206D48"/>
    <w:rsid w:val="00207EA2"/>
    <w:rsid w:val="00211A74"/>
    <w:rsid w:val="00211AFA"/>
    <w:rsid w:val="00211B79"/>
    <w:rsid w:val="00217CAA"/>
    <w:rsid w:val="0022257C"/>
    <w:rsid w:val="0022694E"/>
    <w:rsid w:val="0022723E"/>
    <w:rsid w:val="002300CA"/>
    <w:rsid w:val="002301CA"/>
    <w:rsid w:val="002306CB"/>
    <w:rsid w:val="00230BA4"/>
    <w:rsid w:val="00231AD9"/>
    <w:rsid w:val="00232C42"/>
    <w:rsid w:val="00232D66"/>
    <w:rsid w:val="00233B26"/>
    <w:rsid w:val="002346F0"/>
    <w:rsid w:val="00234C49"/>
    <w:rsid w:val="00235547"/>
    <w:rsid w:val="0023555D"/>
    <w:rsid w:val="002362BF"/>
    <w:rsid w:val="00236745"/>
    <w:rsid w:val="00236844"/>
    <w:rsid w:val="002400F5"/>
    <w:rsid w:val="002406A9"/>
    <w:rsid w:val="00240A0C"/>
    <w:rsid w:val="00240B00"/>
    <w:rsid w:val="00242453"/>
    <w:rsid w:val="00243C75"/>
    <w:rsid w:val="00247834"/>
    <w:rsid w:val="00250632"/>
    <w:rsid w:val="00251079"/>
    <w:rsid w:val="002515B1"/>
    <w:rsid w:val="00251996"/>
    <w:rsid w:val="0025420B"/>
    <w:rsid w:val="002546F2"/>
    <w:rsid w:val="002547FA"/>
    <w:rsid w:val="002552B0"/>
    <w:rsid w:val="0025644D"/>
    <w:rsid w:val="002568FB"/>
    <w:rsid w:val="00256BE2"/>
    <w:rsid w:val="002575C1"/>
    <w:rsid w:val="00260800"/>
    <w:rsid w:val="002622D3"/>
    <w:rsid w:val="002630AD"/>
    <w:rsid w:val="00263C65"/>
    <w:rsid w:val="00264337"/>
    <w:rsid w:val="0026600B"/>
    <w:rsid w:val="00266160"/>
    <w:rsid w:val="00267783"/>
    <w:rsid w:val="00270B7C"/>
    <w:rsid w:val="00272042"/>
    <w:rsid w:val="0027204B"/>
    <w:rsid w:val="00274AFA"/>
    <w:rsid w:val="0027615E"/>
    <w:rsid w:val="002769DA"/>
    <w:rsid w:val="00276BD7"/>
    <w:rsid w:val="00277C0B"/>
    <w:rsid w:val="00280266"/>
    <w:rsid w:val="0028230C"/>
    <w:rsid w:val="00283201"/>
    <w:rsid w:val="00283C7B"/>
    <w:rsid w:val="002842D2"/>
    <w:rsid w:val="002846CC"/>
    <w:rsid w:val="0028490F"/>
    <w:rsid w:val="00285B15"/>
    <w:rsid w:val="00286176"/>
    <w:rsid w:val="00287927"/>
    <w:rsid w:val="00287C5D"/>
    <w:rsid w:val="00290965"/>
    <w:rsid w:val="00290BB8"/>
    <w:rsid w:val="00290D09"/>
    <w:rsid w:val="00290D95"/>
    <w:rsid w:val="00291339"/>
    <w:rsid w:val="002923D2"/>
    <w:rsid w:val="00294F46"/>
    <w:rsid w:val="0029571C"/>
    <w:rsid w:val="00296172"/>
    <w:rsid w:val="00296D98"/>
    <w:rsid w:val="00297430"/>
    <w:rsid w:val="00297DED"/>
    <w:rsid w:val="002A072A"/>
    <w:rsid w:val="002A3C22"/>
    <w:rsid w:val="002A5DDA"/>
    <w:rsid w:val="002A621B"/>
    <w:rsid w:val="002A741B"/>
    <w:rsid w:val="002B0A86"/>
    <w:rsid w:val="002B0FAE"/>
    <w:rsid w:val="002B35BC"/>
    <w:rsid w:val="002B40F9"/>
    <w:rsid w:val="002B5ADE"/>
    <w:rsid w:val="002C0359"/>
    <w:rsid w:val="002C3F94"/>
    <w:rsid w:val="002C425D"/>
    <w:rsid w:val="002C47C4"/>
    <w:rsid w:val="002C64DE"/>
    <w:rsid w:val="002D1B66"/>
    <w:rsid w:val="002D1C36"/>
    <w:rsid w:val="002D1E57"/>
    <w:rsid w:val="002D1F37"/>
    <w:rsid w:val="002D1F41"/>
    <w:rsid w:val="002D216B"/>
    <w:rsid w:val="002D337E"/>
    <w:rsid w:val="002D3428"/>
    <w:rsid w:val="002D35DC"/>
    <w:rsid w:val="002D4473"/>
    <w:rsid w:val="002D4AF2"/>
    <w:rsid w:val="002D6EE4"/>
    <w:rsid w:val="002D703D"/>
    <w:rsid w:val="002D7107"/>
    <w:rsid w:val="002E0133"/>
    <w:rsid w:val="002E09CA"/>
    <w:rsid w:val="002E2BFC"/>
    <w:rsid w:val="002E32C2"/>
    <w:rsid w:val="002E3E05"/>
    <w:rsid w:val="002E4954"/>
    <w:rsid w:val="002E5583"/>
    <w:rsid w:val="002E7EA3"/>
    <w:rsid w:val="002F0491"/>
    <w:rsid w:val="002F12D5"/>
    <w:rsid w:val="002F223D"/>
    <w:rsid w:val="002F392A"/>
    <w:rsid w:val="002F42F3"/>
    <w:rsid w:val="002F5DDA"/>
    <w:rsid w:val="002F7F68"/>
    <w:rsid w:val="00302A21"/>
    <w:rsid w:val="00304404"/>
    <w:rsid w:val="003125DE"/>
    <w:rsid w:val="00312921"/>
    <w:rsid w:val="00312F5E"/>
    <w:rsid w:val="00313E16"/>
    <w:rsid w:val="0031418F"/>
    <w:rsid w:val="00315483"/>
    <w:rsid w:val="003159F7"/>
    <w:rsid w:val="00317432"/>
    <w:rsid w:val="0032132E"/>
    <w:rsid w:val="0032254E"/>
    <w:rsid w:val="003227F0"/>
    <w:rsid w:val="00323DD2"/>
    <w:rsid w:val="00324053"/>
    <w:rsid w:val="00324710"/>
    <w:rsid w:val="00324ECE"/>
    <w:rsid w:val="00326160"/>
    <w:rsid w:val="0032792F"/>
    <w:rsid w:val="0033012D"/>
    <w:rsid w:val="00331525"/>
    <w:rsid w:val="00332379"/>
    <w:rsid w:val="00332596"/>
    <w:rsid w:val="003334E4"/>
    <w:rsid w:val="0033531C"/>
    <w:rsid w:val="00340E7C"/>
    <w:rsid w:val="0034360C"/>
    <w:rsid w:val="00343C82"/>
    <w:rsid w:val="00343DF1"/>
    <w:rsid w:val="00343EDD"/>
    <w:rsid w:val="00345061"/>
    <w:rsid w:val="0034567E"/>
    <w:rsid w:val="00347231"/>
    <w:rsid w:val="00347A40"/>
    <w:rsid w:val="003501C0"/>
    <w:rsid w:val="00350D82"/>
    <w:rsid w:val="00351CBE"/>
    <w:rsid w:val="00353EAB"/>
    <w:rsid w:val="0035487A"/>
    <w:rsid w:val="0035507D"/>
    <w:rsid w:val="00355532"/>
    <w:rsid w:val="003555B9"/>
    <w:rsid w:val="00356DD3"/>
    <w:rsid w:val="00356EB8"/>
    <w:rsid w:val="003610A0"/>
    <w:rsid w:val="00362831"/>
    <w:rsid w:val="00362AA7"/>
    <w:rsid w:val="003633B7"/>
    <w:rsid w:val="00363412"/>
    <w:rsid w:val="003634F1"/>
    <w:rsid w:val="00366B8C"/>
    <w:rsid w:val="0037305A"/>
    <w:rsid w:val="00373D1A"/>
    <w:rsid w:val="00374999"/>
    <w:rsid w:val="003751E4"/>
    <w:rsid w:val="0037735A"/>
    <w:rsid w:val="00377425"/>
    <w:rsid w:val="003778C9"/>
    <w:rsid w:val="003805C6"/>
    <w:rsid w:val="003823B2"/>
    <w:rsid w:val="00382ADD"/>
    <w:rsid w:val="0038371B"/>
    <w:rsid w:val="00384C0A"/>
    <w:rsid w:val="00386676"/>
    <w:rsid w:val="00386DEB"/>
    <w:rsid w:val="00387771"/>
    <w:rsid w:val="00387BE9"/>
    <w:rsid w:val="00392AE0"/>
    <w:rsid w:val="00393C7E"/>
    <w:rsid w:val="00394FA5"/>
    <w:rsid w:val="00395784"/>
    <w:rsid w:val="0039707B"/>
    <w:rsid w:val="003A1233"/>
    <w:rsid w:val="003A1695"/>
    <w:rsid w:val="003A19D2"/>
    <w:rsid w:val="003A25C4"/>
    <w:rsid w:val="003A26DD"/>
    <w:rsid w:val="003A32A1"/>
    <w:rsid w:val="003A537C"/>
    <w:rsid w:val="003A555A"/>
    <w:rsid w:val="003A712E"/>
    <w:rsid w:val="003B04AE"/>
    <w:rsid w:val="003B06CF"/>
    <w:rsid w:val="003B0CEE"/>
    <w:rsid w:val="003B0FAC"/>
    <w:rsid w:val="003B351C"/>
    <w:rsid w:val="003B4E3E"/>
    <w:rsid w:val="003B51CB"/>
    <w:rsid w:val="003C0BD2"/>
    <w:rsid w:val="003C165C"/>
    <w:rsid w:val="003C387B"/>
    <w:rsid w:val="003C5894"/>
    <w:rsid w:val="003D0F33"/>
    <w:rsid w:val="003D2794"/>
    <w:rsid w:val="003D27C5"/>
    <w:rsid w:val="003D63BC"/>
    <w:rsid w:val="003D670C"/>
    <w:rsid w:val="003D6E9B"/>
    <w:rsid w:val="003D70F3"/>
    <w:rsid w:val="003E05C9"/>
    <w:rsid w:val="003E4967"/>
    <w:rsid w:val="003E50E2"/>
    <w:rsid w:val="003E5827"/>
    <w:rsid w:val="003E6155"/>
    <w:rsid w:val="003E6B4E"/>
    <w:rsid w:val="003E766C"/>
    <w:rsid w:val="003F21A4"/>
    <w:rsid w:val="003F260A"/>
    <w:rsid w:val="003F3467"/>
    <w:rsid w:val="003F6D54"/>
    <w:rsid w:val="003F71CA"/>
    <w:rsid w:val="00400E20"/>
    <w:rsid w:val="0040156A"/>
    <w:rsid w:val="00402A4A"/>
    <w:rsid w:val="004038AE"/>
    <w:rsid w:val="00404CAC"/>
    <w:rsid w:val="00406AE0"/>
    <w:rsid w:val="00407092"/>
    <w:rsid w:val="0040749F"/>
    <w:rsid w:val="0041011E"/>
    <w:rsid w:val="00410790"/>
    <w:rsid w:val="00410FCB"/>
    <w:rsid w:val="0041121C"/>
    <w:rsid w:val="00411F08"/>
    <w:rsid w:val="004125BC"/>
    <w:rsid w:val="00412897"/>
    <w:rsid w:val="004128CE"/>
    <w:rsid w:val="00413629"/>
    <w:rsid w:val="00416648"/>
    <w:rsid w:val="004171F0"/>
    <w:rsid w:val="00417269"/>
    <w:rsid w:val="00420CB9"/>
    <w:rsid w:val="0042154C"/>
    <w:rsid w:val="00422E7F"/>
    <w:rsid w:val="00423DE5"/>
    <w:rsid w:val="00425325"/>
    <w:rsid w:val="00425D22"/>
    <w:rsid w:val="004270B3"/>
    <w:rsid w:val="00427949"/>
    <w:rsid w:val="00427FD2"/>
    <w:rsid w:val="004319D3"/>
    <w:rsid w:val="004323E9"/>
    <w:rsid w:val="00433C0D"/>
    <w:rsid w:val="004342D1"/>
    <w:rsid w:val="004343C7"/>
    <w:rsid w:val="00436635"/>
    <w:rsid w:val="004372E2"/>
    <w:rsid w:val="00442284"/>
    <w:rsid w:val="00442369"/>
    <w:rsid w:val="00444869"/>
    <w:rsid w:val="004454C9"/>
    <w:rsid w:val="00447178"/>
    <w:rsid w:val="00447785"/>
    <w:rsid w:val="00447C91"/>
    <w:rsid w:val="0045130F"/>
    <w:rsid w:val="00451D1A"/>
    <w:rsid w:val="0045211A"/>
    <w:rsid w:val="0045323D"/>
    <w:rsid w:val="00453284"/>
    <w:rsid w:val="00453C74"/>
    <w:rsid w:val="004542AD"/>
    <w:rsid w:val="00454997"/>
    <w:rsid w:val="00455FB5"/>
    <w:rsid w:val="0045623F"/>
    <w:rsid w:val="0045656A"/>
    <w:rsid w:val="0045735B"/>
    <w:rsid w:val="00457618"/>
    <w:rsid w:val="00457ED6"/>
    <w:rsid w:val="0046081E"/>
    <w:rsid w:val="004610DA"/>
    <w:rsid w:val="00461B64"/>
    <w:rsid w:val="004621EA"/>
    <w:rsid w:val="00463A16"/>
    <w:rsid w:val="00464D77"/>
    <w:rsid w:val="00465539"/>
    <w:rsid w:val="00466497"/>
    <w:rsid w:val="0046651A"/>
    <w:rsid w:val="00466E80"/>
    <w:rsid w:val="0046782C"/>
    <w:rsid w:val="004757DF"/>
    <w:rsid w:val="004761AE"/>
    <w:rsid w:val="00476679"/>
    <w:rsid w:val="00477BDA"/>
    <w:rsid w:val="004800E4"/>
    <w:rsid w:val="00481F07"/>
    <w:rsid w:val="0048229A"/>
    <w:rsid w:val="0048648D"/>
    <w:rsid w:val="004871A7"/>
    <w:rsid w:val="00487213"/>
    <w:rsid w:val="004872BA"/>
    <w:rsid w:val="0048777B"/>
    <w:rsid w:val="00487DE3"/>
    <w:rsid w:val="0049015C"/>
    <w:rsid w:val="0049056E"/>
    <w:rsid w:val="00490707"/>
    <w:rsid w:val="00490979"/>
    <w:rsid w:val="00490A86"/>
    <w:rsid w:val="00490BF9"/>
    <w:rsid w:val="00491AAA"/>
    <w:rsid w:val="004945C1"/>
    <w:rsid w:val="004958B4"/>
    <w:rsid w:val="00495F17"/>
    <w:rsid w:val="004975CD"/>
    <w:rsid w:val="004A032E"/>
    <w:rsid w:val="004A0884"/>
    <w:rsid w:val="004A1022"/>
    <w:rsid w:val="004A1442"/>
    <w:rsid w:val="004A2F23"/>
    <w:rsid w:val="004A34C5"/>
    <w:rsid w:val="004A3D46"/>
    <w:rsid w:val="004A48ED"/>
    <w:rsid w:val="004A54BF"/>
    <w:rsid w:val="004B2015"/>
    <w:rsid w:val="004B2368"/>
    <w:rsid w:val="004B3ED2"/>
    <w:rsid w:val="004B4B72"/>
    <w:rsid w:val="004C19AD"/>
    <w:rsid w:val="004C210F"/>
    <w:rsid w:val="004C2A9F"/>
    <w:rsid w:val="004C4AEB"/>
    <w:rsid w:val="004C4EA6"/>
    <w:rsid w:val="004C508A"/>
    <w:rsid w:val="004C62A7"/>
    <w:rsid w:val="004C76E6"/>
    <w:rsid w:val="004D1C94"/>
    <w:rsid w:val="004D22F3"/>
    <w:rsid w:val="004D3188"/>
    <w:rsid w:val="004D429C"/>
    <w:rsid w:val="004D4979"/>
    <w:rsid w:val="004D6184"/>
    <w:rsid w:val="004D707A"/>
    <w:rsid w:val="004E0C74"/>
    <w:rsid w:val="004E1661"/>
    <w:rsid w:val="004E3151"/>
    <w:rsid w:val="004E33FE"/>
    <w:rsid w:val="004E6F6D"/>
    <w:rsid w:val="004E70DA"/>
    <w:rsid w:val="004E76C5"/>
    <w:rsid w:val="004E7972"/>
    <w:rsid w:val="004F11F6"/>
    <w:rsid w:val="004F20DB"/>
    <w:rsid w:val="004F3C32"/>
    <w:rsid w:val="004F6ADD"/>
    <w:rsid w:val="004F73E6"/>
    <w:rsid w:val="004F7AC2"/>
    <w:rsid w:val="00500725"/>
    <w:rsid w:val="00500FE9"/>
    <w:rsid w:val="0050117E"/>
    <w:rsid w:val="0050183E"/>
    <w:rsid w:val="00502241"/>
    <w:rsid w:val="0050312D"/>
    <w:rsid w:val="00503174"/>
    <w:rsid w:val="00503AAC"/>
    <w:rsid w:val="00505EE1"/>
    <w:rsid w:val="005064BF"/>
    <w:rsid w:val="005067E5"/>
    <w:rsid w:val="0051020E"/>
    <w:rsid w:val="00510BF4"/>
    <w:rsid w:val="005114FA"/>
    <w:rsid w:val="00513FC8"/>
    <w:rsid w:val="0051485F"/>
    <w:rsid w:val="00520E8A"/>
    <w:rsid w:val="005214D3"/>
    <w:rsid w:val="00521B85"/>
    <w:rsid w:val="00522C08"/>
    <w:rsid w:val="00524A78"/>
    <w:rsid w:val="00524BF7"/>
    <w:rsid w:val="00524CBD"/>
    <w:rsid w:val="00527147"/>
    <w:rsid w:val="00530903"/>
    <w:rsid w:val="00530AFC"/>
    <w:rsid w:val="005314BA"/>
    <w:rsid w:val="00531D12"/>
    <w:rsid w:val="005323F7"/>
    <w:rsid w:val="005327B5"/>
    <w:rsid w:val="00536489"/>
    <w:rsid w:val="00545BC3"/>
    <w:rsid w:val="0054606C"/>
    <w:rsid w:val="005460A9"/>
    <w:rsid w:val="005478D4"/>
    <w:rsid w:val="00547A24"/>
    <w:rsid w:val="00550035"/>
    <w:rsid w:val="00550174"/>
    <w:rsid w:val="0055053B"/>
    <w:rsid w:val="005505EB"/>
    <w:rsid w:val="00550C43"/>
    <w:rsid w:val="005515BC"/>
    <w:rsid w:val="005521DC"/>
    <w:rsid w:val="00553C4B"/>
    <w:rsid w:val="00553E30"/>
    <w:rsid w:val="00553F6A"/>
    <w:rsid w:val="00554CC8"/>
    <w:rsid w:val="0055570B"/>
    <w:rsid w:val="00555D24"/>
    <w:rsid w:val="00557B31"/>
    <w:rsid w:val="0056424D"/>
    <w:rsid w:val="005644E0"/>
    <w:rsid w:val="00564669"/>
    <w:rsid w:val="0056495B"/>
    <w:rsid w:val="00564BBE"/>
    <w:rsid w:val="00565BC4"/>
    <w:rsid w:val="00567005"/>
    <w:rsid w:val="00571563"/>
    <w:rsid w:val="00574B27"/>
    <w:rsid w:val="0057593C"/>
    <w:rsid w:val="00575EA0"/>
    <w:rsid w:val="0057777B"/>
    <w:rsid w:val="00580703"/>
    <w:rsid w:val="00581D49"/>
    <w:rsid w:val="005829E8"/>
    <w:rsid w:val="00585144"/>
    <w:rsid w:val="00585CAA"/>
    <w:rsid w:val="00586084"/>
    <w:rsid w:val="005867C9"/>
    <w:rsid w:val="0058731D"/>
    <w:rsid w:val="00587C68"/>
    <w:rsid w:val="00590A96"/>
    <w:rsid w:val="00591207"/>
    <w:rsid w:val="00592155"/>
    <w:rsid w:val="00593D51"/>
    <w:rsid w:val="00594AF7"/>
    <w:rsid w:val="00594E5C"/>
    <w:rsid w:val="005952C8"/>
    <w:rsid w:val="00596A1C"/>
    <w:rsid w:val="0059721C"/>
    <w:rsid w:val="0059792A"/>
    <w:rsid w:val="005A222A"/>
    <w:rsid w:val="005A2EE6"/>
    <w:rsid w:val="005A313B"/>
    <w:rsid w:val="005A33CD"/>
    <w:rsid w:val="005A3DE5"/>
    <w:rsid w:val="005A453C"/>
    <w:rsid w:val="005A708F"/>
    <w:rsid w:val="005A72D8"/>
    <w:rsid w:val="005B0B3B"/>
    <w:rsid w:val="005B1260"/>
    <w:rsid w:val="005B1D13"/>
    <w:rsid w:val="005B3235"/>
    <w:rsid w:val="005B36D7"/>
    <w:rsid w:val="005B3E27"/>
    <w:rsid w:val="005B52FA"/>
    <w:rsid w:val="005B58E1"/>
    <w:rsid w:val="005B5AB3"/>
    <w:rsid w:val="005B621D"/>
    <w:rsid w:val="005B70A7"/>
    <w:rsid w:val="005B7236"/>
    <w:rsid w:val="005C27B6"/>
    <w:rsid w:val="005C2E9A"/>
    <w:rsid w:val="005C3B4A"/>
    <w:rsid w:val="005C6B34"/>
    <w:rsid w:val="005D01FB"/>
    <w:rsid w:val="005D1D44"/>
    <w:rsid w:val="005D378B"/>
    <w:rsid w:val="005D6466"/>
    <w:rsid w:val="005D6A6A"/>
    <w:rsid w:val="005D6A85"/>
    <w:rsid w:val="005E00F1"/>
    <w:rsid w:val="005E099F"/>
    <w:rsid w:val="005E5F1D"/>
    <w:rsid w:val="005E5F7C"/>
    <w:rsid w:val="005E7127"/>
    <w:rsid w:val="005F0F2E"/>
    <w:rsid w:val="005F33B4"/>
    <w:rsid w:val="005F3D02"/>
    <w:rsid w:val="005F5320"/>
    <w:rsid w:val="005F6745"/>
    <w:rsid w:val="005F6AE2"/>
    <w:rsid w:val="005F7644"/>
    <w:rsid w:val="00600A3C"/>
    <w:rsid w:val="006014F2"/>
    <w:rsid w:val="0060201A"/>
    <w:rsid w:val="00602785"/>
    <w:rsid w:val="006055AF"/>
    <w:rsid w:val="00605722"/>
    <w:rsid w:val="00606117"/>
    <w:rsid w:val="00606982"/>
    <w:rsid w:val="006074F4"/>
    <w:rsid w:val="00607651"/>
    <w:rsid w:val="00607EEE"/>
    <w:rsid w:val="0061089C"/>
    <w:rsid w:val="00611F8D"/>
    <w:rsid w:val="00611FE0"/>
    <w:rsid w:val="006121F5"/>
    <w:rsid w:val="006151B8"/>
    <w:rsid w:val="00615767"/>
    <w:rsid w:val="00616A8A"/>
    <w:rsid w:val="00620434"/>
    <w:rsid w:val="00620627"/>
    <w:rsid w:val="00620A17"/>
    <w:rsid w:val="00622637"/>
    <w:rsid w:val="00622A35"/>
    <w:rsid w:val="00622C0A"/>
    <w:rsid w:val="00623D0A"/>
    <w:rsid w:val="00623F92"/>
    <w:rsid w:val="00624330"/>
    <w:rsid w:val="006244FD"/>
    <w:rsid w:val="00624E75"/>
    <w:rsid w:val="0062549E"/>
    <w:rsid w:val="006269CB"/>
    <w:rsid w:val="006270FD"/>
    <w:rsid w:val="00627C59"/>
    <w:rsid w:val="0063089E"/>
    <w:rsid w:val="006320A0"/>
    <w:rsid w:val="006331FF"/>
    <w:rsid w:val="00633366"/>
    <w:rsid w:val="006333AD"/>
    <w:rsid w:val="006334DC"/>
    <w:rsid w:val="006355F1"/>
    <w:rsid w:val="006368B3"/>
    <w:rsid w:val="00637027"/>
    <w:rsid w:val="0063719C"/>
    <w:rsid w:val="0064029C"/>
    <w:rsid w:val="0064033B"/>
    <w:rsid w:val="00640DBC"/>
    <w:rsid w:val="006411F2"/>
    <w:rsid w:val="00641EB6"/>
    <w:rsid w:val="00644C60"/>
    <w:rsid w:val="00645265"/>
    <w:rsid w:val="00645ACD"/>
    <w:rsid w:val="00645DDE"/>
    <w:rsid w:val="00646E32"/>
    <w:rsid w:val="00647036"/>
    <w:rsid w:val="00647E9F"/>
    <w:rsid w:val="00652193"/>
    <w:rsid w:val="0065274D"/>
    <w:rsid w:val="00653C75"/>
    <w:rsid w:val="00657158"/>
    <w:rsid w:val="00657FB2"/>
    <w:rsid w:val="00660F19"/>
    <w:rsid w:val="006613E9"/>
    <w:rsid w:val="0066250A"/>
    <w:rsid w:val="00663B95"/>
    <w:rsid w:val="00663F60"/>
    <w:rsid w:val="0066405F"/>
    <w:rsid w:val="00665EEC"/>
    <w:rsid w:val="00666475"/>
    <w:rsid w:val="00667F31"/>
    <w:rsid w:val="00670F1C"/>
    <w:rsid w:val="006719C5"/>
    <w:rsid w:val="00672608"/>
    <w:rsid w:val="0067273F"/>
    <w:rsid w:val="00673ED8"/>
    <w:rsid w:val="006742AD"/>
    <w:rsid w:val="0068032C"/>
    <w:rsid w:val="0068317F"/>
    <w:rsid w:val="0068320A"/>
    <w:rsid w:val="0068460A"/>
    <w:rsid w:val="00684D53"/>
    <w:rsid w:val="0068639F"/>
    <w:rsid w:val="00690E16"/>
    <w:rsid w:val="00691E31"/>
    <w:rsid w:val="0069302B"/>
    <w:rsid w:val="00693193"/>
    <w:rsid w:val="006937B7"/>
    <w:rsid w:val="00693D1E"/>
    <w:rsid w:val="00693DDA"/>
    <w:rsid w:val="00696BAA"/>
    <w:rsid w:val="006A0F9E"/>
    <w:rsid w:val="006A2D44"/>
    <w:rsid w:val="006A2E77"/>
    <w:rsid w:val="006A33CA"/>
    <w:rsid w:val="006A3C11"/>
    <w:rsid w:val="006A3E9D"/>
    <w:rsid w:val="006A5082"/>
    <w:rsid w:val="006A6A2C"/>
    <w:rsid w:val="006A7B8A"/>
    <w:rsid w:val="006B03C8"/>
    <w:rsid w:val="006B0977"/>
    <w:rsid w:val="006B09B2"/>
    <w:rsid w:val="006B1AE5"/>
    <w:rsid w:val="006B2383"/>
    <w:rsid w:val="006B4C18"/>
    <w:rsid w:val="006B742D"/>
    <w:rsid w:val="006C01BD"/>
    <w:rsid w:val="006C1EE8"/>
    <w:rsid w:val="006C20B7"/>
    <w:rsid w:val="006C30C0"/>
    <w:rsid w:val="006C3F4A"/>
    <w:rsid w:val="006C4043"/>
    <w:rsid w:val="006C4447"/>
    <w:rsid w:val="006C4F6F"/>
    <w:rsid w:val="006C5CEE"/>
    <w:rsid w:val="006C5EDB"/>
    <w:rsid w:val="006C6572"/>
    <w:rsid w:val="006C66B8"/>
    <w:rsid w:val="006C66C1"/>
    <w:rsid w:val="006C6862"/>
    <w:rsid w:val="006D09F9"/>
    <w:rsid w:val="006D176B"/>
    <w:rsid w:val="006D1C83"/>
    <w:rsid w:val="006D1E07"/>
    <w:rsid w:val="006D2B3B"/>
    <w:rsid w:val="006D42F0"/>
    <w:rsid w:val="006D717A"/>
    <w:rsid w:val="006E0F18"/>
    <w:rsid w:val="006E2D3F"/>
    <w:rsid w:val="006E401E"/>
    <w:rsid w:val="006E49F7"/>
    <w:rsid w:val="006E5CA0"/>
    <w:rsid w:val="006E5D8D"/>
    <w:rsid w:val="006E5FB3"/>
    <w:rsid w:val="006E6712"/>
    <w:rsid w:val="006E685D"/>
    <w:rsid w:val="006E7021"/>
    <w:rsid w:val="006F02AF"/>
    <w:rsid w:val="006F195E"/>
    <w:rsid w:val="006F1B05"/>
    <w:rsid w:val="006F2280"/>
    <w:rsid w:val="006F4AEA"/>
    <w:rsid w:val="0070085D"/>
    <w:rsid w:val="00702F01"/>
    <w:rsid w:val="00703531"/>
    <w:rsid w:val="00703700"/>
    <w:rsid w:val="00704EE0"/>
    <w:rsid w:val="0070662A"/>
    <w:rsid w:val="0071191B"/>
    <w:rsid w:val="00711F00"/>
    <w:rsid w:val="0071261E"/>
    <w:rsid w:val="00712A11"/>
    <w:rsid w:val="00713F55"/>
    <w:rsid w:val="007142C7"/>
    <w:rsid w:val="0071457F"/>
    <w:rsid w:val="0071726A"/>
    <w:rsid w:val="00720553"/>
    <w:rsid w:val="0072302A"/>
    <w:rsid w:val="0072507F"/>
    <w:rsid w:val="0072578E"/>
    <w:rsid w:val="00725CB7"/>
    <w:rsid w:val="00726799"/>
    <w:rsid w:val="00726CB8"/>
    <w:rsid w:val="00727705"/>
    <w:rsid w:val="00730705"/>
    <w:rsid w:val="00730CD8"/>
    <w:rsid w:val="007311E1"/>
    <w:rsid w:val="00731941"/>
    <w:rsid w:val="00732267"/>
    <w:rsid w:val="007328B7"/>
    <w:rsid w:val="0073328C"/>
    <w:rsid w:val="0073536A"/>
    <w:rsid w:val="00735C83"/>
    <w:rsid w:val="00736CF8"/>
    <w:rsid w:val="00737123"/>
    <w:rsid w:val="00743478"/>
    <w:rsid w:val="00745275"/>
    <w:rsid w:val="007509F6"/>
    <w:rsid w:val="00751536"/>
    <w:rsid w:val="007523CC"/>
    <w:rsid w:val="00754485"/>
    <w:rsid w:val="00755436"/>
    <w:rsid w:val="00755AA6"/>
    <w:rsid w:val="00757214"/>
    <w:rsid w:val="00760CC4"/>
    <w:rsid w:val="00760DB5"/>
    <w:rsid w:val="00761F39"/>
    <w:rsid w:val="00762B38"/>
    <w:rsid w:val="00762DA5"/>
    <w:rsid w:val="00765530"/>
    <w:rsid w:val="00765EB1"/>
    <w:rsid w:val="007671F7"/>
    <w:rsid w:val="00770CE0"/>
    <w:rsid w:val="00770EBB"/>
    <w:rsid w:val="0077158B"/>
    <w:rsid w:val="007716E2"/>
    <w:rsid w:val="00771715"/>
    <w:rsid w:val="00772774"/>
    <w:rsid w:val="00772A3A"/>
    <w:rsid w:val="0077379D"/>
    <w:rsid w:val="0077440B"/>
    <w:rsid w:val="007756E7"/>
    <w:rsid w:val="00775BB1"/>
    <w:rsid w:val="00775F15"/>
    <w:rsid w:val="00776336"/>
    <w:rsid w:val="00777198"/>
    <w:rsid w:val="007803F9"/>
    <w:rsid w:val="00781FD6"/>
    <w:rsid w:val="00782BF8"/>
    <w:rsid w:val="00782DA1"/>
    <w:rsid w:val="007840AA"/>
    <w:rsid w:val="007845F7"/>
    <w:rsid w:val="00785912"/>
    <w:rsid w:val="00787A40"/>
    <w:rsid w:val="0079072B"/>
    <w:rsid w:val="007909CB"/>
    <w:rsid w:val="00791702"/>
    <w:rsid w:val="00792748"/>
    <w:rsid w:val="00793492"/>
    <w:rsid w:val="007937BC"/>
    <w:rsid w:val="0079425D"/>
    <w:rsid w:val="00794987"/>
    <w:rsid w:val="0079554B"/>
    <w:rsid w:val="00795F06"/>
    <w:rsid w:val="00796C31"/>
    <w:rsid w:val="00797719"/>
    <w:rsid w:val="00797B1C"/>
    <w:rsid w:val="007A0223"/>
    <w:rsid w:val="007A0638"/>
    <w:rsid w:val="007A0F74"/>
    <w:rsid w:val="007A106D"/>
    <w:rsid w:val="007A1993"/>
    <w:rsid w:val="007A26D6"/>
    <w:rsid w:val="007A3CAF"/>
    <w:rsid w:val="007A462F"/>
    <w:rsid w:val="007A46C4"/>
    <w:rsid w:val="007A4C6D"/>
    <w:rsid w:val="007A7B9E"/>
    <w:rsid w:val="007A7D36"/>
    <w:rsid w:val="007B01FA"/>
    <w:rsid w:val="007B13DD"/>
    <w:rsid w:val="007B2040"/>
    <w:rsid w:val="007B2E55"/>
    <w:rsid w:val="007B312C"/>
    <w:rsid w:val="007B3A27"/>
    <w:rsid w:val="007B558C"/>
    <w:rsid w:val="007B57DE"/>
    <w:rsid w:val="007B7D44"/>
    <w:rsid w:val="007C0035"/>
    <w:rsid w:val="007C1E0A"/>
    <w:rsid w:val="007C295E"/>
    <w:rsid w:val="007C7396"/>
    <w:rsid w:val="007D03DC"/>
    <w:rsid w:val="007D07BD"/>
    <w:rsid w:val="007D14D1"/>
    <w:rsid w:val="007D14DF"/>
    <w:rsid w:val="007D286E"/>
    <w:rsid w:val="007D5432"/>
    <w:rsid w:val="007D6AAC"/>
    <w:rsid w:val="007D726E"/>
    <w:rsid w:val="007E3258"/>
    <w:rsid w:val="007E6C67"/>
    <w:rsid w:val="007E78C5"/>
    <w:rsid w:val="007F05C5"/>
    <w:rsid w:val="007F35AF"/>
    <w:rsid w:val="007F3A2D"/>
    <w:rsid w:val="007F5F1F"/>
    <w:rsid w:val="007F6007"/>
    <w:rsid w:val="007F68AB"/>
    <w:rsid w:val="007F6A01"/>
    <w:rsid w:val="007F7544"/>
    <w:rsid w:val="0080006E"/>
    <w:rsid w:val="0080016A"/>
    <w:rsid w:val="00805ADF"/>
    <w:rsid w:val="0080636D"/>
    <w:rsid w:val="00806EBD"/>
    <w:rsid w:val="008070AE"/>
    <w:rsid w:val="00811401"/>
    <w:rsid w:val="0081223A"/>
    <w:rsid w:val="008144BA"/>
    <w:rsid w:val="008145A8"/>
    <w:rsid w:val="008146A7"/>
    <w:rsid w:val="00815EC2"/>
    <w:rsid w:val="008163CD"/>
    <w:rsid w:val="00816DA0"/>
    <w:rsid w:val="00817CBF"/>
    <w:rsid w:val="00820DDD"/>
    <w:rsid w:val="008213D2"/>
    <w:rsid w:val="008230E1"/>
    <w:rsid w:val="00823DAB"/>
    <w:rsid w:val="00824B02"/>
    <w:rsid w:val="00824EC4"/>
    <w:rsid w:val="00826E6E"/>
    <w:rsid w:val="00827D07"/>
    <w:rsid w:val="00827D88"/>
    <w:rsid w:val="008300A1"/>
    <w:rsid w:val="00830C3C"/>
    <w:rsid w:val="0083117D"/>
    <w:rsid w:val="008325FA"/>
    <w:rsid w:val="00833295"/>
    <w:rsid w:val="00833771"/>
    <w:rsid w:val="00835B87"/>
    <w:rsid w:val="00836433"/>
    <w:rsid w:val="008403D2"/>
    <w:rsid w:val="00840852"/>
    <w:rsid w:val="00840CC3"/>
    <w:rsid w:val="00840D55"/>
    <w:rsid w:val="0084139E"/>
    <w:rsid w:val="0084187E"/>
    <w:rsid w:val="00843930"/>
    <w:rsid w:val="00847157"/>
    <w:rsid w:val="00847756"/>
    <w:rsid w:val="008501E5"/>
    <w:rsid w:val="00850531"/>
    <w:rsid w:val="008511AA"/>
    <w:rsid w:val="0085162D"/>
    <w:rsid w:val="00851A8E"/>
    <w:rsid w:val="008528AA"/>
    <w:rsid w:val="0085291C"/>
    <w:rsid w:val="008531C9"/>
    <w:rsid w:val="00853B07"/>
    <w:rsid w:val="00854ADF"/>
    <w:rsid w:val="00854F72"/>
    <w:rsid w:val="008604EF"/>
    <w:rsid w:val="00861177"/>
    <w:rsid w:val="0086132D"/>
    <w:rsid w:val="0086226D"/>
    <w:rsid w:val="008631D4"/>
    <w:rsid w:val="00864F80"/>
    <w:rsid w:val="00865DAA"/>
    <w:rsid w:val="008660AD"/>
    <w:rsid w:val="00867038"/>
    <w:rsid w:val="00867AC9"/>
    <w:rsid w:val="00867E90"/>
    <w:rsid w:val="008704F3"/>
    <w:rsid w:val="00873686"/>
    <w:rsid w:val="00874761"/>
    <w:rsid w:val="00875C39"/>
    <w:rsid w:val="0087659B"/>
    <w:rsid w:val="0087741E"/>
    <w:rsid w:val="00881897"/>
    <w:rsid w:val="008818E4"/>
    <w:rsid w:val="0088204E"/>
    <w:rsid w:val="008833EC"/>
    <w:rsid w:val="00884955"/>
    <w:rsid w:val="008868F7"/>
    <w:rsid w:val="00890A85"/>
    <w:rsid w:val="00890B76"/>
    <w:rsid w:val="0089187D"/>
    <w:rsid w:val="008924E1"/>
    <w:rsid w:val="0089399C"/>
    <w:rsid w:val="00893E31"/>
    <w:rsid w:val="00894379"/>
    <w:rsid w:val="008945D7"/>
    <w:rsid w:val="00894EC9"/>
    <w:rsid w:val="0089648A"/>
    <w:rsid w:val="008969A2"/>
    <w:rsid w:val="0089701A"/>
    <w:rsid w:val="008A0A61"/>
    <w:rsid w:val="008A1A99"/>
    <w:rsid w:val="008A2E58"/>
    <w:rsid w:val="008A56BE"/>
    <w:rsid w:val="008A5D9B"/>
    <w:rsid w:val="008A7473"/>
    <w:rsid w:val="008B273B"/>
    <w:rsid w:val="008B29D0"/>
    <w:rsid w:val="008B3397"/>
    <w:rsid w:val="008B5F3F"/>
    <w:rsid w:val="008B60CA"/>
    <w:rsid w:val="008B647A"/>
    <w:rsid w:val="008C1D9B"/>
    <w:rsid w:val="008C273F"/>
    <w:rsid w:val="008C375F"/>
    <w:rsid w:val="008C4229"/>
    <w:rsid w:val="008C6742"/>
    <w:rsid w:val="008C7EEA"/>
    <w:rsid w:val="008D0109"/>
    <w:rsid w:val="008D12B6"/>
    <w:rsid w:val="008D1B22"/>
    <w:rsid w:val="008D3753"/>
    <w:rsid w:val="008D38EC"/>
    <w:rsid w:val="008D3EDC"/>
    <w:rsid w:val="008D4AA9"/>
    <w:rsid w:val="008E275F"/>
    <w:rsid w:val="008E34B6"/>
    <w:rsid w:val="008E3A7C"/>
    <w:rsid w:val="008E59D8"/>
    <w:rsid w:val="008F22D2"/>
    <w:rsid w:val="008F3100"/>
    <w:rsid w:val="008F4648"/>
    <w:rsid w:val="008F74AA"/>
    <w:rsid w:val="008F7EE7"/>
    <w:rsid w:val="00901111"/>
    <w:rsid w:val="009012D8"/>
    <w:rsid w:val="00902859"/>
    <w:rsid w:val="00904C33"/>
    <w:rsid w:val="00906EDC"/>
    <w:rsid w:val="009104B5"/>
    <w:rsid w:val="00912291"/>
    <w:rsid w:val="00912859"/>
    <w:rsid w:val="00914E03"/>
    <w:rsid w:val="00921DD5"/>
    <w:rsid w:val="009221B8"/>
    <w:rsid w:val="00923510"/>
    <w:rsid w:val="00923CE8"/>
    <w:rsid w:val="009245CE"/>
    <w:rsid w:val="00924E9B"/>
    <w:rsid w:val="00925444"/>
    <w:rsid w:val="009273B9"/>
    <w:rsid w:val="00930766"/>
    <w:rsid w:val="00931916"/>
    <w:rsid w:val="0093207B"/>
    <w:rsid w:val="00932566"/>
    <w:rsid w:val="00933DD0"/>
    <w:rsid w:val="00934DD9"/>
    <w:rsid w:val="009352BD"/>
    <w:rsid w:val="00936CA3"/>
    <w:rsid w:val="009371F9"/>
    <w:rsid w:val="009408EF"/>
    <w:rsid w:val="009409C1"/>
    <w:rsid w:val="00941C0D"/>
    <w:rsid w:val="00943068"/>
    <w:rsid w:val="009430DC"/>
    <w:rsid w:val="00943D65"/>
    <w:rsid w:val="009454EF"/>
    <w:rsid w:val="00945858"/>
    <w:rsid w:val="00946C44"/>
    <w:rsid w:val="009507F6"/>
    <w:rsid w:val="00950AF5"/>
    <w:rsid w:val="00950F8E"/>
    <w:rsid w:val="00952A37"/>
    <w:rsid w:val="00953D04"/>
    <w:rsid w:val="00954589"/>
    <w:rsid w:val="00954866"/>
    <w:rsid w:val="00955768"/>
    <w:rsid w:val="009558D1"/>
    <w:rsid w:val="00962CF7"/>
    <w:rsid w:val="0096311B"/>
    <w:rsid w:val="0096482C"/>
    <w:rsid w:val="00967B94"/>
    <w:rsid w:val="0097125E"/>
    <w:rsid w:val="00971642"/>
    <w:rsid w:val="00971D1F"/>
    <w:rsid w:val="009722DA"/>
    <w:rsid w:val="00973BB4"/>
    <w:rsid w:val="00973CA6"/>
    <w:rsid w:val="00974685"/>
    <w:rsid w:val="0097676E"/>
    <w:rsid w:val="00980BE7"/>
    <w:rsid w:val="00981D5A"/>
    <w:rsid w:val="00982650"/>
    <w:rsid w:val="00982A8B"/>
    <w:rsid w:val="00982B7D"/>
    <w:rsid w:val="00982C4B"/>
    <w:rsid w:val="00983FE3"/>
    <w:rsid w:val="00984CFE"/>
    <w:rsid w:val="00984F3D"/>
    <w:rsid w:val="009875A8"/>
    <w:rsid w:val="0099154F"/>
    <w:rsid w:val="00992BA1"/>
    <w:rsid w:val="00994856"/>
    <w:rsid w:val="0099616F"/>
    <w:rsid w:val="00996577"/>
    <w:rsid w:val="009969F8"/>
    <w:rsid w:val="00996EB6"/>
    <w:rsid w:val="009A038D"/>
    <w:rsid w:val="009A17F5"/>
    <w:rsid w:val="009A2C7C"/>
    <w:rsid w:val="009A5867"/>
    <w:rsid w:val="009A595E"/>
    <w:rsid w:val="009A6002"/>
    <w:rsid w:val="009A68D3"/>
    <w:rsid w:val="009B37D2"/>
    <w:rsid w:val="009B382C"/>
    <w:rsid w:val="009B3A81"/>
    <w:rsid w:val="009B6C21"/>
    <w:rsid w:val="009B6E61"/>
    <w:rsid w:val="009B7EFC"/>
    <w:rsid w:val="009C0EA8"/>
    <w:rsid w:val="009C1151"/>
    <w:rsid w:val="009C2547"/>
    <w:rsid w:val="009C2A30"/>
    <w:rsid w:val="009C5E4A"/>
    <w:rsid w:val="009C73AF"/>
    <w:rsid w:val="009D336E"/>
    <w:rsid w:val="009D63CF"/>
    <w:rsid w:val="009D6B9C"/>
    <w:rsid w:val="009D70DB"/>
    <w:rsid w:val="009E226D"/>
    <w:rsid w:val="009E35B5"/>
    <w:rsid w:val="009E4A1D"/>
    <w:rsid w:val="009E4D27"/>
    <w:rsid w:val="009E56B9"/>
    <w:rsid w:val="009E5F01"/>
    <w:rsid w:val="009E6638"/>
    <w:rsid w:val="009E6F96"/>
    <w:rsid w:val="009E7B92"/>
    <w:rsid w:val="009F0C28"/>
    <w:rsid w:val="009F2321"/>
    <w:rsid w:val="009F30E5"/>
    <w:rsid w:val="009F4E4A"/>
    <w:rsid w:val="009F50A0"/>
    <w:rsid w:val="009F52F7"/>
    <w:rsid w:val="009F632B"/>
    <w:rsid w:val="00A019FF"/>
    <w:rsid w:val="00A01B38"/>
    <w:rsid w:val="00A0413D"/>
    <w:rsid w:val="00A0466B"/>
    <w:rsid w:val="00A04CD0"/>
    <w:rsid w:val="00A04FF9"/>
    <w:rsid w:val="00A0685A"/>
    <w:rsid w:val="00A07089"/>
    <w:rsid w:val="00A078AB"/>
    <w:rsid w:val="00A10884"/>
    <w:rsid w:val="00A11F72"/>
    <w:rsid w:val="00A11FE3"/>
    <w:rsid w:val="00A122E5"/>
    <w:rsid w:val="00A155BE"/>
    <w:rsid w:val="00A15831"/>
    <w:rsid w:val="00A16BF3"/>
    <w:rsid w:val="00A16C06"/>
    <w:rsid w:val="00A2062A"/>
    <w:rsid w:val="00A20A8D"/>
    <w:rsid w:val="00A221DE"/>
    <w:rsid w:val="00A225D0"/>
    <w:rsid w:val="00A22C2A"/>
    <w:rsid w:val="00A22F47"/>
    <w:rsid w:val="00A273E5"/>
    <w:rsid w:val="00A277DF"/>
    <w:rsid w:val="00A303D2"/>
    <w:rsid w:val="00A30A91"/>
    <w:rsid w:val="00A31172"/>
    <w:rsid w:val="00A315DF"/>
    <w:rsid w:val="00A334DA"/>
    <w:rsid w:val="00A34C15"/>
    <w:rsid w:val="00A36D6D"/>
    <w:rsid w:val="00A4004E"/>
    <w:rsid w:val="00A42524"/>
    <w:rsid w:val="00A42EF9"/>
    <w:rsid w:val="00A433D2"/>
    <w:rsid w:val="00A43BAC"/>
    <w:rsid w:val="00A4783B"/>
    <w:rsid w:val="00A50CCC"/>
    <w:rsid w:val="00A53835"/>
    <w:rsid w:val="00A53AE5"/>
    <w:rsid w:val="00A53C3B"/>
    <w:rsid w:val="00A540E3"/>
    <w:rsid w:val="00A57997"/>
    <w:rsid w:val="00A57E12"/>
    <w:rsid w:val="00A57E3B"/>
    <w:rsid w:val="00A60A79"/>
    <w:rsid w:val="00A60A8F"/>
    <w:rsid w:val="00A60C93"/>
    <w:rsid w:val="00A65FA8"/>
    <w:rsid w:val="00A67FAE"/>
    <w:rsid w:val="00A70248"/>
    <w:rsid w:val="00A70CC8"/>
    <w:rsid w:val="00A7187E"/>
    <w:rsid w:val="00A72217"/>
    <w:rsid w:val="00A75C4C"/>
    <w:rsid w:val="00A75F55"/>
    <w:rsid w:val="00A761BF"/>
    <w:rsid w:val="00A81AFF"/>
    <w:rsid w:val="00A827DC"/>
    <w:rsid w:val="00A83151"/>
    <w:rsid w:val="00A833B5"/>
    <w:rsid w:val="00A8367E"/>
    <w:rsid w:val="00A83ABC"/>
    <w:rsid w:val="00A8579E"/>
    <w:rsid w:val="00A85C8D"/>
    <w:rsid w:val="00A86467"/>
    <w:rsid w:val="00A86ADC"/>
    <w:rsid w:val="00A86C0C"/>
    <w:rsid w:val="00A91A80"/>
    <w:rsid w:val="00A957A5"/>
    <w:rsid w:val="00A95B27"/>
    <w:rsid w:val="00AA0714"/>
    <w:rsid w:val="00AA230F"/>
    <w:rsid w:val="00AA2631"/>
    <w:rsid w:val="00AA2E12"/>
    <w:rsid w:val="00AA3253"/>
    <w:rsid w:val="00AA35C1"/>
    <w:rsid w:val="00AA5DEB"/>
    <w:rsid w:val="00AA720C"/>
    <w:rsid w:val="00AA7A91"/>
    <w:rsid w:val="00AA7C63"/>
    <w:rsid w:val="00AB04FD"/>
    <w:rsid w:val="00AB18F0"/>
    <w:rsid w:val="00AB1F7F"/>
    <w:rsid w:val="00AB2698"/>
    <w:rsid w:val="00AB49B0"/>
    <w:rsid w:val="00AB4C55"/>
    <w:rsid w:val="00AB5D10"/>
    <w:rsid w:val="00AB7C6A"/>
    <w:rsid w:val="00AB7E84"/>
    <w:rsid w:val="00AC11F3"/>
    <w:rsid w:val="00AC2047"/>
    <w:rsid w:val="00AC31F2"/>
    <w:rsid w:val="00AC4036"/>
    <w:rsid w:val="00AC51F3"/>
    <w:rsid w:val="00AC63B7"/>
    <w:rsid w:val="00AC735D"/>
    <w:rsid w:val="00AD21BB"/>
    <w:rsid w:val="00AD2A1C"/>
    <w:rsid w:val="00AD2CF5"/>
    <w:rsid w:val="00AD2E9B"/>
    <w:rsid w:val="00AD509B"/>
    <w:rsid w:val="00AD7A70"/>
    <w:rsid w:val="00AE198E"/>
    <w:rsid w:val="00AE3A60"/>
    <w:rsid w:val="00AE3ABD"/>
    <w:rsid w:val="00AE421B"/>
    <w:rsid w:val="00AE515A"/>
    <w:rsid w:val="00AE5859"/>
    <w:rsid w:val="00AE7161"/>
    <w:rsid w:val="00AF1B91"/>
    <w:rsid w:val="00AF3146"/>
    <w:rsid w:val="00AF525F"/>
    <w:rsid w:val="00AF5C03"/>
    <w:rsid w:val="00AF6381"/>
    <w:rsid w:val="00AF6E3E"/>
    <w:rsid w:val="00AF6F5D"/>
    <w:rsid w:val="00AF7A93"/>
    <w:rsid w:val="00B00A02"/>
    <w:rsid w:val="00B00E45"/>
    <w:rsid w:val="00B02399"/>
    <w:rsid w:val="00B0363E"/>
    <w:rsid w:val="00B04131"/>
    <w:rsid w:val="00B043C1"/>
    <w:rsid w:val="00B063EF"/>
    <w:rsid w:val="00B069F8"/>
    <w:rsid w:val="00B07CAA"/>
    <w:rsid w:val="00B07EC0"/>
    <w:rsid w:val="00B10483"/>
    <w:rsid w:val="00B10E6F"/>
    <w:rsid w:val="00B11D3F"/>
    <w:rsid w:val="00B1328C"/>
    <w:rsid w:val="00B136EA"/>
    <w:rsid w:val="00B1410F"/>
    <w:rsid w:val="00B14793"/>
    <w:rsid w:val="00B16E70"/>
    <w:rsid w:val="00B1700C"/>
    <w:rsid w:val="00B176EF"/>
    <w:rsid w:val="00B20C46"/>
    <w:rsid w:val="00B216A6"/>
    <w:rsid w:val="00B21E75"/>
    <w:rsid w:val="00B22475"/>
    <w:rsid w:val="00B22522"/>
    <w:rsid w:val="00B22B3B"/>
    <w:rsid w:val="00B23DE0"/>
    <w:rsid w:val="00B2475E"/>
    <w:rsid w:val="00B251EB"/>
    <w:rsid w:val="00B25DE7"/>
    <w:rsid w:val="00B25E82"/>
    <w:rsid w:val="00B277B0"/>
    <w:rsid w:val="00B27C57"/>
    <w:rsid w:val="00B27ED4"/>
    <w:rsid w:val="00B304A7"/>
    <w:rsid w:val="00B309FA"/>
    <w:rsid w:val="00B3106B"/>
    <w:rsid w:val="00B3137F"/>
    <w:rsid w:val="00B31DE9"/>
    <w:rsid w:val="00B321B4"/>
    <w:rsid w:val="00B34F7A"/>
    <w:rsid w:val="00B35192"/>
    <w:rsid w:val="00B35369"/>
    <w:rsid w:val="00B3691D"/>
    <w:rsid w:val="00B36A87"/>
    <w:rsid w:val="00B3795F"/>
    <w:rsid w:val="00B400F8"/>
    <w:rsid w:val="00B42E66"/>
    <w:rsid w:val="00B43816"/>
    <w:rsid w:val="00B438F3"/>
    <w:rsid w:val="00B43947"/>
    <w:rsid w:val="00B44AA7"/>
    <w:rsid w:val="00B45D80"/>
    <w:rsid w:val="00B45F12"/>
    <w:rsid w:val="00B46C2E"/>
    <w:rsid w:val="00B4732E"/>
    <w:rsid w:val="00B47C70"/>
    <w:rsid w:val="00B50A1F"/>
    <w:rsid w:val="00B521A2"/>
    <w:rsid w:val="00B549E8"/>
    <w:rsid w:val="00B55165"/>
    <w:rsid w:val="00B55F90"/>
    <w:rsid w:val="00B563B6"/>
    <w:rsid w:val="00B572E1"/>
    <w:rsid w:val="00B60421"/>
    <w:rsid w:val="00B61895"/>
    <w:rsid w:val="00B61EFF"/>
    <w:rsid w:val="00B624BC"/>
    <w:rsid w:val="00B62621"/>
    <w:rsid w:val="00B63B44"/>
    <w:rsid w:val="00B64A2C"/>
    <w:rsid w:val="00B65074"/>
    <w:rsid w:val="00B65BB9"/>
    <w:rsid w:val="00B66EB9"/>
    <w:rsid w:val="00B67D58"/>
    <w:rsid w:val="00B7085D"/>
    <w:rsid w:val="00B7164F"/>
    <w:rsid w:val="00B71C8B"/>
    <w:rsid w:val="00B72184"/>
    <w:rsid w:val="00B72750"/>
    <w:rsid w:val="00B75935"/>
    <w:rsid w:val="00B75AE8"/>
    <w:rsid w:val="00B75F78"/>
    <w:rsid w:val="00B76232"/>
    <w:rsid w:val="00B77B61"/>
    <w:rsid w:val="00B77F0D"/>
    <w:rsid w:val="00B8008B"/>
    <w:rsid w:val="00B80107"/>
    <w:rsid w:val="00B80D87"/>
    <w:rsid w:val="00B8128F"/>
    <w:rsid w:val="00B8407A"/>
    <w:rsid w:val="00B84157"/>
    <w:rsid w:val="00B86F35"/>
    <w:rsid w:val="00B93593"/>
    <w:rsid w:val="00B93925"/>
    <w:rsid w:val="00B93CAA"/>
    <w:rsid w:val="00B95D51"/>
    <w:rsid w:val="00B976B8"/>
    <w:rsid w:val="00BA08EA"/>
    <w:rsid w:val="00BA09A7"/>
    <w:rsid w:val="00BA18C9"/>
    <w:rsid w:val="00BA2D0C"/>
    <w:rsid w:val="00BA6DE8"/>
    <w:rsid w:val="00BB2042"/>
    <w:rsid w:val="00BB48A7"/>
    <w:rsid w:val="00BB4BB5"/>
    <w:rsid w:val="00BB539F"/>
    <w:rsid w:val="00BB569F"/>
    <w:rsid w:val="00BB579E"/>
    <w:rsid w:val="00BB5B41"/>
    <w:rsid w:val="00BB74FE"/>
    <w:rsid w:val="00BC1CC8"/>
    <w:rsid w:val="00BC51D1"/>
    <w:rsid w:val="00BC7614"/>
    <w:rsid w:val="00BD009F"/>
    <w:rsid w:val="00BD0F7E"/>
    <w:rsid w:val="00BD1363"/>
    <w:rsid w:val="00BD19BC"/>
    <w:rsid w:val="00BD220E"/>
    <w:rsid w:val="00BD3027"/>
    <w:rsid w:val="00BD3446"/>
    <w:rsid w:val="00BD6888"/>
    <w:rsid w:val="00BE1FC3"/>
    <w:rsid w:val="00BE24B3"/>
    <w:rsid w:val="00BE26B5"/>
    <w:rsid w:val="00BE28A6"/>
    <w:rsid w:val="00BE2A4B"/>
    <w:rsid w:val="00BE40D7"/>
    <w:rsid w:val="00BE58F4"/>
    <w:rsid w:val="00BE6401"/>
    <w:rsid w:val="00BE6640"/>
    <w:rsid w:val="00BE6EBE"/>
    <w:rsid w:val="00BE7570"/>
    <w:rsid w:val="00BF0163"/>
    <w:rsid w:val="00BF0BD7"/>
    <w:rsid w:val="00BF13FB"/>
    <w:rsid w:val="00BF1988"/>
    <w:rsid w:val="00BF1F74"/>
    <w:rsid w:val="00BF36D8"/>
    <w:rsid w:val="00BF37C7"/>
    <w:rsid w:val="00BF3A53"/>
    <w:rsid w:val="00BF3A9F"/>
    <w:rsid w:val="00BF446F"/>
    <w:rsid w:val="00BF59AD"/>
    <w:rsid w:val="00BF7176"/>
    <w:rsid w:val="00C00240"/>
    <w:rsid w:val="00C003C1"/>
    <w:rsid w:val="00C00464"/>
    <w:rsid w:val="00C00C18"/>
    <w:rsid w:val="00C053AC"/>
    <w:rsid w:val="00C056A4"/>
    <w:rsid w:val="00C0664A"/>
    <w:rsid w:val="00C06B2A"/>
    <w:rsid w:val="00C07C1C"/>
    <w:rsid w:val="00C10582"/>
    <w:rsid w:val="00C10D64"/>
    <w:rsid w:val="00C12D5D"/>
    <w:rsid w:val="00C13C6D"/>
    <w:rsid w:val="00C1410F"/>
    <w:rsid w:val="00C14488"/>
    <w:rsid w:val="00C1499C"/>
    <w:rsid w:val="00C15221"/>
    <w:rsid w:val="00C1532C"/>
    <w:rsid w:val="00C15B63"/>
    <w:rsid w:val="00C1642B"/>
    <w:rsid w:val="00C1671E"/>
    <w:rsid w:val="00C176A0"/>
    <w:rsid w:val="00C177AE"/>
    <w:rsid w:val="00C179BC"/>
    <w:rsid w:val="00C17E96"/>
    <w:rsid w:val="00C17ED5"/>
    <w:rsid w:val="00C20C68"/>
    <w:rsid w:val="00C20EAF"/>
    <w:rsid w:val="00C24F3F"/>
    <w:rsid w:val="00C27B04"/>
    <w:rsid w:val="00C27D3C"/>
    <w:rsid w:val="00C30240"/>
    <w:rsid w:val="00C30574"/>
    <w:rsid w:val="00C34BC5"/>
    <w:rsid w:val="00C34CF7"/>
    <w:rsid w:val="00C35D41"/>
    <w:rsid w:val="00C3689C"/>
    <w:rsid w:val="00C3744B"/>
    <w:rsid w:val="00C37669"/>
    <w:rsid w:val="00C37C22"/>
    <w:rsid w:val="00C4106A"/>
    <w:rsid w:val="00C413D8"/>
    <w:rsid w:val="00C41E88"/>
    <w:rsid w:val="00C439AB"/>
    <w:rsid w:val="00C44F9E"/>
    <w:rsid w:val="00C45257"/>
    <w:rsid w:val="00C47A2A"/>
    <w:rsid w:val="00C50E5F"/>
    <w:rsid w:val="00C5224E"/>
    <w:rsid w:val="00C52A02"/>
    <w:rsid w:val="00C5338E"/>
    <w:rsid w:val="00C5489E"/>
    <w:rsid w:val="00C55404"/>
    <w:rsid w:val="00C606B4"/>
    <w:rsid w:val="00C60EAF"/>
    <w:rsid w:val="00C6299F"/>
    <w:rsid w:val="00C62E01"/>
    <w:rsid w:val="00C64014"/>
    <w:rsid w:val="00C643DE"/>
    <w:rsid w:val="00C65A93"/>
    <w:rsid w:val="00C660A9"/>
    <w:rsid w:val="00C669E2"/>
    <w:rsid w:val="00C66D12"/>
    <w:rsid w:val="00C710F4"/>
    <w:rsid w:val="00C71C71"/>
    <w:rsid w:val="00C744B7"/>
    <w:rsid w:val="00C74609"/>
    <w:rsid w:val="00C75784"/>
    <w:rsid w:val="00C75CB4"/>
    <w:rsid w:val="00C75F82"/>
    <w:rsid w:val="00C77E68"/>
    <w:rsid w:val="00C804DD"/>
    <w:rsid w:val="00C82A7B"/>
    <w:rsid w:val="00C831E6"/>
    <w:rsid w:val="00C8395E"/>
    <w:rsid w:val="00C84414"/>
    <w:rsid w:val="00C847C3"/>
    <w:rsid w:val="00C853E9"/>
    <w:rsid w:val="00C85EAD"/>
    <w:rsid w:val="00C9251A"/>
    <w:rsid w:val="00C92B16"/>
    <w:rsid w:val="00C9590B"/>
    <w:rsid w:val="00C9660C"/>
    <w:rsid w:val="00C96D89"/>
    <w:rsid w:val="00C971CD"/>
    <w:rsid w:val="00CA2081"/>
    <w:rsid w:val="00CA2244"/>
    <w:rsid w:val="00CA3A9C"/>
    <w:rsid w:val="00CA408D"/>
    <w:rsid w:val="00CA4DAB"/>
    <w:rsid w:val="00CA582E"/>
    <w:rsid w:val="00CB02F9"/>
    <w:rsid w:val="00CB050D"/>
    <w:rsid w:val="00CB18AF"/>
    <w:rsid w:val="00CB305C"/>
    <w:rsid w:val="00CB43CE"/>
    <w:rsid w:val="00CB4A36"/>
    <w:rsid w:val="00CB57F5"/>
    <w:rsid w:val="00CB5EFB"/>
    <w:rsid w:val="00CB6460"/>
    <w:rsid w:val="00CC0F34"/>
    <w:rsid w:val="00CC0FB4"/>
    <w:rsid w:val="00CC159C"/>
    <w:rsid w:val="00CC19B4"/>
    <w:rsid w:val="00CC30E5"/>
    <w:rsid w:val="00CC3353"/>
    <w:rsid w:val="00CC352F"/>
    <w:rsid w:val="00CC371D"/>
    <w:rsid w:val="00CC5198"/>
    <w:rsid w:val="00CC6772"/>
    <w:rsid w:val="00CC7D79"/>
    <w:rsid w:val="00CC7F0A"/>
    <w:rsid w:val="00CD0599"/>
    <w:rsid w:val="00CD26EF"/>
    <w:rsid w:val="00CD4E25"/>
    <w:rsid w:val="00CD528C"/>
    <w:rsid w:val="00CD5763"/>
    <w:rsid w:val="00CD6DA3"/>
    <w:rsid w:val="00CE158C"/>
    <w:rsid w:val="00CE40FD"/>
    <w:rsid w:val="00CE4199"/>
    <w:rsid w:val="00CE4996"/>
    <w:rsid w:val="00CE4F5C"/>
    <w:rsid w:val="00CF0C58"/>
    <w:rsid w:val="00CF0C7E"/>
    <w:rsid w:val="00CF2119"/>
    <w:rsid w:val="00CF28BB"/>
    <w:rsid w:val="00CF570D"/>
    <w:rsid w:val="00CF5C56"/>
    <w:rsid w:val="00CF5D83"/>
    <w:rsid w:val="00CF6F4D"/>
    <w:rsid w:val="00D0063A"/>
    <w:rsid w:val="00D017B1"/>
    <w:rsid w:val="00D02629"/>
    <w:rsid w:val="00D035B3"/>
    <w:rsid w:val="00D03875"/>
    <w:rsid w:val="00D0397B"/>
    <w:rsid w:val="00D03B83"/>
    <w:rsid w:val="00D04963"/>
    <w:rsid w:val="00D05D0B"/>
    <w:rsid w:val="00D10A9E"/>
    <w:rsid w:val="00D11D76"/>
    <w:rsid w:val="00D131A0"/>
    <w:rsid w:val="00D13509"/>
    <w:rsid w:val="00D14A30"/>
    <w:rsid w:val="00D154AA"/>
    <w:rsid w:val="00D16D1C"/>
    <w:rsid w:val="00D17584"/>
    <w:rsid w:val="00D203AF"/>
    <w:rsid w:val="00D20B8A"/>
    <w:rsid w:val="00D23488"/>
    <w:rsid w:val="00D2348C"/>
    <w:rsid w:val="00D24E09"/>
    <w:rsid w:val="00D263B2"/>
    <w:rsid w:val="00D26B78"/>
    <w:rsid w:val="00D32123"/>
    <w:rsid w:val="00D32955"/>
    <w:rsid w:val="00D32ED3"/>
    <w:rsid w:val="00D331E4"/>
    <w:rsid w:val="00D337AD"/>
    <w:rsid w:val="00D34A30"/>
    <w:rsid w:val="00D34CAC"/>
    <w:rsid w:val="00D352D2"/>
    <w:rsid w:val="00D36C06"/>
    <w:rsid w:val="00D37ECA"/>
    <w:rsid w:val="00D403E7"/>
    <w:rsid w:val="00D41E5D"/>
    <w:rsid w:val="00D431C9"/>
    <w:rsid w:val="00D436C8"/>
    <w:rsid w:val="00D45A7E"/>
    <w:rsid w:val="00D46364"/>
    <w:rsid w:val="00D46C93"/>
    <w:rsid w:val="00D472D9"/>
    <w:rsid w:val="00D50188"/>
    <w:rsid w:val="00D501CA"/>
    <w:rsid w:val="00D501D5"/>
    <w:rsid w:val="00D506A4"/>
    <w:rsid w:val="00D52540"/>
    <w:rsid w:val="00D5314D"/>
    <w:rsid w:val="00D542C2"/>
    <w:rsid w:val="00D545F7"/>
    <w:rsid w:val="00D549B1"/>
    <w:rsid w:val="00D55E98"/>
    <w:rsid w:val="00D5626C"/>
    <w:rsid w:val="00D5761E"/>
    <w:rsid w:val="00D61FAB"/>
    <w:rsid w:val="00D62511"/>
    <w:rsid w:val="00D63788"/>
    <w:rsid w:val="00D64F13"/>
    <w:rsid w:val="00D65122"/>
    <w:rsid w:val="00D66A6B"/>
    <w:rsid w:val="00D67324"/>
    <w:rsid w:val="00D728F1"/>
    <w:rsid w:val="00D72AE5"/>
    <w:rsid w:val="00D72D83"/>
    <w:rsid w:val="00D73405"/>
    <w:rsid w:val="00D73CF2"/>
    <w:rsid w:val="00D74C9A"/>
    <w:rsid w:val="00D7600E"/>
    <w:rsid w:val="00D801D9"/>
    <w:rsid w:val="00D80C79"/>
    <w:rsid w:val="00D81ACB"/>
    <w:rsid w:val="00D81D28"/>
    <w:rsid w:val="00D8230A"/>
    <w:rsid w:val="00D90A46"/>
    <w:rsid w:val="00D912E6"/>
    <w:rsid w:val="00D9251F"/>
    <w:rsid w:val="00D95671"/>
    <w:rsid w:val="00D959BD"/>
    <w:rsid w:val="00DA00CA"/>
    <w:rsid w:val="00DA0F11"/>
    <w:rsid w:val="00DA3CC1"/>
    <w:rsid w:val="00DA5EB2"/>
    <w:rsid w:val="00DA63C0"/>
    <w:rsid w:val="00DA75C8"/>
    <w:rsid w:val="00DA7A85"/>
    <w:rsid w:val="00DB09E3"/>
    <w:rsid w:val="00DB0EEA"/>
    <w:rsid w:val="00DB40DE"/>
    <w:rsid w:val="00DB562E"/>
    <w:rsid w:val="00DB594F"/>
    <w:rsid w:val="00DB60B7"/>
    <w:rsid w:val="00DB726F"/>
    <w:rsid w:val="00DB7C17"/>
    <w:rsid w:val="00DC04BA"/>
    <w:rsid w:val="00DC057C"/>
    <w:rsid w:val="00DC1686"/>
    <w:rsid w:val="00DC4054"/>
    <w:rsid w:val="00DC4D55"/>
    <w:rsid w:val="00DC5AB6"/>
    <w:rsid w:val="00DC60EB"/>
    <w:rsid w:val="00DC6328"/>
    <w:rsid w:val="00DC7193"/>
    <w:rsid w:val="00DD0D80"/>
    <w:rsid w:val="00DD20E3"/>
    <w:rsid w:val="00DD240C"/>
    <w:rsid w:val="00DD2F18"/>
    <w:rsid w:val="00DD3095"/>
    <w:rsid w:val="00DD5020"/>
    <w:rsid w:val="00DD5C81"/>
    <w:rsid w:val="00DD7625"/>
    <w:rsid w:val="00DE2808"/>
    <w:rsid w:val="00DE5674"/>
    <w:rsid w:val="00DE6162"/>
    <w:rsid w:val="00DE6510"/>
    <w:rsid w:val="00DE6F86"/>
    <w:rsid w:val="00DF003D"/>
    <w:rsid w:val="00DF1AB7"/>
    <w:rsid w:val="00DF1F6B"/>
    <w:rsid w:val="00DF3C84"/>
    <w:rsid w:val="00DF3F90"/>
    <w:rsid w:val="00DF4AA8"/>
    <w:rsid w:val="00DF4B07"/>
    <w:rsid w:val="00DF4EEF"/>
    <w:rsid w:val="00DF6032"/>
    <w:rsid w:val="00DF6E16"/>
    <w:rsid w:val="00E003EF"/>
    <w:rsid w:val="00E03AE1"/>
    <w:rsid w:val="00E03C57"/>
    <w:rsid w:val="00E04021"/>
    <w:rsid w:val="00E04D46"/>
    <w:rsid w:val="00E054CD"/>
    <w:rsid w:val="00E058C3"/>
    <w:rsid w:val="00E06D7B"/>
    <w:rsid w:val="00E06ECD"/>
    <w:rsid w:val="00E06F2A"/>
    <w:rsid w:val="00E106F5"/>
    <w:rsid w:val="00E10B8D"/>
    <w:rsid w:val="00E1381A"/>
    <w:rsid w:val="00E1493E"/>
    <w:rsid w:val="00E15391"/>
    <w:rsid w:val="00E2093D"/>
    <w:rsid w:val="00E21475"/>
    <w:rsid w:val="00E21F50"/>
    <w:rsid w:val="00E22713"/>
    <w:rsid w:val="00E227F5"/>
    <w:rsid w:val="00E236A6"/>
    <w:rsid w:val="00E23AF2"/>
    <w:rsid w:val="00E24647"/>
    <w:rsid w:val="00E25288"/>
    <w:rsid w:val="00E267E8"/>
    <w:rsid w:val="00E268E2"/>
    <w:rsid w:val="00E26973"/>
    <w:rsid w:val="00E26DEC"/>
    <w:rsid w:val="00E279C3"/>
    <w:rsid w:val="00E30845"/>
    <w:rsid w:val="00E31E5B"/>
    <w:rsid w:val="00E32883"/>
    <w:rsid w:val="00E32DB8"/>
    <w:rsid w:val="00E32DC4"/>
    <w:rsid w:val="00E33255"/>
    <w:rsid w:val="00E34622"/>
    <w:rsid w:val="00E34CAB"/>
    <w:rsid w:val="00E34F1C"/>
    <w:rsid w:val="00E351F8"/>
    <w:rsid w:val="00E361E1"/>
    <w:rsid w:val="00E36DE9"/>
    <w:rsid w:val="00E36E29"/>
    <w:rsid w:val="00E40811"/>
    <w:rsid w:val="00E408A7"/>
    <w:rsid w:val="00E425AE"/>
    <w:rsid w:val="00E428EC"/>
    <w:rsid w:val="00E43527"/>
    <w:rsid w:val="00E4396E"/>
    <w:rsid w:val="00E461EF"/>
    <w:rsid w:val="00E46897"/>
    <w:rsid w:val="00E47535"/>
    <w:rsid w:val="00E5145B"/>
    <w:rsid w:val="00E519E4"/>
    <w:rsid w:val="00E52BD2"/>
    <w:rsid w:val="00E5488B"/>
    <w:rsid w:val="00E5521A"/>
    <w:rsid w:val="00E55F8E"/>
    <w:rsid w:val="00E564A8"/>
    <w:rsid w:val="00E576C4"/>
    <w:rsid w:val="00E5790F"/>
    <w:rsid w:val="00E601E4"/>
    <w:rsid w:val="00E606C1"/>
    <w:rsid w:val="00E609AA"/>
    <w:rsid w:val="00E62EC8"/>
    <w:rsid w:val="00E62FA3"/>
    <w:rsid w:val="00E640ED"/>
    <w:rsid w:val="00E644E0"/>
    <w:rsid w:val="00E648BA"/>
    <w:rsid w:val="00E65B7F"/>
    <w:rsid w:val="00E66C85"/>
    <w:rsid w:val="00E67873"/>
    <w:rsid w:val="00E702A5"/>
    <w:rsid w:val="00E70E23"/>
    <w:rsid w:val="00E72CDF"/>
    <w:rsid w:val="00E7625F"/>
    <w:rsid w:val="00E77598"/>
    <w:rsid w:val="00E8011D"/>
    <w:rsid w:val="00E80DC3"/>
    <w:rsid w:val="00E80EA1"/>
    <w:rsid w:val="00E83547"/>
    <w:rsid w:val="00E836A3"/>
    <w:rsid w:val="00E85D9C"/>
    <w:rsid w:val="00E8629F"/>
    <w:rsid w:val="00E86EE0"/>
    <w:rsid w:val="00E90B5D"/>
    <w:rsid w:val="00E91B5D"/>
    <w:rsid w:val="00E93B40"/>
    <w:rsid w:val="00E95A5B"/>
    <w:rsid w:val="00E96CD5"/>
    <w:rsid w:val="00EA08BB"/>
    <w:rsid w:val="00EA0F9F"/>
    <w:rsid w:val="00EA1722"/>
    <w:rsid w:val="00EA203D"/>
    <w:rsid w:val="00EA3CBF"/>
    <w:rsid w:val="00EA5D1C"/>
    <w:rsid w:val="00EA6683"/>
    <w:rsid w:val="00EA7259"/>
    <w:rsid w:val="00EA7651"/>
    <w:rsid w:val="00EB0DBC"/>
    <w:rsid w:val="00EB18A2"/>
    <w:rsid w:val="00EC00F4"/>
    <w:rsid w:val="00ED01D6"/>
    <w:rsid w:val="00ED070C"/>
    <w:rsid w:val="00ED1327"/>
    <w:rsid w:val="00ED2043"/>
    <w:rsid w:val="00ED2407"/>
    <w:rsid w:val="00ED2C67"/>
    <w:rsid w:val="00ED2DB0"/>
    <w:rsid w:val="00ED3AA0"/>
    <w:rsid w:val="00ED3B07"/>
    <w:rsid w:val="00ED3F3F"/>
    <w:rsid w:val="00ED4849"/>
    <w:rsid w:val="00ED6856"/>
    <w:rsid w:val="00ED715D"/>
    <w:rsid w:val="00EE0531"/>
    <w:rsid w:val="00EE09C7"/>
    <w:rsid w:val="00EE1B07"/>
    <w:rsid w:val="00EE1B0B"/>
    <w:rsid w:val="00EE24C4"/>
    <w:rsid w:val="00EE74C2"/>
    <w:rsid w:val="00EE7F4F"/>
    <w:rsid w:val="00EF06E8"/>
    <w:rsid w:val="00EF0F68"/>
    <w:rsid w:val="00EF26A5"/>
    <w:rsid w:val="00EF2B50"/>
    <w:rsid w:val="00EF2D92"/>
    <w:rsid w:val="00EF3A51"/>
    <w:rsid w:val="00EF4CE3"/>
    <w:rsid w:val="00EF59CE"/>
    <w:rsid w:val="00EF61DC"/>
    <w:rsid w:val="00EF7460"/>
    <w:rsid w:val="00EF797E"/>
    <w:rsid w:val="00F0197A"/>
    <w:rsid w:val="00F049CD"/>
    <w:rsid w:val="00F04C11"/>
    <w:rsid w:val="00F05831"/>
    <w:rsid w:val="00F060BE"/>
    <w:rsid w:val="00F079CF"/>
    <w:rsid w:val="00F10746"/>
    <w:rsid w:val="00F107A2"/>
    <w:rsid w:val="00F12FB6"/>
    <w:rsid w:val="00F13211"/>
    <w:rsid w:val="00F139EE"/>
    <w:rsid w:val="00F1428E"/>
    <w:rsid w:val="00F14B5D"/>
    <w:rsid w:val="00F15D3A"/>
    <w:rsid w:val="00F16A14"/>
    <w:rsid w:val="00F17A8F"/>
    <w:rsid w:val="00F20BBB"/>
    <w:rsid w:val="00F20F3E"/>
    <w:rsid w:val="00F229E1"/>
    <w:rsid w:val="00F243D2"/>
    <w:rsid w:val="00F278B6"/>
    <w:rsid w:val="00F27A0A"/>
    <w:rsid w:val="00F27F4A"/>
    <w:rsid w:val="00F31389"/>
    <w:rsid w:val="00F3198B"/>
    <w:rsid w:val="00F32DFC"/>
    <w:rsid w:val="00F338CC"/>
    <w:rsid w:val="00F34304"/>
    <w:rsid w:val="00F35374"/>
    <w:rsid w:val="00F35385"/>
    <w:rsid w:val="00F35A7E"/>
    <w:rsid w:val="00F364F8"/>
    <w:rsid w:val="00F3672D"/>
    <w:rsid w:val="00F369DF"/>
    <w:rsid w:val="00F3717B"/>
    <w:rsid w:val="00F37722"/>
    <w:rsid w:val="00F42A40"/>
    <w:rsid w:val="00F45623"/>
    <w:rsid w:val="00F46363"/>
    <w:rsid w:val="00F46623"/>
    <w:rsid w:val="00F4670C"/>
    <w:rsid w:val="00F468D9"/>
    <w:rsid w:val="00F47123"/>
    <w:rsid w:val="00F47612"/>
    <w:rsid w:val="00F51892"/>
    <w:rsid w:val="00F518C6"/>
    <w:rsid w:val="00F523CA"/>
    <w:rsid w:val="00F53392"/>
    <w:rsid w:val="00F54AF8"/>
    <w:rsid w:val="00F551C3"/>
    <w:rsid w:val="00F55BE5"/>
    <w:rsid w:val="00F5713F"/>
    <w:rsid w:val="00F57A1A"/>
    <w:rsid w:val="00F6123B"/>
    <w:rsid w:val="00F615F5"/>
    <w:rsid w:val="00F62A1C"/>
    <w:rsid w:val="00F62D52"/>
    <w:rsid w:val="00F63044"/>
    <w:rsid w:val="00F64C13"/>
    <w:rsid w:val="00F66C33"/>
    <w:rsid w:val="00F66FB5"/>
    <w:rsid w:val="00F67CD1"/>
    <w:rsid w:val="00F70576"/>
    <w:rsid w:val="00F706AE"/>
    <w:rsid w:val="00F7114E"/>
    <w:rsid w:val="00F71442"/>
    <w:rsid w:val="00F72BEA"/>
    <w:rsid w:val="00F73020"/>
    <w:rsid w:val="00F745BC"/>
    <w:rsid w:val="00F7607E"/>
    <w:rsid w:val="00F800DB"/>
    <w:rsid w:val="00F81B9D"/>
    <w:rsid w:val="00F81F8E"/>
    <w:rsid w:val="00F8334A"/>
    <w:rsid w:val="00F83B21"/>
    <w:rsid w:val="00F85ADC"/>
    <w:rsid w:val="00F86247"/>
    <w:rsid w:val="00F871CA"/>
    <w:rsid w:val="00F90007"/>
    <w:rsid w:val="00F9003D"/>
    <w:rsid w:val="00F90AAA"/>
    <w:rsid w:val="00F9186D"/>
    <w:rsid w:val="00F92B32"/>
    <w:rsid w:val="00F93C4C"/>
    <w:rsid w:val="00F944BF"/>
    <w:rsid w:val="00F9456A"/>
    <w:rsid w:val="00F94945"/>
    <w:rsid w:val="00F959D3"/>
    <w:rsid w:val="00F96E42"/>
    <w:rsid w:val="00F97530"/>
    <w:rsid w:val="00FA1077"/>
    <w:rsid w:val="00FA201E"/>
    <w:rsid w:val="00FA49DD"/>
    <w:rsid w:val="00FA5247"/>
    <w:rsid w:val="00FB0EBF"/>
    <w:rsid w:val="00FB0FCD"/>
    <w:rsid w:val="00FB1C7F"/>
    <w:rsid w:val="00FB2D9E"/>
    <w:rsid w:val="00FB3651"/>
    <w:rsid w:val="00FB5451"/>
    <w:rsid w:val="00FB6CF9"/>
    <w:rsid w:val="00FB70FD"/>
    <w:rsid w:val="00FB7228"/>
    <w:rsid w:val="00FB787F"/>
    <w:rsid w:val="00FB7AF6"/>
    <w:rsid w:val="00FC0021"/>
    <w:rsid w:val="00FC084E"/>
    <w:rsid w:val="00FC2C54"/>
    <w:rsid w:val="00FC2D4E"/>
    <w:rsid w:val="00FC3251"/>
    <w:rsid w:val="00FC4844"/>
    <w:rsid w:val="00FC5589"/>
    <w:rsid w:val="00FC59A7"/>
    <w:rsid w:val="00FC6EBB"/>
    <w:rsid w:val="00FD09E0"/>
    <w:rsid w:val="00FD0C24"/>
    <w:rsid w:val="00FD0DDE"/>
    <w:rsid w:val="00FD0EBC"/>
    <w:rsid w:val="00FD1D9A"/>
    <w:rsid w:val="00FD1DEC"/>
    <w:rsid w:val="00FD4DA6"/>
    <w:rsid w:val="00FD524F"/>
    <w:rsid w:val="00FD71A4"/>
    <w:rsid w:val="00FD7572"/>
    <w:rsid w:val="00FD769B"/>
    <w:rsid w:val="00FE1003"/>
    <w:rsid w:val="00FE1330"/>
    <w:rsid w:val="00FE1331"/>
    <w:rsid w:val="00FE241B"/>
    <w:rsid w:val="00FE2714"/>
    <w:rsid w:val="00FE3DA8"/>
    <w:rsid w:val="00FE60B4"/>
    <w:rsid w:val="00FE7A22"/>
    <w:rsid w:val="00FF2071"/>
    <w:rsid w:val="00FF64E0"/>
    <w:rsid w:val="019879D8"/>
    <w:rsid w:val="022E5A8E"/>
    <w:rsid w:val="0267278D"/>
    <w:rsid w:val="038B4E80"/>
    <w:rsid w:val="03DB526C"/>
    <w:rsid w:val="03F13330"/>
    <w:rsid w:val="053D4155"/>
    <w:rsid w:val="05F42695"/>
    <w:rsid w:val="07A01837"/>
    <w:rsid w:val="07A55BDD"/>
    <w:rsid w:val="080B747D"/>
    <w:rsid w:val="0CDF6DD0"/>
    <w:rsid w:val="0E75E721"/>
    <w:rsid w:val="0F18482A"/>
    <w:rsid w:val="0F7860C0"/>
    <w:rsid w:val="11BF3CBA"/>
    <w:rsid w:val="135770CF"/>
    <w:rsid w:val="13B67364"/>
    <w:rsid w:val="15193728"/>
    <w:rsid w:val="15707CA5"/>
    <w:rsid w:val="15996BA8"/>
    <w:rsid w:val="179335E7"/>
    <w:rsid w:val="189836B6"/>
    <w:rsid w:val="18DA2187"/>
    <w:rsid w:val="1A91213E"/>
    <w:rsid w:val="1B694C1E"/>
    <w:rsid w:val="1BF87C23"/>
    <w:rsid w:val="1C246B85"/>
    <w:rsid w:val="1E6F2A0F"/>
    <w:rsid w:val="1F793397"/>
    <w:rsid w:val="204713B4"/>
    <w:rsid w:val="256C55FC"/>
    <w:rsid w:val="25BE3D86"/>
    <w:rsid w:val="266100F9"/>
    <w:rsid w:val="26EF3E89"/>
    <w:rsid w:val="297F4116"/>
    <w:rsid w:val="298978D0"/>
    <w:rsid w:val="2AAB3EC5"/>
    <w:rsid w:val="2DBB0A37"/>
    <w:rsid w:val="2E033805"/>
    <w:rsid w:val="2E5F6ABC"/>
    <w:rsid w:val="2E6C27B8"/>
    <w:rsid w:val="2E775B77"/>
    <w:rsid w:val="2EE55658"/>
    <w:rsid w:val="2F52287D"/>
    <w:rsid w:val="30DF5C78"/>
    <w:rsid w:val="31046251"/>
    <w:rsid w:val="317346A6"/>
    <w:rsid w:val="320D3144"/>
    <w:rsid w:val="33526EC0"/>
    <w:rsid w:val="33B9024F"/>
    <w:rsid w:val="35542DC8"/>
    <w:rsid w:val="35B92089"/>
    <w:rsid w:val="36B616DB"/>
    <w:rsid w:val="376439AF"/>
    <w:rsid w:val="3A0A7F31"/>
    <w:rsid w:val="3A573C89"/>
    <w:rsid w:val="3BF52249"/>
    <w:rsid w:val="3BFA7D03"/>
    <w:rsid w:val="3D317A55"/>
    <w:rsid w:val="3E550EA2"/>
    <w:rsid w:val="3F545EE9"/>
    <w:rsid w:val="3F9D2359"/>
    <w:rsid w:val="40A06315"/>
    <w:rsid w:val="40AF0877"/>
    <w:rsid w:val="41735849"/>
    <w:rsid w:val="417B139E"/>
    <w:rsid w:val="417D3202"/>
    <w:rsid w:val="426C51B2"/>
    <w:rsid w:val="45672E87"/>
    <w:rsid w:val="472F7DF9"/>
    <w:rsid w:val="480A2E99"/>
    <w:rsid w:val="495C1A27"/>
    <w:rsid w:val="4A634F8D"/>
    <w:rsid w:val="4B0923EE"/>
    <w:rsid w:val="4B0F38C2"/>
    <w:rsid w:val="4B8E206B"/>
    <w:rsid w:val="4C6149B9"/>
    <w:rsid w:val="4C657E57"/>
    <w:rsid w:val="4C7B5AB3"/>
    <w:rsid w:val="4E7E67D5"/>
    <w:rsid w:val="4F9F7912"/>
    <w:rsid w:val="4FE0409B"/>
    <w:rsid w:val="50B77170"/>
    <w:rsid w:val="50B92ECC"/>
    <w:rsid w:val="532C48FC"/>
    <w:rsid w:val="53F574AA"/>
    <w:rsid w:val="54E04770"/>
    <w:rsid w:val="56842607"/>
    <w:rsid w:val="569309BF"/>
    <w:rsid w:val="59EE2843"/>
    <w:rsid w:val="5B5D5033"/>
    <w:rsid w:val="5D8B7E11"/>
    <w:rsid w:val="5DE059A6"/>
    <w:rsid w:val="5EF95DAA"/>
    <w:rsid w:val="607F5820"/>
    <w:rsid w:val="62ED4CCD"/>
    <w:rsid w:val="642A16BC"/>
    <w:rsid w:val="646030B8"/>
    <w:rsid w:val="652F39A5"/>
    <w:rsid w:val="658835A0"/>
    <w:rsid w:val="666D29DF"/>
    <w:rsid w:val="66CF67C3"/>
    <w:rsid w:val="676F1FB1"/>
    <w:rsid w:val="67CD4E18"/>
    <w:rsid w:val="6B1C2BA3"/>
    <w:rsid w:val="6B546E6F"/>
    <w:rsid w:val="6CC00C19"/>
    <w:rsid w:val="6D6C5A71"/>
    <w:rsid w:val="6FCA2676"/>
    <w:rsid w:val="70811DA4"/>
    <w:rsid w:val="71E07067"/>
    <w:rsid w:val="71EC7B7D"/>
    <w:rsid w:val="72346040"/>
    <w:rsid w:val="72525500"/>
    <w:rsid w:val="73777776"/>
    <w:rsid w:val="73ED5E5F"/>
    <w:rsid w:val="741834E3"/>
    <w:rsid w:val="75374181"/>
    <w:rsid w:val="7569316C"/>
    <w:rsid w:val="75750A98"/>
    <w:rsid w:val="757C2153"/>
    <w:rsid w:val="75917CED"/>
    <w:rsid w:val="75AE839E"/>
    <w:rsid w:val="76625211"/>
    <w:rsid w:val="776D297D"/>
    <w:rsid w:val="77DF6F7E"/>
    <w:rsid w:val="7847016B"/>
    <w:rsid w:val="7ADF4B7B"/>
    <w:rsid w:val="7AF85C0A"/>
    <w:rsid w:val="7B5D0F10"/>
    <w:rsid w:val="7B8C6DD7"/>
    <w:rsid w:val="7DBB4243"/>
    <w:rsid w:val="7E9139CA"/>
    <w:rsid w:val="7F142BBC"/>
    <w:rsid w:val="7F82786B"/>
    <w:rsid w:val="CBD43516"/>
    <w:rsid w:val="EFEC8E26"/>
    <w:rsid w:val="F6B6E730"/>
    <w:rsid w:val="FDFA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uto"/>
      <w:textAlignment w:val="baseline"/>
      <w:outlineLvl w:val="0"/>
    </w:pPr>
    <w:rPr>
      <w:b/>
      <w:bCs/>
      <w:kern w:val="44"/>
      <w:sz w:val="44"/>
      <w:szCs w:val="44"/>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style>
  <w:style w:type="paragraph" w:styleId="5">
    <w:name w:val="table of authorities"/>
    <w:basedOn w:val="1"/>
    <w:next w:val="1"/>
    <w:unhideWhenUsed/>
    <w:qFormat/>
    <w:uiPriority w:val="0"/>
    <w:pPr>
      <w:ind w:left="420" w:leftChars="200"/>
    </w:pPr>
  </w:style>
  <w:style w:type="paragraph" w:styleId="6">
    <w:name w:val="Normal Indent"/>
    <w:basedOn w:val="1"/>
    <w:next w:val="1"/>
    <w:qFormat/>
    <w:uiPriority w:val="99"/>
    <w:pPr>
      <w:ind w:firstLine="200" w:firstLineChars="20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1"/>
    <w:qFormat/>
    <w:uiPriority w:val="0"/>
    <w:pPr>
      <w:jc w:val="left"/>
    </w:pPr>
  </w:style>
  <w:style w:type="paragraph" w:styleId="9">
    <w:name w:val="Body Text"/>
    <w:basedOn w:val="1"/>
    <w:unhideWhenUsed/>
    <w:qFormat/>
    <w:uiPriority w:val="99"/>
    <w:pPr>
      <w:ind w:firstLine="560"/>
    </w:pPr>
    <w:rPr>
      <w:rFonts w:ascii="仿宋_GB2312" w:hAnsi="仿宋_GB2312"/>
    </w:rPr>
  </w:style>
  <w:style w:type="paragraph" w:styleId="10">
    <w:name w:val="Body Text Indent"/>
    <w:basedOn w:val="1"/>
    <w:next w:val="11"/>
    <w:qFormat/>
    <w:uiPriority w:val="0"/>
    <w:pPr>
      <w:adjustRightInd w:val="0"/>
      <w:spacing w:line="360" w:lineRule="auto"/>
      <w:ind w:firstLine="555"/>
      <w:textAlignment w:val="baseline"/>
    </w:pPr>
    <w:rPr>
      <w:sz w:val="24"/>
      <w:szCs w:val="20"/>
    </w:rPr>
  </w:style>
  <w:style w:type="paragraph" w:styleId="11">
    <w:name w:val="Body Text First Indent 2"/>
    <w:basedOn w:val="10"/>
    <w:next w:val="9"/>
    <w:unhideWhenUsed/>
    <w:qFormat/>
    <w:uiPriority w:val="99"/>
    <w:pPr>
      <w:ind w:firstLine="420" w:firstLineChars="200"/>
    </w:pPr>
  </w:style>
  <w:style w:type="paragraph" w:styleId="12">
    <w:name w:val="Plain Text"/>
    <w:basedOn w:val="1"/>
    <w:link w:val="30"/>
    <w:qFormat/>
    <w:uiPriority w:val="0"/>
    <w:rPr>
      <w:rFonts w:ascii="宋体" w:hAnsi="Courier New"/>
      <w:szCs w:val="20"/>
    </w:rPr>
  </w:style>
  <w:style w:type="paragraph" w:styleId="13">
    <w:name w:val="Date"/>
    <w:basedOn w:val="1"/>
    <w:next w:val="1"/>
    <w:qFormat/>
    <w:uiPriority w:val="0"/>
    <w:pPr>
      <w:adjustRightInd w:val="0"/>
      <w:ind w:left="100" w:leftChars="2500"/>
      <w:textAlignment w:val="baseline"/>
    </w:pPr>
    <w:rPr>
      <w:szCs w:val="20"/>
    </w:rPr>
  </w:style>
  <w:style w:type="paragraph" w:styleId="14">
    <w:name w:val="Body Text Indent 2"/>
    <w:basedOn w:val="1"/>
    <w:link w:val="32"/>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adjustRightInd w:val="0"/>
      <w:snapToGrid w:val="0"/>
      <w:jc w:val="left"/>
      <w:textAlignment w:val="baseline"/>
    </w:pPr>
    <w:rPr>
      <w:sz w:val="18"/>
      <w:szCs w:val="18"/>
    </w:rPr>
  </w:style>
  <w:style w:type="paragraph" w:styleId="17">
    <w:name w:val="header"/>
    <w:basedOn w:val="1"/>
    <w:qFormat/>
    <w:uiPriority w:val="0"/>
    <w:pPr>
      <w:pBdr>
        <w:bottom w:val="single" w:color="auto" w:sz="6" w:space="1"/>
      </w:pBdr>
      <w:tabs>
        <w:tab w:val="center" w:pos="4153"/>
        <w:tab w:val="right" w:pos="8306"/>
      </w:tabs>
      <w:adjustRightInd w:val="0"/>
      <w:snapToGrid w:val="0"/>
      <w:jc w:val="center"/>
      <w:textAlignment w:val="baseline"/>
    </w:pPr>
    <w:rPr>
      <w:sz w:val="18"/>
      <w:szCs w:val="18"/>
    </w:rPr>
  </w:style>
  <w:style w:type="paragraph" w:styleId="18">
    <w:name w:val="toc 1"/>
    <w:basedOn w:val="1"/>
    <w:next w:val="1"/>
    <w:qFormat/>
    <w:uiPriority w:val="39"/>
    <w:pPr>
      <w:tabs>
        <w:tab w:val="right" w:leader="dot" w:pos="8400"/>
      </w:tabs>
      <w:adjustRightInd w:val="0"/>
      <w:spacing w:line="360" w:lineRule="auto"/>
      <w:textAlignment w:val="baseline"/>
    </w:pPr>
    <w:rPr>
      <w:szCs w:val="20"/>
    </w:rPr>
  </w:style>
  <w:style w:type="paragraph" w:styleId="19">
    <w:name w:val="footnote text"/>
    <w:basedOn w:val="1"/>
    <w:semiHidden/>
    <w:qFormat/>
    <w:uiPriority w:val="0"/>
    <w:pPr>
      <w:snapToGrid w:val="0"/>
      <w:jc w:val="left"/>
    </w:pPr>
    <w:rPr>
      <w:sz w:val="18"/>
      <w:szCs w:val="18"/>
    </w:rPr>
  </w:style>
  <w:style w:type="paragraph" w:styleId="2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8"/>
    <w:next w:val="8"/>
    <w:semiHidden/>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basedOn w:val="24"/>
    <w:unhideWhenUsed/>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4"/>
    <w:qFormat/>
    <w:uiPriority w:val="99"/>
    <w:rPr>
      <w:sz w:val="21"/>
      <w:szCs w:val="21"/>
    </w:rPr>
  </w:style>
  <w:style w:type="character" w:styleId="29">
    <w:name w:val="footnote reference"/>
    <w:semiHidden/>
    <w:qFormat/>
    <w:uiPriority w:val="0"/>
    <w:rPr>
      <w:vertAlign w:val="superscript"/>
    </w:rPr>
  </w:style>
  <w:style w:type="character" w:customStyle="1" w:styleId="30">
    <w:name w:val="纯文本 Char"/>
    <w:link w:val="12"/>
    <w:qFormat/>
    <w:uiPriority w:val="0"/>
    <w:rPr>
      <w:rFonts w:ascii="宋体" w:hAnsi="Courier New"/>
      <w:kern w:val="2"/>
      <w:sz w:val="21"/>
    </w:rPr>
  </w:style>
  <w:style w:type="character" w:customStyle="1" w:styleId="31">
    <w:name w:val="批注文字 Char"/>
    <w:link w:val="8"/>
    <w:qFormat/>
    <w:uiPriority w:val="99"/>
    <w:rPr>
      <w:kern w:val="2"/>
      <w:sz w:val="21"/>
      <w:szCs w:val="24"/>
    </w:rPr>
  </w:style>
  <w:style w:type="character" w:customStyle="1" w:styleId="32">
    <w:name w:val="正文文本缩进 2 Char"/>
    <w:link w:val="14"/>
    <w:qFormat/>
    <w:uiPriority w:val="0"/>
    <w:rPr>
      <w:kern w:val="2"/>
      <w:sz w:val="21"/>
      <w:szCs w:val="24"/>
    </w:rPr>
  </w:style>
  <w:style w:type="paragraph" w:customStyle="1" w:styleId="33">
    <w:name w:val="Char Char3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
    <w:name w:val="Char Char Char Char Char Char Char"/>
    <w:basedOn w:val="1"/>
    <w:qFormat/>
    <w:uiPriority w:val="0"/>
    <w:pPr>
      <w:tabs>
        <w:tab w:val="left" w:pos="360"/>
      </w:tabs>
    </w:pPr>
    <w:rPr>
      <w:sz w:val="24"/>
    </w:rPr>
  </w:style>
  <w:style w:type="paragraph" w:customStyle="1" w:styleId="35">
    <w:name w:val="列出段落1"/>
    <w:basedOn w:val="1"/>
    <w:qFormat/>
    <w:uiPriority w:val="0"/>
    <w:pPr>
      <w:spacing w:before="120" w:after="120"/>
      <w:ind w:firstLine="420" w:firstLineChars="200"/>
    </w:pPr>
    <w:rPr>
      <w:rFonts w:ascii="Calibri" w:hAnsi="Calibri"/>
      <w:szCs w:val="20"/>
    </w:rPr>
  </w:style>
  <w:style w:type="paragraph" w:customStyle="1" w:styleId="36">
    <w:name w:val="List Paragraph"/>
    <w:basedOn w:val="1"/>
    <w:qFormat/>
    <w:uiPriority w:val="34"/>
    <w:pPr>
      <w:ind w:firstLine="420" w:firstLineChars="200"/>
    </w:pPr>
    <w:rPr>
      <w:rFonts w:ascii="Calibri" w:hAnsi="Calibri"/>
      <w:szCs w:val="22"/>
    </w:rPr>
  </w:style>
  <w:style w:type="paragraph" w:customStyle="1" w:styleId="3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
    <w:name w:val="Char Char3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
    <w:name w:val="Char Char Char Char Char Char Char1"/>
    <w:basedOn w:val="1"/>
    <w:qFormat/>
    <w:uiPriority w:val="0"/>
    <w:pPr>
      <w:tabs>
        <w:tab w:val="left" w:pos="360"/>
      </w:tabs>
    </w:pPr>
    <w:rPr>
      <w:sz w:val="24"/>
    </w:rPr>
  </w:style>
  <w:style w:type="paragraph" w:customStyle="1" w:styleId="41">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42">
    <w:name w:val="TOC 标题1"/>
    <w:basedOn w:val="3"/>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Body Text Indent"/>
    <w:basedOn w:val="1"/>
    <w:qFormat/>
    <w:uiPriority w:val="0"/>
    <w:pPr>
      <w:spacing w:line="360" w:lineRule="auto"/>
      <w:ind w:firstLine="480"/>
    </w:pPr>
    <w:rPr>
      <w:rFonts w:ascii="宋体" w:hAnsi="宋体"/>
      <w:kern w:val="28"/>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cib</Company>
  <Pages>48</Pages>
  <Words>17232</Words>
  <Characters>17581</Characters>
  <Lines>198</Lines>
  <Paragraphs>55</Paragraphs>
  <TotalTime>29</TotalTime>
  <ScaleCrop>false</ScaleCrop>
  <LinksUpToDate>false</LinksUpToDate>
  <CharactersWithSpaces>17690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2022-03-12T23:38:00Z</dcterms:created>
  <dc:creator>卢圆圆</dc:creator>
  <cp:lastModifiedBy>孙能浩</cp:lastModifiedBy>
  <cp:lastPrinted>2024-07-19T22:47:00Z</cp:lastPrinted>
  <dcterms:modified xsi:type="dcterms:W3CDTF">2025-12-16T11:09:38Z</dcterms:modified>
  <dc:title>AAAAAA商业银行股份有限公司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DF72FBBB78304B51A0A87DFCA69CC2B7</vt:lpwstr>
  </property>
  <property fmtid="{D5CDD505-2E9C-101B-9397-08002B2CF9AE}" pid="4" name="KSOTemplateDocerSaveRecord">
    <vt:lpwstr>eyJoZGlkIjoiNmFiODI4OTlkNWI3ZGMyMTI4M2FjZjI0ZjQ4ZWY2ZjciLCJ1c2VySWQiOiIxNzExODM4ODYxIn0=</vt:lpwstr>
  </property>
</Properties>
</file>