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826B" w14:textId="77777777" w:rsidR="003D47C1" w:rsidRDefault="003D47C1">
      <w:pPr>
        <w:spacing w:line="520" w:lineRule="exact"/>
        <w:jc w:val="center"/>
        <w:rPr>
          <w:rFonts w:ascii="宋体"/>
          <w:sz w:val="24"/>
          <w:szCs w:val="28"/>
        </w:rPr>
      </w:pPr>
      <w:bookmarkStart w:id="0" w:name="OLE_LINK61"/>
      <w:bookmarkStart w:id="1" w:name="OLE_LINK60"/>
    </w:p>
    <w:p w14:paraId="55700CAD" w14:textId="77777777" w:rsidR="003D47C1" w:rsidRDefault="003D47C1">
      <w:pPr>
        <w:spacing w:line="520" w:lineRule="exact"/>
        <w:jc w:val="center"/>
        <w:rPr>
          <w:rFonts w:ascii="宋体"/>
          <w:sz w:val="24"/>
          <w:szCs w:val="28"/>
        </w:rPr>
      </w:pPr>
    </w:p>
    <w:p w14:paraId="46A31F77" w14:textId="77777777" w:rsidR="003D47C1" w:rsidRDefault="003D47C1">
      <w:pPr>
        <w:spacing w:line="520" w:lineRule="exact"/>
        <w:jc w:val="center"/>
        <w:rPr>
          <w:rFonts w:ascii="宋体" w:hAnsi="宋体" w:hint="eastAsia"/>
          <w:shadow/>
          <w:sz w:val="28"/>
          <w:szCs w:val="28"/>
        </w:rPr>
      </w:pPr>
    </w:p>
    <w:p w14:paraId="7AFAF12B" w14:textId="77777777" w:rsidR="003D47C1" w:rsidRDefault="003D47C1">
      <w:pPr>
        <w:spacing w:line="520" w:lineRule="exact"/>
        <w:jc w:val="center"/>
        <w:rPr>
          <w:rFonts w:ascii="宋体" w:hAnsi="宋体" w:hint="eastAsia"/>
          <w:shadow/>
          <w:sz w:val="28"/>
          <w:szCs w:val="28"/>
        </w:rPr>
      </w:pPr>
    </w:p>
    <w:p w14:paraId="0802EFC4" w14:textId="77777777" w:rsidR="003D47C1" w:rsidRDefault="003D47C1">
      <w:pPr>
        <w:spacing w:line="520" w:lineRule="exact"/>
        <w:jc w:val="center"/>
        <w:rPr>
          <w:rFonts w:ascii="宋体" w:hAnsi="宋体" w:hint="eastAsia"/>
          <w:shadow/>
          <w:sz w:val="28"/>
          <w:szCs w:val="28"/>
        </w:rPr>
      </w:pPr>
    </w:p>
    <w:p w14:paraId="73B4F077" w14:textId="77777777" w:rsidR="003D47C1" w:rsidRDefault="003D47C1">
      <w:pPr>
        <w:spacing w:line="520" w:lineRule="exact"/>
        <w:jc w:val="center"/>
        <w:rPr>
          <w:rFonts w:ascii="宋体" w:hAnsi="宋体" w:hint="eastAsia"/>
          <w:shadow/>
          <w:sz w:val="28"/>
          <w:szCs w:val="28"/>
        </w:rPr>
      </w:pPr>
    </w:p>
    <w:p w14:paraId="7F7A0342" w14:textId="77777777" w:rsidR="003D47C1" w:rsidRDefault="00000000">
      <w:pPr>
        <w:spacing w:line="520" w:lineRule="exact"/>
        <w:jc w:val="center"/>
        <w:rPr>
          <w:rFonts w:ascii="宋体" w:hAnsi="宋体" w:hint="eastAsia"/>
          <w:b/>
          <w:sz w:val="48"/>
        </w:rPr>
      </w:pPr>
      <w:bookmarkStart w:id="2" w:name="_Toc123701381"/>
      <w:bookmarkStart w:id="3" w:name="_Toc139992299"/>
      <w:bookmarkStart w:id="4" w:name="_Toc123112261"/>
      <w:bookmarkStart w:id="5" w:name="_Toc123112222"/>
      <w:bookmarkStart w:id="6" w:name="_Toc139991724"/>
      <w:r>
        <w:rPr>
          <w:rFonts w:ascii="宋体" w:hAnsi="宋体" w:hint="eastAsia"/>
          <w:b/>
          <w:sz w:val="48"/>
        </w:rPr>
        <w:t>富国港股</w:t>
      </w:r>
      <w:proofErr w:type="gramStart"/>
      <w:r>
        <w:rPr>
          <w:rFonts w:ascii="宋体" w:hAnsi="宋体" w:hint="eastAsia"/>
          <w:b/>
          <w:sz w:val="48"/>
        </w:rPr>
        <w:t>通成长</w:t>
      </w:r>
      <w:proofErr w:type="gramEnd"/>
      <w:r>
        <w:rPr>
          <w:rFonts w:ascii="宋体" w:hAnsi="宋体" w:hint="eastAsia"/>
          <w:b/>
          <w:sz w:val="48"/>
        </w:rPr>
        <w:t>精选混合型</w:t>
      </w:r>
    </w:p>
    <w:p w14:paraId="06DBE8E6" w14:textId="77777777" w:rsidR="003D47C1" w:rsidRDefault="00000000">
      <w:pPr>
        <w:spacing w:line="520" w:lineRule="exact"/>
        <w:jc w:val="center"/>
        <w:rPr>
          <w:rFonts w:ascii="宋体" w:hAnsi="宋体" w:hint="eastAsia"/>
          <w:b/>
          <w:sz w:val="48"/>
        </w:rPr>
      </w:pPr>
      <w:r>
        <w:rPr>
          <w:rFonts w:ascii="宋体" w:hAnsi="宋体" w:hint="eastAsia"/>
          <w:b/>
          <w:sz w:val="48"/>
        </w:rPr>
        <w:t>证券投资基金</w:t>
      </w:r>
      <w:bookmarkEnd w:id="2"/>
      <w:bookmarkEnd w:id="3"/>
      <w:bookmarkEnd w:id="4"/>
      <w:bookmarkEnd w:id="5"/>
      <w:bookmarkEnd w:id="6"/>
      <w:r>
        <w:rPr>
          <w:rFonts w:ascii="宋体" w:hAnsi="宋体" w:hint="eastAsia"/>
          <w:b/>
          <w:sz w:val="48"/>
        </w:rPr>
        <w:t>托管协议</w:t>
      </w:r>
    </w:p>
    <w:p w14:paraId="3D828504" w14:textId="77777777" w:rsidR="003D47C1" w:rsidRDefault="003D47C1">
      <w:pPr>
        <w:pStyle w:val="20"/>
        <w:spacing w:line="520" w:lineRule="exact"/>
        <w:ind w:firstLine="560"/>
        <w:rPr>
          <w:rFonts w:hAnsi="宋体" w:hint="eastAsia"/>
          <w:sz w:val="28"/>
          <w:szCs w:val="28"/>
        </w:rPr>
      </w:pPr>
    </w:p>
    <w:p w14:paraId="5335AC8A" w14:textId="77777777" w:rsidR="003D47C1" w:rsidRDefault="003D47C1">
      <w:pPr>
        <w:pStyle w:val="20"/>
        <w:spacing w:line="520" w:lineRule="exact"/>
        <w:ind w:firstLine="560"/>
        <w:rPr>
          <w:rFonts w:hAnsi="宋体" w:hint="eastAsia"/>
          <w:sz w:val="28"/>
          <w:szCs w:val="28"/>
        </w:rPr>
      </w:pPr>
    </w:p>
    <w:p w14:paraId="4D290BEA" w14:textId="77777777" w:rsidR="003D47C1" w:rsidRDefault="003D47C1">
      <w:pPr>
        <w:pStyle w:val="20"/>
        <w:spacing w:line="520" w:lineRule="exact"/>
        <w:ind w:firstLine="560"/>
        <w:rPr>
          <w:rFonts w:hAnsi="宋体" w:hint="eastAsia"/>
          <w:sz w:val="28"/>
          <w:szCs w:val="28"/>
        </w:rPr>
      </w:pPr>
    </w:p>
    <w:p w14:paraId="3ABAEB6C" w14:textId="77777777" w:rsidR="003D47C1" w:rsidRDefault="003D47C1">
      <w:pPr>
        <w:pStyle w:val="20"/>
        <w:spacing w:line="520" w:lineRule="exact"/>
        <w:ind w:firstLine="560"/>
        <w:rPr>
          <w:rFonts w:hAnsi="宋体" w:hint="eastAsia"/>
          <w:sz w:val="28"/>
          <w:szCs w:val="28"/>
        </w:rPr>
      </w:pPr>
    </w:p>
    <w:p w14:paraId="2FE658CA" w14:textId="77777777" w:rsidR="003D47C1" w:rsidRDefault="003D47C1">
      <w:pPr>
        <w:pStyle w:val="20"/>
        <w:spacing w:line="520" w:lineRule="exact"/>
        <w:ind w:firstLine="560"/>
        <w:rPr>
          <w:rFonts w:hAnsi="宋体" w:hint="eastAsia"/>
          <w:sz w:val="28"/>
          <w:szCs w:val="28"/>
        </w:rPr>
      </w:pPr>
    </w:p>
    <w:p w14:paraId="32E90CF5" w14:textId="77777777" w:rsidR="003D47C1" w:rsidRDefault="003D47C1">
      <w:pPr>
        <w:pStyle w:val="20"/>
        <w:spacing w:line="520" w:lineRule="exact"/>
        <w:ind w:firstLine="560"/>
        <w:rPr>
          <w:rFonts w:hAnsi="宋体" w:hint="eastAsia"/>
          <w:sz w:val="28"/>
          <w:szCs w:val="28"/>
        </w:rPr>
      </w:pPr>
    </w:p>
    <w:p w14:paraId="31A2E919" w14:textId="77777777" w:rsidR="003D47C1" w:rsidRDefault="003D47C1">
      <w:pPr>
        <w:pStyle w:val="20"/>
        <w:spacing w:line="520" w:lineRule="exact"/>
        <w:ind w:firstLine="560"/>
        <w:rPr>
          <w:rFonts w:hAnsi="宋体" w:hint="eastAsia"/>
          <w:sz w:val="28"/>
          <w:szCs w:val="28"/>
        </w:rPr>
      </w:pPr>
    </w:p>
    <w:p w14:paraId="51D5329B" w14:textId="77777777" w:rsidR="003D47C1" w:rsidRDefault="00000000">
      <w:pPr>
        <w:spacing w:line="360" w:lineRule="auto"/>
        <w:jc w:val="center"/>
        <w:rPr>
          <w:rFonts w:ascii="宋体" w:hAnsi="宋体" w:hint="eastAsia"/>
          <w:b/>
          <w:sz w:val="36"/>
        </w:rPr>
      </w:pPr>
      <w:bookmarkStart w:id="7" w:name="_Toc123112224"/>
      <w:bookmarkStart w:id="8" w:name="_Toc123701383"/>
      <w:bookmarkStart w:id="9" w:name="_Toc123112263"/>
      <w:bookmarkStart w:id="10" w:name="_Toc139992301"/>
      <w:bookmarkStart w:id="11" w:name="_Toc139991726"/>
      <w:r>
        <w:rPr>
          <w:rFonts w:ascii="宋体" w:hAnsi="宋体"/>
          <w:b/>
          <w:sz w:val="36"/>
        </w:rPr>
        <w:t>基金管理人：</w:t>
      </w:r>
      <w:bookmarkEnd w:id="7"/>
      <w:bookmarkEnd w:id="8"/>
      <w:bookmarkEnd w:id="9"/>
      <w:bookmarkEnd w:id="10"/>
      <w:bookmarkEnd w:id="11"/>
      <w:r>
        <w:rPr>
          <w:rFonts w:ascii="宋体" w:hAnsi="宋体" w:hint="eastAsia"/>
          <w:b/>
          <w:sz w:val="36"/>
        </w:rPr>
        <w:t>富国基金管理有限公司</w:t>
      </w:r>
    </w:p>
    <w:p w14:paraId="7B034BEE" w14:textId="77777777" w:rsidR="003D47C1" w:rsidRDefault="00000000">
      <w:pPr>
        <w:spacing w:line="360" w:lineRule="auto"/>
        <w:jc w:val="center"/>
        <w:rPr>
          <w:rFonts w:ascii="宋体" w:hAnsi="宋体" w:hint="eastAsia"/>
          <w:b/>
          <w:sz w:val="36"/>
        </w:rPr>
      </w:pPr>
      <w:bookmarkStart w:id="12" w:name="_Toc123112225"/>
      <w:bookmarkStart w:id="13" w:name="_Toc139992302"/>
      <w:bookmarkStart w:id="14" w:name="_Toc139991727"/>
      <w:bookmarkStart w:id="15" w:name="_Toc123701384"/>
      <w:bookmarkStart w:id="16" w:name="_Toc123112264"/>
      <w:r>
        <w:rPr>
          <w:rFonts w:ascii="宋体" w:hAnsi="宋体"/>
          <w:b/>
          <w:sz w:val="36"/>
        </w:rPr>
        <w:t>基金托管人：</w:t>
      </w:r>
      <w:r>
        <w:rPr>
          <w:rFonts w:ascii="宋体" w:hAnsi="宋体" w:hint="eastAsia"/>
          <w:b/>
          <w:sz w:val="36"/>
        </w:rPr>
        <w:t>中信银行股份有限公司</w:t>
      </w:r>
      <w:bookmarkEnd w:id="12"/>
      <w:bookmarkEnd w:id="13"/>
      <w:bookmarkEnd w:id="14"/>
      <w:bookmarkEnd w:id="15"/>
      <w:bookmarkEnd w:id="16"/>
    </w:p>
    <w:p w14:paraId="4884F1AE" w14:textId="77777777" w:rsidR="003D47C1" w:rsidRDefault="003D47C1">
      <w:pPr>
        <w:spacing w:line="360" w:lineRule="auto"/>
        <w:jc w:val="center"/>
        <w:rPr>
          <w:rFonts w:ascii="宋体" w:hAnsi="宋体" w:hint="eastAsia"/>
          <w:b/>
          <w:sz w:val="44"/>
          <w:szCs w:val="44"/>
        </w:rPr>
      </w:pPr>
    </w:p>
    <w:p w14:paraId="2F3882BE" w14:textId="77777777" w:rsidR="003D47C1" w:rsidRDefault="003D47C1">
      <w:pPr>
        <w:spacing w:line="360" w:lineRule="auto"/>
        <w:rPr>
          <w:rFonts w:ascii="宋体" w:hAnsi="宋体" w:hint="eastAsia"/>
          <w:b/>
          <w:szCs w:val="28"/>
        </w:rPr>
      </w:pPr>
    </w:p>
    <w:p w14:paraId="25FC8765" w14:textId="77777777" w:rsidR="003D47C1" w:rsidRDefault="003D47C1">
      <w:pPr>
        <w:spacing w:line="360" w:lineRule="auto"/>
        <w:ind w:firstLineChars="200" w:firstLine="562"/>
        <w:jc w:val="center"/>
        <w:rPr>
          <w:rFonts w:ascii="宋体" w:hAnsi="宋体" w:hint="eastAsia"/>
          <w:b/>
          <w:bCs/>
          <w:sz w:val="28"/>
          <w:szCs w:val="28"/>
        </w:rPr>
      </w:pPr>
    </w:p>
    <w:p w14:paraId="63E2F565" w14:textId="77777777" w:rsidR="003D47C1" w:rsidRDefault="003D47C1">
      <w:pPr>
        <w:spacing w:line="360" w:lineRule="auto"/>
        <w:ind w:firstLineChars="200" w:firstLine="562"/>
        <w:jc w:val="center"/>
        <w:rPr>
          <w:rFonts w:ascii="宋体" w:hAnsi="宋体" w:hint="eastAsia"/>
          <w:b/>
          <w:bCs/>
          <w:sz w:val="28"/>
          <w:szCs w:val="28"/>
        </w:rPr>
      </w:pPr>
    </w:p>
    <w:p w14:paraId="14ED1D61" w14:textId="77777777" w:rsidR="003D47C1" w:rsidRDefault="003D47C1">
      <w:pPr>
        <w:spacing w:line="360" w:lineRule="auto"/>
        <w:rPr>
          <w:rFonts w:ascii="宋体" w:hAnsi="宋体" w:hint="eastAsia"/>
          <w:b/>
          <w:bCs/>
          <w:sz w:val="28"/>
          <w:szCs w:val="28"/>
        </w:rPr>
      </w:pPr>
    </w:p>
    <w:p w14:paraId="678CC51D" w14:textId="77777777" w:rsidR="003D47C1" w:rsidRDefault="00000000">
      <w:pPr>
        <w:spacing w:line="360" w:lineRule="auto"/>
        <w:ind w:firstLineChars="200" w:firstLine="562"/>
        <w:jc w:val="center"/>
        <w:rPr>
          <w:rFonts w:ascii="宋体" w:hAnsi="宋体" w:hint="eastAsia"/>
          <w:b/>
          <w:bCs/>
          <w:sz w:val="28"/>
          <w:szCs w:val="28"/>
        </w:rPr>
      </w:pPr>
      <w:r>
        <w:rPr>
          <w:rFonts w:ascii="宋体" w:hAnsi="宋体"/>
          <w:b/>
          <w:bCs/>
          <w:noProof/>
          <w:sz w:val="28"/>
          <w:szCs w:val="28"/>
        </w:rPr>
        <w:drawing>
          <wp:anchor distT="0" distB="0" distL="114300" distR="114300" simplePos="0" relativeHeight="251660288" behindDoc="0" locked="0" layoutInCell="1" allowOverlap="1" wp14:anchorId="20BC6B28" wp14:editId="77679C78">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Pr>
          <w:rFonts w:ascii="宋体" w:hAnsi="宋体" w:hint="eastAsia"/>
          <w:b/>
          <w:bCs/>
          <w:sz w:val="28"/>
          <w:szCs w:val="28"/>
        </w:rPr>
        <w:br w:type="page"/>
      </w:r>
    </w:p>
    <w:p w14:paraId="1E72D030" w14:textId="77777777" w:rsidR="003D47C1" w:rsidRDefault="00000000">
      <w:pPr>
        <w:spacing w:line="360" w:lineRule="auto"/>
        <w:jc w:val="center"/>
        <w:rPr>
          <w:rFonts w:ascii="宋体" w:hAnsi="宋体" w:hint="eastAsia"/>
          <w:b/>
          <w:bCs/>
          <w:sz w:val="28"/>
          <w:szCs w:val="28"/>
        </w:rPr>
      </w:pPr>
      <w:r>
        <w:rPr>
          <w:rFonts w:ascii="宋体" w:hAnsi="宋体" w:hint="eastAsia"/>
          <w:b/>
          <w:bCs/>
          <w:sz w:val="28"/>
          <w:szCs w:val="28"/>
        </w:rPr>
        <w:lastRenderedPageBreak/>
        <w:t xml:space="preserve">目 </w:t>
      </w:r>
      <w:r>
        <w:rPr>
          <w:rFonts w:ascii="宋体" w:hAnsi="宋体"/>
          <w:b/>
          <w:bCs/>
          <w:sz w:val="28"/>
          <w:szCs w:val="28"/>
        </w:rPr>
        <w:t xml:space="preserve">   </w:t>
      </w:r>
      <w:r>
        <w:rPr>
          <w:rFonts w:ascii="宋体" w:hAnsi="宋体" w:hint="eastAsia"/>
          <w:b/>
          <w:bCs/>
          <w:sz w:val="28"/>
          <w:szCs w:val="28"/>
        </w:rPr>
        <w:t>录</w:t>
      </w:r>
    </w:p>
    <w:p w14:paraId="35A9956F" w14:textId="77777777" w:rsidR="003D47C1" w:rsidRDefault="003D47C1">
      <w:pPr>
        <w:spacing w:line="360" w:lineRule="auto"/>
        <w:ind w:firstLineChars="200" w:firstLine="562"/>
        <w:jc w:val="center"/>
        <w:rPr>
          <w:rFonts w:ascii="宋体" w:hAnsi="宋体" w:hint="eastAsia"/>
          <w:b/>
          <w:bCs/>
          <w:sz w:val="28"/>
          <w:szCs w:val="28"/>
        </w:rPr>
      </w:pPr>
    </w:p>
    <w:p w14:paraId="45D68E8D" w14:textId="77777777" w:rsidR="003D47C1" w:rsidRDefault="00000000">
      <w:pPr>
        <w:pStyle w:val="TOC1"/>
        <w:rPr>
          <w:rFonts w:asciiTheme="minorHAnsi" w:eastAsiaTheme="minorEastAsia" w:hAnsiTheme="minorHAnsi" w:cstheme="minorBidi"/>
          <w:sz w:val="21"/>
          <w:szCs w:val="22"/>
        </w:rPr>
      </w:pPr>
      <w:r>
        <w:rPr>
          <w:b/>
          <w:sz w:val="28"/>
          <w:szCs w:val="28"/>
        </w:rPr>
        <w:fldChar w:fldCharType="begin"/>
      </w:r>
      <w:r>
        <w:rPr>
          <w:b/>
          <w:sz w:val="28"/>
          <w:szCs w:val="28"/>
        </w:rPr>
        <w:instrText xml:space="preserve"> </w:instrText>
      </w:r>
      <w:r>
        <w:rPr>
          <w:rFonts w:hint="eastAsia"/>
          <w:b/>
          <w:sz w:val="28"/>
          <w:szCs w:val="28"/>
        </w:rPr>
        <w:instrText>TOC \o "1-1" \h \z \u</w:instrText>
      </w:r>
      <w:r>
        <w:rPr>
          <w:b/>
          <w:sz w:val="28"/>
          <w:szCs w:val="28"/>
        </w:rPr>
        <w:instrText xml:space="preserve"> </w:instrText>
      </w:r>
      <w:r>
        <w:rPr>
          <w:b/>
          <w:sz w:val="28"/>
          <w:szCs w:val="28"/>
        </w:rPr>
        <w:fldChar w:fldCharType="separate"/>
      </w:r>
      <w:hyperlink w:anchor="_Toc130978945" w:history="1">
        <w:r w:rsidR="003D47C1">
          <w:rPr>
            <w:rStyle w:val="af6"/>
            <w:rFonts w:hint="eastAsia"/>
            <w:bCs/>
          </w:rPr>
          <w:t>第一条</w:t>
        </w:r>
        <w:r w:rsidR="003D47C1">
          <w:rPr>
            <w:rStyle w:val="af6"/>
            <w:bCs/>
          </w:rPr>
          <w:t xml:space="preserve"> </w:t>
        </w:r>
        <w:r w:rsidR="003D47C1">
          <w:rPr>
            <w:rStyle w:val="af6"/>
            <w:rFonts w:hint="eastAsia"/>
            <w:bCs/>
          </w:rPr>
          <w:t>本协议当事人</w:t>
        </w:r>
        <w:r w:rsidR="003D47C1">
          <w:tab/>
        </w:r>
        <w:r w:rsidR="003D47C1">
          <w:fldChar w:fldCharType="begin"/>
        </w:r>
        <w:r w:rsidR="003D47C1">
          <w:instrText xml:space="preserve"> PAGEREF _Toc130978945 \h </w:instrText>
        </w:r>
        <w:r w:rsidR="003D47C1">
          <w:fldChar w:fldCharType="separate"/>
        </w:r>
        <w:r w:rsidR="003D47C1">
          <w:rPr>
            <w:rFonts w:hint="eastAsia"/>
          </w:rPr>
          <w:t>3</w:t>
        </w:r>
        <w:r w:rsidR="003D47C1">
          <w:fldChar w:fldCharType="end"/>
        </w:r>
      </w:hyperlink>
    </w:p>
    <w:p w14:paraId="53279F26" w14:textId="77777777" w:rsidR="003D47C1" w:rsidRDefault="003D47C1">
      <w:pPr>
        <w:pStyle w:val="TOC1"/>
        <w:rPr>
          <w:rFonts w:asciiTheme="minorHAnsi" w:eastAsiaTheme="minorEastAsia" w:hAnsiTheme="minorHAnsi" w:cstheme="minorBidi"/>
          <w:sz w:val="21"/>
          <w:szCs w:val="22"/>
        </w:rPr>
      </w:pPr>
      <w:hyperlink w:anchor="_Toc130978946" w:history="1">
        <w:r>
          <w:rPr>
            <w:rStyle w:val="af6"/>
            <w:rFonts w:hint="eastAsia"/>
            <w:bCs/>
          </w:rPr>
          <w:t>第二条</w:t>
        </w:r>
        <w:r>
          <w:rPr>
            <w:rStyle w:val="af6"/>
            <w:bCs/>
          </w:rPr>
          <w:t xml:space="preserve"> </w:t>
        </w:r>
        <w:r>
          <w:rPr>
            <w:rStyle w:val="af6"/>
            <w:rFonts w:hint="eastAsia"/>
            <w:bCs/>
          </w:rPr>
          <w:t>本协议的依据、目的和原则</w:t>
        </w:r>
        <w:r>
          <w:tab/>
        </w:r>
        <w:r>
          <w:fldChar w:fldCharType="begin"/>
        </w:r>
        <w:r>
          <w:instrText xml:space="preserve"> PAGEREF _Toc130978946 \h </w:instrText>
        </w:r>
        <w:r>
          <w:fldChar w:fldCharType="separate"/>
        </w:r>
        <w:r>
          <w:rPr>
            <w:rFonts w:hint="eastAsia"/>
          </w:rPr>
          <w:t>4</w:t>
        </w:r>
        <w:r>
          <w:fldChar w:fldCharType="end"/>
        </w:r>
      </w:hyperlink>
    </w:p>
    <w:p w14:paraId="32114C2C" w14:textId="77777777" w:rsidR="003D47C1" w:rsidRDefault="003D47C1">
      <w:pPr>
        <w:pStyle w:val="TOC1"/>
        <w:rPr>
          <w:rFonts w:asciiTheme="minorHAnsi" w:eastAsiaTheme="minorEastAsia" w:hAnsiTheme="minorHAnsi" w:cstheme="minorBidi"/>
          <w:sz w:val="21"/>
          <w:szCs w:val="22"/>
        </w:rPr>
      </w:pPr>
      <w:hyperlink w:anchor="_Toc130978947" w:history="1">
        <w:r>
          <w:rPr>
            <w:rStyle w:val="af6"/>
            <w:rFonts w:hint="eastAsia"/>
            <w:bCs/>
          </w:rPr>
          <w:t>第三条</w:t>
        </w:r>
        <w:r>
          <w:rPr>
            <w:rStyle w:val="af6"/>
            <w:bCs/>
          </w:rPr>
          <w:t xml:space="preserve"> </w:t>
        </w:r>
        <w:r>
          <w:rPr>
            <w:rStyle w:val="af6"/>
            <w:rFonts w:hint="eastAsia"/>
            <w:bCs/>
          </w:rPr>
          <w:t>基金托管人对基金管理人的业务监督和核查</w:t>
        </w:r>
        <w:r>
          <w:tab/>
        </w:r>
        <w:r>
          <w:fldChar w:fldCharType="begin"/>
        </w:r>
        <w:r>
          <w:instrText xml:space="preserve"> PAGEREF _Toc130978947 \h </w:instrText>
        </w:r>
        <w:r>
          <w:fldChar w:fldCharType="separate"/>
        </w:r>
        <w:r>
          <w:rPr>
            <w:rFonts w:hint="eastAsia"/>
          </w:rPr>
          <w:t>4</w:t>
        </w:r>
        <w:r>
          <w:fldChar w:fldCharType="end"/>
        </w:r>
      </w:hyperlink>
    </w:p>
    <w:p w14:paraId="5CA405E1" w14:textId="77777777" w:rsidR="003D47C1" w:rsidRDefault="003D47C1">
      <w:pPr>
        <w:pStyle w:val="TOC1"/>
        <w:rPr>
          <w:rFonts w:asciiTheme="minorHAnsi" w:eastAsiaTheme="minorEastAsia" w:hAnsiTheme="minorHAnsi" w:cstheme="minorBidi"/>
          <w:sz w:val="21"/>
          <w:szCs w:val="22"/>
        </w:rPr>
      </w:pPr>
      <w:hyperlink w:anchor="_Toc130978948" w:history="1">
        <w:r>
          <w:rPr>
            <w:rStyle w:val="af6"/>
            <w:rFonts w:hint="eastAsia"/>
            <w:bCs/>
          </w:rPr>
          <w:t>第四条</w:t>
        </w:r>
        <w:r>
          <w:rPr>
            <w:rStyle w:val="af6"/>
            <w:bCs/>
          </w:rPr>
          <w:t xml:space="preserve"> </w:t>
        </w:r>
        <w:r>
          <w:rPr>
            <w:rStyle w:val="af6"/>
            <w:rFonts w:hint="eastAsia"/>
            <w:bCs/>
          </w:rPr>
          <w:t>基金管理人对基金托管人的业务核查</w:t>
        </w:r>
        <w:r>
          <w:tab/>
        </w:r>
        <w:r>
          <w:fldChar w:fldCharType="begin"/>
        </w:r>
        <w:r>
          <w:instrText xml:space="preserve"> PAGEREF _Toc130978948 \h </w:instrText>
        </w:r>
        <w:r>
          <w:fldChar w:fldCharType="separate"/>
        </w:r>
        <w:r>
          <w:rPr>
            <w:rFonts w:hint="eastAsia"/>
          </w:rPr>
          <w:t>14</w:t>
        </w:r>
        <w:r>
          <w:fldChar w:fldCharType="end"/>
        </w:r>
      </w:hyperlink>
    </w:p>
    <w:p w14:paraId="1B827709" w14:textId="77777777" w:rsidR="003D47C1" w:rsidRDefault="003D47C1">
      <w:pPr>
        <w:pStyle w:val="TOC1"/>
        <w:rPr>
          <w:rFonts w:asciiTheme="minorHAnsi" w:eastAsiaTheme="minorEastAsia" w:hAnsiTheme="minorHAnsi" w:cstheme="minorBidi"/>
          <w:sz w:val="21"/>
          <w:szCs w:val="22"/>
        </w:rPr>
      </w:pPr>
      <w:hyperlink w:anchor="_Toc130978949" w:history="1">
        <w:r>
          <w:rPr>
            <w:rStyle w:val="af6"/>
            <w:rFonts w:hint="eastAsia"/>
            <w:bCs/>
          </w:rPr>
          <w:t>第五条</w:t>
        </w:r>
        <w:r>
          <w:rPr>
            <w:rStyle w:val="af6"/>
            <w:bCs/>
          </w:rPr>
          <w:t xml:space="preserve"> </w:t>
        </w:r>
        <w:r>
          <w:rPr>
            <w:rStyle w:val="af6"/>
            <w:rFonts w:hint="eastAsia"/>
            <w:bCs/>
          </w:rPr>
          <w:t>基金财产保管</w:t>
        </w:r>
        <w:r>
          <w:tab/>
        </w:r>
        <w:r>
          <w:fldChar w:fldCharType="begin"/>
        </w:r>
        <w:r>
          <w:instrText xml:space="preserve"> PAGEREF _Toc130978949 \h </w:instrText>
        </w:r>
        <w:r>
          <w:fldChar w:fldCharType="separate"/>
        </w:r>
        <w:r>
          <w:rPr>
            <w:rFonts w:hint="eastAsia"/>
          </w:rPr>
          <w:t>15</w:t>
        </w:r>
        <w:r>
          <w:fldChar w:fldCharType="end"/>
        </w:r>
      </w:hyperlink>
    </w:p>
    <w:p w14:paraId="771D5621" w14:textId="77777777" w:rsidR="003D47C1" w:rsidRDefault="003D47C1">
      <w:pPr>
        <w:pStyle w:val="TOC1"/>
        <w:rPr>
          <w:rFonts w:asciiTheme="minorHAnsi" w:eastAsiaTheme="minorEastAsia" w:hAnsiTheme="minorHAnsi" w:cstheme="minorBidi"/>
          <w:sz w:val="21"/>
          <w:szCs w:val="22"/>
        </w:rPr>
      </w:pPr>
      <w:hyperlink w:anchor="_Toc130978950" w:history="1">
        <w:r>
          <w:rPr>
            <w:rStyle w:val="af6"/>
            <w:rFonts w:hint="eastAsia"/>
            <w:bCs/>
          </w:rPr>
          <w:t>第六条</w:t>
        </w:r>
        <w:r>
          <w:rPr>
            <w:rStyle w:val="af6"/>
            <w:bCs/>
          </w:rPr>
          <w:t xml:space="preserve"> </w:t>
        </w:r>
        <w:r>
          <w:rPr>
            <w:rStyle w:val="af6"/>
            <w:rFonts w:hint="eastAsia"/>
            <w:bCs/>
          </w:rPr>
          <w:t>指令的发送、确认和执行</w:t>
        </w:r>
        <w:r>
          <w:tab/>
        </w:r>
        <w:r>
          <w:fldChar w:fldCharType="begin"/>
        </w:r>
        <w:r>
          <w:instrText xml:space="preserve"> PAGEREF _Toc130978950 \h </w:instrText>
        </w:r>
        <w:r>
          <w:fldChar w:fldCharType="separate"/>
        </w:r>
        <w:r>
          <w:rPr>
            <w:rFonts w:hint="eastAsia"/>
          </w:rPr>
          <w:t>17</w:t>
        </w:r>
        <w:r>
          <w:fldChar w:fldCharType="end"/>
        </w:r>
      </w:hyperlink>
    </w:p>
    <w:p w14:paraId="3B7E233B" w14:textId="77777777" w:rsidR="003D47C1" w:rsidRDefault="003D47C1">
      <w:pPr>
        <w:pStyle w:val="TOC1"/>
        <w:rPr>
          <w:rFonts w:asciiTheme="minorHAnsi" w:eastAsiaTheme="minorEastAsia" w:hAnsiTheme="minorHAnsi" w:cstheme="minorBidi"/>
          <w:sz w:val="21"/>
          <w:szCs w:val="22"/>
        </w:rPr>
      </w:pPr>
      <w:hyperlink w:anchor="_Toc130978951" w:history="1">
        <w:r>
          <w:rPr>
            <w:rStyle w:val="af6"/>
            <w:rFonts w:hint="eastAsia"/>
            <w:bCs/>
          </w:rPr>
          <w:t>第七条</w:t>
        </w:r>
        <w:r>
          <w:rPr>
            <w:rStyle w:val="af6"/>
            <w:bCs/>
          </w:rPr>
          <w:t xml:space="preserve"> </w:t>
        </w:r>
        <w:r>
          <w:rPr>
            <w:rStyle w:val="af6"/>
            <w:rFonts w:hint="eastAsia"/>
            <w:bCs/>
          </w:rPr>
          <w:t>交易及清算交收安排</w:t>
        </w:r>
        <w:r>
          <w:tab/>
        </w:r>
        <w:r>
          <w:fldChar w:fldCharType="begin"/>
        </w:r>
        <w:r>
          <w:instrText xml:space="preserve"> PAGEREF _Toc130978951 \h </w:instrText>
        </w:r>
        <w:r>
          <w:fldChar w:fldCharType="separate"/>
        </w:r>
        <w:r>
          <w:rPr>
            <w:rFonts w:hint="eastAsia"/>
          </w:rPr>
          <w:t>20</w:t>
        </w:r>
        <w:r>
          <w:fldChar w:fldCharType="end"/>
        </w:r>
      </w:hyperlink>
    </w:p>
    <w:p w14:paraId="711A4FFE" w14:textId="77777777" w:rsidR="003D47C1" w:rsidRDefault="003D47C1">
      <w:pPr>
        <w:pStyle w:val="TOC1"/>
        <w:rPr>
          <w:rFonts w:asciiTheme="minorHAnsi" w:eastAsiaTheme="minorEastAsia" w:hAnsiTheme="minorHAnsi" w:cstheme="minorBidi"/>
          <w:sz w:val="21"/>
          <w:szCs w:val="22"/>
        </w:rPr>
      </w:pPr>
      <w:hyperlink w:anchor="_Toc130978952" w:history="1">
        <w:r>
          <w:rPr>
            <w:rStyle w:val="af6"/>
            <w:rFonts w:hint="eastAsia"/>
            <w:bCs/>
          </w:rPr>
          <w:t>第八条</w:t>
        </w:r>
        <w:r>
          <w:rPr>
            <w:rStyle w:val="af6"/>
            <w:bCs/>
          </w:rPr>
          <w:t xml:space="preserve"> </w:t>
        </w:r>
        <w:r>
          <w:rPr>
            <w:rStyle w:val="af6"/>
            <w:rFonts w:hint="eastAsia"/>
            <w:bCs/>
          </w:rPr>
          <w:t>基金净值计算和会计核算</w:t>
        </w:r>
        <w:r>
          <w:tab/>
        </w:r>
        <w:r>
          <w:fldChar w:fldCharType="begin"/>
        </w:r>
        <w:r>
          <w:instrText xml:space="preserve"> PAGEREF _Toc130978952 \h </w:instrText>
        </w:r>
        <w:r>
          <w:fldChar w:fldCharType="separate"/>
        </w:r>
        <w:r>
          <w:rPr>
            <w:rFonts w:hint="eastAsia"/>
          </w:rPr>
          <w:t>23</w:t>
        </w:r>
        <w:r>
          <w:fldChar w:fldCharType="end"/>
        </w:r>
      </w:hyperlink>
    </w:p>
    <w:p w14:paraId="197BC101" w14:textId="77777777" w:rsidR="003D47C1" w:rsidRDefault="003D47C1">
      <w:pPr>
        <w:pStyle w:val="TOC1"/>
        <w:rPr>
          <w:rFonts w:asciiTheme="minorHAnsi" w:eastAsiaTheme="minorEastAsia" w:hAnsiTheme="minorHAnsi" w:cstheme="minorBidi"/>
          <w:sz w:val="21"/>
          <w:szCs w:val="22"/>
        </w:rPr>
      </w:pPr>
      <w:hyperlink w:anchor="_Toc130978953" w:history="1">
        <w:r>
          <w:rPr>
            <w:rStyle w:val="af6"/>
            <w:rFonts w:hint="eastAsia"/>
            <w:bCs/>
          </w:rPr>
          <w:t>第九条</w:t>
        </w:r>
        <w:r>
          <w:rPr>
            <w:rStyle w:val="af6"/>
            <w:bCs/>
          </w:rPr>
          <w:t xml:space="preserve"> </w:t>
        </w:r>
        <w:r>
          <w:rPr>
            <w:rStyle w:val="af6"/>
            <w:rFonts w:hint="eastAsia"/>
            <w:bCs/>
          </w:rPr>
          <w:t>基金收益分配</w:t>
        </w:r>
        <w:r>
          <w:tab/>
        </w:r>
        <w:r>
          <w:fldChar w:fldCharType="begin"/>
        </w:r>
        <w:r>
          <w:instrText xml:space="preserve"> PAGEREF _Toc130978953 \h </w:instrText>
        </w:r>
        <w:r>
          <w:fldChar w:fldCharType="separate"/>
        </w:r>
        <w:r>
          <w:rPr>
            <w:rFonts w:hint="eastAsia"/>
          </w:rPr>
          <w:t>30</w:t>
        </w:r>
        <w:r>
          <w:fldChar w:fldCharType="end"/>
        </w:r>
      </w:hyperlink>
    </w:p>
    <w:p w14:paraId="3BA81569" w14:textId="77777777" w:rsidR="003D47C1" w:rsidRDefault="003D47C1">
      <w:pPr>
        <w:pStyle w:val="TOC1"/>
        <w:rPr>
          <w:rFonts w:asciiTheme="minorHAnsi" w:eastAsiaTheme="minorEastAsia" w:hAnsiTheme="minorHAnsi" w:cstheme="minorBidi"/>
          <w:sz w:val="21"/>
          <w:szCs w:val="22"/>
        </w:rPr>
      </w:pPr>
      <w:hyperlink w:anchor="_Toc130978954" w:history="1">
        <w:r>
          <w:rPr>
            <w:rStyle w:val="af6"/>
            <w:rFonts w:hint="eastAsia"/>
            <w:bCs/>
          </w:rPr>
          <w:t>第十条</w:t>
        </w:r>
        <w:r>
          <w:rPr>
            <w:rStyle w:val="af6"/>
            <w:bCs/>
          </w:rPr>
          <w:t xml:space="preserve"> </w:t>
        </w:r>
        <w:r>
          <w:rPr>
            <w:rStyle w:val="af6"/>
            <w:rFonts w:hint="eastAsia"/>
            <w:bCs/>
          </w:rPr>
          <w:t>信息披露</w:t>
        </w:r>
        <w:r>
          <w:tab/>
        </w:r>
        <w:r>
          <w:fldChar w:fldCharType="begin"/>
        </w:r>
        <w:r>
          <w:instrText xml:space="preserve"> PAGEREF _Toc130978954 \h </w:instrText>
        </w:r>
        <w:r>
          <w:fldChar w:fldCharType="separate"/>
        </w:r>
        <w:r>
          <w:rPr>
            <w:rFonts w:hint="eastAsia"/>
          </w:rPr>
          <w:t>32</w:t>
        </w:r>
        <w:r>
          <w:fldChar w:fldCharType="end"/>
        </w:r>
      </w:hyperlink>
    </w:p>
    <w:p w14:paraId="3A4A3303" w14:textId="77777777" w:rsidR="003D47C1" w:rsidRDefault="003D47C1">
      <w:pPr>
        <w:pStyle w:val="TOC1"/>
        <w:rPr>
          <w:rFonts w:asciiTheme="minorHAnsi" w:eastAsiaTheme="minorEastAsia" w:hAnsiTheme="minorHAnsi" w:cstheme="minorBidi"/>
          <w:sz w:val="21"/>
          <w:szCs w:val="22"/>
        </w:rPr>
      </w:pPr>
      <w:hyperlink w:anchor="_Toc130978955" w:history="1">
        <w:r>
          <w:rPr>
            <w:rStyle w:val="af6"/>
            <w:rFonts w:hint="eastAsia"/>
            <w:bCs/>
          </w:rPr>
          <w:t>第十一条</w:t>
        </w:r>
        <w:r>
          <w:rPr>
            <w:rStyle w:val="af6"/>
            <w:bCs/>
          </w:rPr>
          <w:t xml:space="preserve"> </w:t>
        </w:r>
        <w:r>
          <w:rPr>
            <w:rStyle w:val="af6"/>
            <w:rFonts w:hint="eastAsia"/>
            <w:bCs/>
          </w:rPr>
          <w:t>基金费用</w:t>
        </w:r>
        <w:r>
          <w:tab/>
        </w:r>
        <w:r>
          <w:fldChar w:fldCharType="begin"/>
        </w:r>
        <w:r>
          <w:instrText xml:space="preserve"> PAGEREF _Toc130978955 \h </w:instrText>
        </w:r>
        <w:r>
          <w:fldChar w:fldCharType="separate"/>
        </w:r>
        <w:r>
          <w:rPr>
            <w:rFonts w:hint="eastAsia"/>
          </w:rPr>
          <w:t>34</w:t>
        </w:r>
        <w:r>
          <w:fldChar w:fldCharType="end"/>
        </w:r>
      </w:hyperlink>
    </w:p>
    <w:p w14:paraId="4B93DA13" w14:textId="77777777" w:rsidR="003D47C1" w:rsidRDefault="003D47C1">
      <w:pPr>
        <w:pStyle w:val="TOC1"/>
        <w:rPr>
          <w:rFonts w:asciiTheme="minorHAnsi" w:eastAsiaTheme="minorEastAsia" w:hAnsiTheme="minorHAnsi" w:cstheme="minorBidi"/>
          <w:sz w:val="21"/>
          <w:szCs w:val="22"/>
        </w:rPr>
      </w:pPr>
      <w:hyperlink w:anchor="_Toc130978956" w:history="1">
        <w:r>
          <w:rPr>
            <w:rStyle w:val="af6"/>
            <w:rFonts w:hint="eastAsia"/>
            <w:bCs/>
          </w:rPr>
          <w:t>第十二条</w:t>
        </w:r>
        <w:r>
          <w:rPr>
            <w:rStyle w:val="af6"/>
            <w:bCs/>
          </w:rPr>
          <w:t xml:space="preserve"> </w:t>
        </w:r>
        <w:r>
          <w:rPr>
            <w:rStyle w:val="af6"/>
            <w:rFonts w:hint="eastAsia"/>
            <w:bCs/>
          </w:rPr>
          <w:t>基金份额持有人名册的保管</w:t>
        </w:r>
        <w:r>
          <w:tab/>
        </w:r>
        <w:r>
          <w:fldChar w:fldCharType="begin"/>
        </w:r>
        <w:r>
          <w:instrText xml:space="preserve"> PAGEREF _Toc130978956 \h </w:instrText>
        </w:r>
        <w:r>
          <w:fldChar w:fldCharType="separate"/>
        </w:r>
        <w:r>
          <w:rPr>
            <w:rFonts w:hint="eastAsia"/>
          </w:rPr>
          <w:t>35</w:t>
        </w:r>
        <w:r>
          <w:fldChar w:fldCharType="end"/>
        </w:r>
      </w:hyperlink>
    </w:p>
    <w:p w14:paraId="0221D888" w14:textId="77777777" w:rsidR="003D47C1" w:rsidRDefault="003D47C1">
      <w:pPr>
        <w:pStyle w:val="TOC1"/>
        <w:rPr>
          <w:rFonts w:asciiTheme="minorHAnsi" w:eastAsiaTheme="minorEastAsia" w:hAnsiTheme="minorHAnsi" w:cstheme="minorBidi"/>
          <w:sz w:val="21"/>
          <w:szCs w:val="22"/>
        </w:rPr>
      </w:pPr>
      <w:hyperlink w:anchor="_Toc130978957" w:history="1">
        <w:r>
          <w:rPr>
            <w:rStyle w:val="af6"/>
            <w:rFonts w:hint="eastAsia"/>
            <w:bCs/>
          </w:rPr>
          <w:t>第十三条</w:t>
        </w:r>
        <w:r>
          <w:rPr>
            <w:rStyle w:val="af6"/>
            <w:bCs/>
          </w:rPr>
          <w:t xml:space="preserve"> </w:t>
        </w:r>
        <w:r>
          <w:rPr>
            <w:rStyle w:val="af6"/>
            <w:rFonts w:hint="eastAsia"/>
            <w:bCs/>
          </w:rPr>
          <w:t>基金有关文件和档案的保存</w:t>
        </w:r>
        <w:r>
          <w:tab/>
        </w:r>
        <w:r>
          <w:fldChar w:fldCharType="begin"/>
        </w:r>
        <w:r>
          <w:instrText xml:space="preserve"> PAGEREF _Toc130978957 \h </w:instrText>
        </w:r>
        <w:r>
          <w:fldChar w:fldCharType="separate"/>
        </w:r>
        <w:r>
          <w:rPr>
            <w:rFonts w:hint="eastAsia"/>
          </w:rPr>
          <w:t>36</w:t>
        </w:r>
        <w:r>
          <w:fldChar w:fldCharType="end"/>
        </w:r>
      </w:hyperlink>
    </w:p>
    <w:p w14:paraId="677C93C6" w14:textId="77777777" w:rsidR="003D47C1" w:rsidRDefault="003D47C1">
      <w:pPr>
        <w:pStyle w:val="TOC1"/>
        <w:rPr>
          <w:rFonts w:asciiTheme="minorHAnsi" w:eastAsiaTheme="minorEastAsia" w:hAnsiTheme="minorHAnsi" w:cstheme="minorBidi"/>
          <w:sz w:val="21"/>
          <w:szCs w:val="22"/>
        </w:rPr>
      </w:pPr>
      <w:hyperlink w:anchor="_Toc130978958" w:history="1">
        <w:r>
          <w:rPr>
            <w:rStyle w:val="af6"/>
            <w:rFonts w:hint="eastAsia"/>
            <w:bCs/>
          </w:rPr>
          <w:t>第十四条</w:t>
        </w:r>
        <w:r>
          <w:rPr>
            <w:rStyle w:val="af6"/>
            <w:bCs/>
          </w:rPr>
          <w:t xml:space="preserve"> </w:t>
        </w:r>
        <w:r>
          <w:rPr>
            <w:rStyle w:val="af6"/>
            <w:rFonts w:hint="eastAsia"/>
            <w:bCs/>
          </w:rPr>
          <w:t>基金管理人和基金托管人的更换</w:t>
        </w:r>
        <w:r>
          <w:tab/>
        </w:r>
        <w:r>
          <w:fldChar w:fldCharType="begin"/>
        </w:r>
        <w:r>
          <w:instrText xml:space="preserve"> PAGEREF _Toc130978958 \h </w:instrText>
        </w:r>
        <w:r>
          <w:fldChar w:fldCharType="separate"/>
        </w:r>
        <w:r>
          <w:rPr>
            <w:rFonts w:hint="eastAsia"/>
          </w:rPr>
          <w:t>36</w:t>
        </w:r>
        <w:r>
          <w:fldChar w:fldCharType="end"/>
        </w:r>
      </w:hyperlink>
    </w:p>
    <w:p w14:paraId="313DFFE1" w14:textId="77777777" w:rsidR="003D47C1" w:rsidRDefault="003D47C1">
      <w:pPr>
        <w:pStyle w:val="TOC1"/>
        <w:rPr>
          <w:rFonts w:asciiTheme="minorHAnsi" w:eastAsiaTheme="minorEastAsia" w:hAnsiTheme="minorHAnsi" w:cstheme="minorBidi"/>
          <w:sz w:val="21"/>
          <w:szCs w:val="22"/>
        </w:rPr>
      </w:pPr>
      <w:hyperlink w:anchor="_Toc130978959" w:history="1">
        <w:r>
          <w:rPr>
            <w:rStyle w:val="af6"/>
            <w:rFonts w:hint="eastAsia"/>
            <w:bCs/>
          </w:rPr>
          <w:t>第十五条</w:t>
        </w:r>
        <w:r>
          <w:rPr>
            <w:rStyle w:val="af6"/>
            <w:bCs/>
          </w:rPr>
          <w:t xml:space="preserve"> </w:t>
        </w:r>
        <w:r>
          <w:rPr>
            <w:rStyle w:val="af6"/>
            <w:rFonts w:hint="eastAsia"/>
            <w:bCs/>
          </w:rPr>
          <w:t>禁止行为</w:t>
        </w:r>
        <w:r>
          <w:tab/>
        </w:r>
        <w:r>
          <w:fldChar w:fldCharType="begin"/>
        </w:r>
        <w:r>
          <w:instrText xml:space="preserve"> PAGEREF _Toc130978959 \h </w:instrText>
        </w:r>
        <w:r>
          <w:fldChar w:fldCharType="separate"/>
        </w:r>
        <w:r>
          <w:rPr>
            <w:rFonts w:hint="eastAsia"/>
          </w:rPr>
          <w:t>39</w:t>
        </w:r>
        <w:r>
          <w:fldChar w:fldCharType="end"/>
        </w:r>
      </w:hyperlink>
    </w:p>
    <w:p w14:paraId="328E2944" w14:textId="77777777" w:rsidR="003D47C1" w:rsidRDefault="003D47C1">
      <w:pPr>
        <w:pStyle w:val="TOC1"/>
        <w:rPr>
          <w:rFonts w:asciiTheme="minorHAnsi" w:eastAsiaTheme="minorEastAsia" w:hAnsiTheme="minorHAnsi" w:cstheme="minorBidi"/>
          <w:sz w:val="21"/>
          <w:szCs w:val="22"/>
        </w:rPr>
      </w:pPr>
      <w:hyperlink w:anchor="_Toc130978960" w:history="1">
        <w:r>
          <w:rPr>
            <w:rStyle w:val="af6"/>
            <w:rFonts w:hint="eastAsia"/>
            <w:bCs/>
          </w:rPr>
          <w:t>第十六条</w:t>
        </w:r>
        <w:r>
          <w:rPr>
            <w:rStyle w:val="af6"/>
            <w:bCs/>
          </w:rPr>
          <w:t xml:space="preserve"> </w:t>
        </w:r>
        <w:r>
          <w:rPr>
            <w:rStyle w:val="af6"/>
            <w:rFonts w:hint="eastAsia"/>
            <w:bCs/>
          </w:rPr>
          <w:t>本协议的变更、终止与基金财产的清算</w:t>
        </w:r>
        <w:r>
          <w:tab/>
        </w:r>
        <w:r>
          <w:fldChar w:fldCharType="begin"/>
        </w:r>
        <w:r>
          <w:instrText xml:space="preserve"> PAGEREF _Toc130978960 \h </w:instrText>
        </w:r>
        <w:r>
          <w:fldChar w:fldCharType="separate"/>
        </w:r>
        <w:r>
          <w:rPr>
            <w:rFonts w:hint="eastAsia"/>
          </w:rPr>
          <w:t>40</w:t>
        </w:r>
        <w:r>
          <w:fldChar w:fldCharType="end"/>
        </w:r>
      </w:hyperlink>
    </w:p>
    <w:p w14:paraId="12D1D6F8" w14:textId="77777777" w:rsidR="003D47C1" w:rsidRDefault="003D47C1">
      <w:pPr>
        <w:pStyle w:val="TOC1"/>
        <w:rPr>
          <w:rFonts w:asciiTheme="minorHAnsi" w:eastAsiaTheme="minorEastAsia" w:hAnsiTheme="minorHAnsi" w:cstheme="minorBidi"/>
          <w:sz w:val="21"/>
          <w:szCs w:val="22"/>
        </w:rPr>
      </w:pPr>
      <w:hyperlink w:anchor="_Toc130978961" w:history="1">
        <w:r>
          <w:rPr>
            <w:rStyle w:val="af6"/>
            <w:rFonts w:hint="eastAsia"/>
            <w:bCs/>
          </w:rPr>
          <w:t>第十七条</w:t>
        </w:r>
        <w:r>
          <w:rPr>
            <w:rStyle w:val="af6"/>
            <w:bCs/>
          </w:rPr>
          <w:t xml:space="preserve"> </w:t>
        </w:r>
        <w:r>
          <w:rPr>
            <w:rStyle w:val="af6"/>
            <w:rFonts w:hint="eastAsia"/>
            <w:bCs/>
          </w:rPr>
          <w:t>违约责任</w:t>
        </w:r>
        <w:r>
          <w:tab/>
        </w:r>
        <w:r>
          <w:fldChar w:fldCharType="begin"/>
        </w:r>
        <w:r>
          <w:instrText xml:space="preserve"> PAGEREF _Toc130978961 \h </w:instrText>
        </w:r>
        <w:r>
          <w:fldChar w:fldCharType="separate"/>
        </w:r>
        <w:r>
          <w:rPr>
            <w:rFonts w:hint="eastAsia"/>
          </w:rPr>
          <w:t>42</w:t>
        </w:r>
        <w:r>
          <w:fldChar w:fldCharType="end"/>
        </w:r>
      </w:hyperlink>
    </w:p>
    <w:p w14:paraId="1730A397" w14:textId="77777777" w:rsidR="003D47C1" w:rsidRDefault="003D47C1">
      <w:pPr>
        <w:pStyle w:val="TOC1"/>
        <w:rPr>
          <w:rFonts w:asciiTheme="minorHAnsi" w:eastAsiaTheme="minorEastAsia" w:hAnsiTheme="minorHAnsi" w:cstheme="minorBidi"/>
          <w:sz w:val="21"/>
          <w:szCs w:val="22"/>
        </w:rPr>
      </w:pPr>
      <w:hyperlink w:anchor="_Toc130978962" w:history="1">
        <w:r>
          <w:rPr>
            <w:rStyle w:val="af6"/>
            <w:rFonts w:hint="eastAsia"/>
            <w:bCs/>
          </w:rPr>
          <w:t>第十八条</w:t>
        </w:r>
        <w:r>
          <w:rPr>
            <w:rStyle w:val="af6"/>
            <w:bCs/>
          </w:rPr>
          <w:t xml:space="preserve"> </w:t>
        </w:r>
        <w:r>
          <w:rPr>
            <w:rStyle w:val="af6"/>
            <w:rFonts w:hint="eastAsia"/>
            <w:bCs/>
          </w:rPr>
          <w:t>法律适用和争议解决</w:t>
        </w:r>
        <w:r>
          <w:tab/>
        </w:r>
        <w:r>
          <w:fldChar w:fldCharType="begin"/>
        </w:r>
        <w:r>
          <w:instrText xml:space="preserve"> PAGEREF _Toc130978962 \h </w:instrText>
        </w:r>
        <w:r>
          <w:fldChar w:fldCharType="separate"/>
        </w:r>
        <w:r>
          <w:rPr>
            <w:rFonts w:hint="eastAsia"/>
          </w:rPr>
          <w:t>43</w:t>
        </w:r>
        <w:r>
          <w:fldChar w:fldCharType="end"/>
        </w:r>
      </w:hyperlink>
    </w:p>
    <w:p w14:paraId="400093E0" w14:textId="77777777" w:rsidR="003D47C1" w:rsidRDefault="003D47C1">
      <w:pPr>
        <w:pStyle w:val="TOC1"/>
        <w:rPr>
          <w:rFonts w:asciiTheme="minorHAnsi" w:eastAsiaTheme="minorEastAsia" w:hAnsiTheme="minorHAnsi" w:cstheme="minorBidi"/>
          <w:sz w:val="21"/>
          <w:szCs w:val="22"/>
        </w:rPr>
      </w:pPr>
      <w:hyperlink w:anchor="_Toc130978963" w:history="1">
        <w:r>
          <w:rPr>
            <w:rStyle w:val="af6"/>
            <w:rFonts w:hint="eastAsia"/>
            <w:bCs/>
          </w:rPr>
          <w:t>第十九条</w:t>
        </w:r>
        <w:r>
          <w:rPr>
            <w:rStyle w:val="af6"/>
            <w:bCs/>
          </w:rPr>
          <w:t xml:space="preserve"> </w:t>
        </w:r>
        <w:r>
          <w:rPr>
            <w:rStyle w:val="af6"/>
            <w:rFonts w:hint="eastAsia"/>
            <w:bCs/>
          </w:rPr>
          <w:t>本协议的效力</w:t>
        </w:r>
        <w:r>
          <w:tab/>
        </w:r>
        <w:r>
          <w:fldChar w:fldCharType="begin"/>
        </w:r>
        <w:r>
          <w:instrText xml:space="preserve"> PAGEREF _Toc130978963 \h </w:instrText>
        </w:r>
        <w:r>
          <w:fldChar w:fldCharType="separate"/>
        </w:r>
        <w:r>
          <w:rPr>
            <w:rFonts w:hint="eastAsia"/>
          </w:rPr>
          <w:t>43</w:t>
        </w:r>
        <w:r>
          <w:fldChar w:fldCharType="end"/>
        </w:r>
      </w:hyperlink>
    </w:p>
    <w:p w14:paraId="7135BECE" w14:textId="77777777" w:rsidR="003D47C1" w:rsidRDefault="003D47C1">
      <w:pPr>
        <w:pStyle w:val="TOC1"/>
        <w:rPr>
          <w:rFonts w:asciiTheme="minorHAnsi" w:eastAsiaTheme="minorEastAsia" w:hAnsiTheme="minorHAnsi" w:cstheme="minorBidi"/>
          <w:sz w:val="21"/>
          <w:szCs w:val="22"/>
        </w:rPr>
      </w:pPr>
      <w:hyperlink w:anchor="_Toc130978964" w:history="1">
        <w:r>
          <w:rPr>
            <w:rStyle w:val="af6"/>
            <w:rFonts w:hint="eastAsia"/>
            <w:bCs/>
          </w:rPr>
          <w:t>第二十条</w:t>
        </w:r>
        <w:r>
          <w:rPr>
            <w:rStyle w:val="af6"/>
            <w:bCs/>
          </w:rPr>
          <w:t xml:space="preserve"> </w:t>
        </w:r>
        <w:r>
          <w:rPr>
            <w:rStyle w:val="af6"/>
            <w:rFonts w:hint="eastAsia"/>
            <w:bCs/>
          </w:rPr>
          <w:t>本协议的签订</w:t>
        </w:r>
        <w:r>
          <w:tab/>
        </w:r>
        <w:r>
          <w:fldChar w:fldCharType="begin"/>
        </w:r>
        <w:r>
          <w:instrText xml:space="preserve"> PAGEREF _Toc130978964 \h </w:instrText>
        </w:r>
        <w:r>
          <w:fldChar w:fldCharType="separate"/>
        </w:r>
        <w:r>
          <w:rPr>
            <w:rFonts w:hint="eastAsia"/>
          </w:rPr>
          <w:t>43</w:t>
        </w:r>
        <w:r>
          <w:fldChar w:fldCharType="end"/>
        </w:r>
      </w:hyperlink>
    </w:p>
    <w:p w14:paraId="35E5DB26" w14:textId="77777777" w:rsidR="003D47C1" w:rsidRDefault="003D47C1">
      <w:pPr>
        <w:pStyle w:val="TOC1"/>
        <w:rPr>
          <w:rFonts w:asciiTheme="minorHAnsi" w:eastAsiaTheme="minorEastAsia" w:hAnsiTheme="minorHAnsi" w:cstheme="minorBidi"/>
          <w:sz w:val="21"/>
          <w:szCs w:val="22"/>
        </w:rPr>
      </w:pPr>
      <w:hyperlink w:anchor="_Toc130978965" w:history="1">
        <w:r>
          <w:rPr>
            <w:rStyle w:val="af6"/>
            <w:rFonts w:hint="eastAsia"/>
            <w:bCs/>
          </w:rPr>
          <w:t>第二十一条</w:t>
        </w:r>
        <w:r>
          <w:rPr>
            <w:rStyle w:val="af6"/>
            <w:bCs/>
          </w:rPr>
          <w:t xml:space="preserve"> </w:t>
        </w:r>
        <w:r>
          <w:rPr>
            <w:rStyle w:val="af6"/>
            <w:rFonts w:hint="eastAsia"/>
            <w:bCs/>
          </w:rPr>
          <w:t>不可抗力</w:t>
        </w:r>
        <w:r>
          <w:tab/>
        </w:r>
        <w:r>
          <w:fldChar w:fldCharType="begin"/>
        </w:r>
        <w:r>
          <w:instrText xml:space="preserve"> PAGEREF _Toc130978965 \h </w:instrText>
        </w:r>
        <w:r>
          <w:fldChar w:fldCharType="separate"/>
        </w:r>
        <w:r>
          <w:rPr>
            <w:rFonts w:hint="eastAsia"/>
          </w:rPr>
          <w:t>44</w:t>
        </w:r>
        <w:r>
          <w:fldChar w:fldCharType="end"/>
        </w:r>
      </w:hyperlink>
    </w:p>
    <w:p w14:paraId="4E151373" w14:textId="77777777" w:rsidR="003D47C1" w:rsidRDefault="003D47C1">
      <w:pPr>
        <w:pStyle w:val="TOC1"/>
        <w:rPr>
          <w:rFonts w:asciiTheme="minorHAnsi" w:eastAsiaTheme="minorEastAsia" w:hAnsiTheme="minorHAnsi" w:cstheme="minorBidi"/>
          <w:sz w:val="21"/>
          <w:szCs w:val="22"/>
        </w:rPr>
      </w:pPr>
      <w:hyperlink w:anchor="_Toc130978966" w:history="1">
        <w:r>
          <w:rPr>
            <w:rStyle w:val="af6"/>
            <w:rFonts w:hint="eastAsia"/>
            <w:bCs/>
          </w:rPr>
          <w:t>第二十二条</w:t>
        </w:r>
        <w:r>
          <w:rPr>
            <w:rStyle w:val="af6"/>
            <w:bCs/>
          </w:rPr>
          <w:t xml:space="preserve"> </w:t>
        </w:r>
        <w:r>
          <w:rPr>
            <w:rStyle w:val="af6"/>
            <w:rFonts w:hint="eastAsia"/>
            <w:bCs/>
          </w:rPr>
          <w:t>可分割性</w:t>
        </w:r>
        <w:r>
          <w:tab/>
        </w:r>
        <w:r>
          <w:fldChar w:fldCharType="begin"/>
        </w:r>
        <w:r>
          <w:instrText xml:space="preserve"> PAGEREF _Toc130978966 \h </w:instrText>
        </w:r>
        <w:r>
          <w:fldChar w:fldCharType="separate"/>
        </w:r>
        <w:r>
          <w:rPr>
            <w:rFonts w:hint="eastAsia"/>
          </w:rPr>
          <w:t>44</w:t>
        </w:r>
        <w:r>
          <w:fldChar w:fldCharType="end"/>
        </w:r>
      </w:hyperlink>
    </w:p>
    <w:p w14:paraId="19980A08" w14:textId="77777777" w:rsidR="003D47C1" w:rsidRDefault="003D47C1">
      <w:pPr>
        <w:pStyle w:val="TOC1"/>
        <w:rPr>
          <w:rFonts w:asciiTheme="minorHAnsi" w:eastAsiaTheme="minorEastAsia" w:hAnsiTheme="minorHAnsi" w:cstheme="minorBidi"/>
          <w:sz w:val="21"/>
          <w:szCs w:val="22"/>
        </w:rPr>
      </w:pPr>
      <w:hyperlink w:anchor="_Toc130978967" w:history="1">
        <w:r>
          <w:rPr>
            <w:rStyle w:val="af6"/>
            <w:rFonts w:hint="eastAsia"/>
            <w:bCs/>
          </w:rPr>
          <w:t>第二十三条</w:t>
        </w:r>
        <w:r>
          <w:rPr>
            <w:rStyle w:val="af6"/>
            <w:bCs/>
          </w:rPr>
          <w:t xml:space="preserve"> </w:t>
        </w:r>
        <w:r>
          <w:rPr>
            <w:rStyle w:val="af6"/>
            <w:rFonts w:hint="eastAsia"/>
            <w:bCs/>
          </w:rPr>
          <w:t>通知与送达</w:t>
        </w:r>
        <w:r>
          <w:tab/>
        </w:r>
        <w:r>
          <w:fldChar w:fldCharType="begin"/>
        </w:r>
        <w:r>
          <w:instrText xml:space="preserve"> PAGEREF _Toc130978967 \h </w:instrText>
        </w:r>
        <w:r>
          <w:fldChar w:fldCharType="separate"/>
        </w:r>
        <w:r>
          <w:rPr>
            <w:rFonts w:hint="eastAsia"/>
          </w:rPr>
          <w:t>44</w:t>
        </w:r>
        <w:r>
          <w:fldChar w:fldCharType="end"/>
        </w:r>
      </w:hyperlink>
    </w:p>
    <w:p w14:paraId="78C593EB" w14:textId="77777777" w:rsidR="003D47C1" w:rsidRDefault="003D47C1">
      <w:pPr>
        <w:pStyle w:val="TOC1"/>
        <w:rPr>
          <w:rFonts w:asciiTheme="minorHAnsi" w:eastAsiaTheme="minorEastAsia" w:hAnsiTheme="minorHAnsi" w:cstheme="minorBidi"/>
          <w:sz w:val="21"/>
          <w:szCs w:val="22"/>
        </w:rPr>
      </w:pPr>
      <w:hyperlink w:anchor="_Toc130978968" w:history="1">
        <w:r>
          <w:rPr>
            <w:rStyle w:val="af6"/>
            <w:rFonts w:hint="eastAsia"/>
            <w:bCs/>
          </w:rPr>
          <w:t>第二十四条</w:t>
        </w:r>
        <w:r>
          <w:rPr>
            <w:rStyle w:val="af6"/>
            <w:bCs/>
          </w:rPr>
          <w:t xml:space="preserve"> </w:t>
        </w:r>
        <w:r>
          <w:rPr>
            <w:rStyle w:val="af6"/>
            <w:rFonts w:hint="eastAsia"/>
            <w:bCs/>
          </w:rPr>
          <w:t>其他约定事项</w:t>
        </w:r>
        <w:r>
          <w:tab/>
        </w:r>
        <w:r>
          <w:fldChar w:fldCharType="begin"/>
        </w:r>
        <w:r>
          <w:instrText xml:space="preserve"> PAGEREF _Toc130978968 \h </w:instrText>
        </w:r>
        <w:r>
          <w:fldChar w:fldCharType="separate"/>
        </w:r>
        <w:r>
          <w:rPr>
            <w:rFonts w:hint="eastAsia"/>
          </w:rPr>
          <w:t>45</w:t>
        </w:r>
        <w:r>
          <w:fldChar w:fldCharType="end"/>
        </w:r>
      </w:hyperlink>
    </w:p>
    <w:p w14:paraId="4EC8955B" w14:textId="77777777" w:rsidR="003D47C1" w:rsidRDefault="00000000">
      <w:pPr>
        <w:snapToGrid w:val="0"/>
        <w:spacing w:line="360" w:lineRule="auto"/>
        <w:jc w:val="center"/>
        <w:rPr>
          <w:rFonts w:ascii="宋体" w:hAnsi="宋体" w:hint="eastAsia"/>
          <w:b/>
          <w:sz w:val="28"/>
          <w:szCs w:val="28"/>
        </w:rPr>
      </w:pPr>
      <w:r>
        <w:rPr>
          <w:rFonts w:ascii="宋体" w:hAnsi="宋体"/>
          <w:b/>
          <w:sz w:val="28"/>
          <w:szCs w:val="28"/>
        </w:rPr>
        <w:fldChar w:fldCharType="end"/>
      </w:r>
    </w:p>
    <w:p w14:paraId="0016AEFC" w14:textId="54DA88DC" w:rsidR="003D47C1" w:rsidRDefault="003D47C1">
      <w:pPr>
        <w:adjustRightInd w:val="0"/>
        <w:snapToGrid w:val="0"/>
        <w:spacing w:line="520" w:lineRule="atLeast"/>
        <w:jc w:val="center"/>
        <w:rPr>
          <w:rFonts w:ascii="宋体" w:hAnsi="宋体" w:hint="eastAsia"/>
          <w:b/>
          <w:sz w:val="28"/>
          <w:szCs w:val="28"/>
        </w:rPr>
        <w:sectPr w:rsidR="003D47C1">
          <w:footerReference w:type="even" r:id="rId10"/>
          <w:footerReference w:type="default" r:id="rId11"/>
          <w:pgSz w:w="11907" w:h="16840"/>
          <w:pgMar w:top="1090" w:right="1678" w:bottom="935" w:left="1678" w:header="720" w:footer="720" w:gutter="0"/>
          <w:pgNumType w:start="0"/>
          <w:cols w:space="720"/>
        </w:sectPr>
      </w:pPr>
      <w:bookmarkStart w:id="17" w:name="OLE_LINK73"/>
      <w:bookmarkStart w:id="18" w:name="OLE_LINK74"/>
    </w:p>
    <w:p w14:paraId="0143B4BF" w14:textId="77777777" w:rsidR="003D47C1" w:rsidRDefault="00000000">
      <w:pPr>
        <w:adjustRightInd w:val="0"/>
        <w:snapToGrid w:val="0"/>
        <w:spacing w:line="520" w:lineRule="atLeast"/>
        <w:jc w:val="center"/>
        <w:rPr>
          <w:rFonts w:ascii="宋体" w:hAnsi="宋体" w:hint="eastAsia"/>
          <w:b/>
          <w:sz w:val="28"/>
          <w:szCs w:val="28"/>
        </w:rPr>
      </w:pPr>
      <w:r>
        <w:rPr>
          <w:rFonts w:ascii="宋体" w:hAnsi="宋体" w:hint="eastAsia"/>
          <w:b/>
          <w:sz w:val="28"/>
          <w:szCs w:val="28"/>
        </w:rPr>
        <w:lastRenderedPageBreak/>
        <w:t>富国港股</w:t>
      </w:r>
      <w:proofErr w:type="gramStart"/>
      <w:r>
        <w:rPr>
          <w:rFonts w:ascii="宋体" w:hAnsi="宋体" w:hint="eastAsia"/>
          <w:b/>
          <w:sz w:val="28"/>
          <w:szCs w:val="28"/>
        </w:rPr>
        <w:t>通成长</w:t>
      </w:r>
      <w:proofErr w:type="gramEnd"/>
      <w:r>
        <w:rPr>
          <w:rFonts w:ascii="宋体" w:hAnsi="宋体" w:hint="eastAsia"/>
          <w:b/>
          <w:sz w:val="28"/>
          <w:szCs w:val="28"/>
        </w:rPr>
        <w:t>精选混合型证券投资基金</w:t>
      </w:r>
    </w:p>
    <w:p w14:paraId="1D79A389" w14:textId="77777777" w:rsidR="003D47C1" w:rsidRDefault="00000000">
      <w:pPr>
        <w:adjustRightInd w:val="0"/>
        <w:snapToGrid w:val="0"/>
        <w:spacing w:line="520" w:lineRule="atLeast"/>
        <w:jc w:val="center"/>
        <w:rPr>
          <w:rFonts w:ascii="宋体" w:hAnsi="宋体" w:hint="eastAsia"/>
          <w:b/>
          <w:sz w:val="28"/>
          <w:szCs w:val="28"/>
        </w:rPr>
      </w:pPr>
      <w:r>
        <w:rPr>
          <w:rFonts w:ascii="宋体" w:hAnsi="宋体" w:hint="eastAsia"/>
          <w:b/>
          <w:sz w:val="28"/>
          <w:szCs w:val="28"/>
        </w:rPr>
        <w:t>托管协议</w:t>
      </w:r>
    </w:p>
    <w:bookmarkEnd w:id="17"/>
    <w:bookmarkEnd w:id="18"/>
    <w:p w14:paraId="5E837CFA" w14:textId="77777777" w:rsidR="003D47C1" w:rsidRDefault="003D47C1">
      <w:pPr>
        <w:adjustRightInd w:val="0"/>
        <w:snapToGrid w:val="0"/>
        <w:spacing w:line="520" w:lineRule="atLeast"/>
        <w:jc w:val="center"/>
        <w:rPr>
          <w:rFonts w:ascii="宋体" w:hAnsi="宋体" w:hint="eastAsia"/>
          <w:b/>
          <w:sz w:val="28"/>
          <w:szCs w:val="28"/>
        </w:rPr>
      </w:pPr>
    </w:p>
    <w:p w14:paraId="755E668C" w14:textId="77777777" w:rsidR="003D47C1" w:rsidRDefault="00000000">
      <w:pPr>
        <w:tabs>
          <w:tab w:val="left" w:pos="5940"/>
        </w:tabs>
        <w:adjustRightInd w:val="0"/>
        <w:snapToGrid w:val="0"/>
        <w:spacing w:line="520" w:lineRule="atLeast"/>
        <w:ind w:firstLineChars="200" w:firstLine="482"/>
        <w:rPr>
          <w:rFonts w:ascii="宋体" w:hAnsi="宋体" w:hint="eastAsia"/>
          <w:b/>
          <w:sz w:val="24"/>
          <w:szCs w:val="24"/>
        </w:rPr>
      </w:pPr>
      <w:r>
        <w:rPr>
          <w:rFonts w:ascii="宋体" w:hAnsi="宋体" w:hint="eastAsia"/>
          <w:b/>
          <w:sz w:val="24"/>
          <w:szCs w:val="24"/>
        </w:rPr>
        <w:t>基金管理人：富国基金管理有限公司</w:t>
      </w:r>
    </w:p>
    <w:p w14:paraId="4190FFFF"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住所：中国（上海）自由贸易试验区世纪大道1196号世纪汇办公楼二座27-30层</w:t>
      </w:r>
    </w:p>
    <w:p w14:paraId="72B9AC48"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法定代表人：裴长江</w:t>
      </w:r>
    </w:p>
    <w:p w14:paraId="58132D68"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设立日期：1999年4月13日</w:t>
      </w:r>
    </w:p>
    <w:p w14:paraId="72C1D44E"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批准设立机关及批准设立文号：中国证券监督管理委员会证</w:t>
      </w:r>
      <w:proofErr w:type="gramStart"/>
      <w:r>
        <w:rPr>
          <w:rFonts w:ascii="宋体" w:hAnsi="宋体" w:hint="eastAsia"/>
          <w:sz w:val="24"/>
          <w:szCs w:val="24"/>
        </w:rPr>
        <w:t>监基金字</w:t>
      </w:r>
      <w:proofErr w:type="gramEnd"/>
      <w:r>
        <w:rPr>
          <w:rFonts w:ascii="宋体" w:hAnsi="宋体" w:hint="eastAsia"/>
          <w:sz w:val="24"/>
          <w:szCs w:val="24"/>
        </w:rPr>
        <w:t>【1999】11号</w:t>
      </w:r>
    </w:p>
    <w:p w14:paraId="10FAB943"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组织形式：有限责任公司</w:t>
      </w:r>
    </w:p>
    <w:p w14:paraId="7DA1FBCE"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注册资本：人民币5.2亿元</w:t>
      </w:r>
    </w:p>
    <w:p w14:paraId="4A45FE14"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存续期限：持续经营</w:t>
      </w:r>
    </w:p>
    <w:p w14:paraId="7A3122FF"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联系电话：021-20361818</w:t>
      </w:r>
    </w:p>
    <w:p w14:paraId="4A1899C1" w14:textId="77777777" w:rsidR="003D47C1" w:rsidRDefault="00000000">
      <w:pPr>
        <w:tabs>
          <w:tab w:val="left" w:pos="5940"/>
        </w:tabs>
        <w:adjustRightInd w:val="0"/>
        <w:snapToGrid w:val="0"/>
        <w:spacing w:line="520" w:lineRule="atLeast"/>
        <w:ind w:firstLineChars="200" w:firstLine="482"/>
        <w:rPr>
          <w:rFonts w:ascii="宋体" w:hAnsi="宋体" w:hint="eastAsia"/>
          <w:b/>
          <w:sz w:val="24"/>
          <w:szCs w:val="24"/>
        </w:rPr>
      </w:pPr>
      <w:r>
        <w:rPr>
          <w:rFonts w:ascii="宋体" w:hAnsi="宋体" w:hint="eastAsia"/>
          <w:b/>
          <w:sz w:val="24"/>
          <w:szCs w:val="24"/>
        </w:rPr>
        <w:t>基金托管人：中信银行股份有限公司</w:t>
      </w:r>
    </w:p>
    <w:p w14:paraId="2CCF6A8A"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住所：北京市朝阳区光华路10号院1号楼6-30层、32-42层</w:t>
      </w:r>
    </w:p>
    <w:p w14:paraId="2C36F96A"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法定代表人：方合英</w:t>
      </w:r>
    </w:p>
    <w:p w14:paraId="540B23B6"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成立时间：1987年4月20日</w:t>
      </w:r>
    </w:p>
    <w:p w14:paraId="4A65CC8A"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批准设立文号：国办函[1987]14号</w:t>
      </w:r>
    </w:p>
    <w:p w14:paraId="3E64B8A7"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基金托管业务批准文号：证</w:t>
      </w:r>
      <w:proofErr w:type="gramStart"/>
      <w:r>
        <w:rPr>
          <w:rFonts w:ascii="宋体" w:hAnsi="宋体" w:hint="eastAsia"/>
          <w:sz w:val="24"/>
          <w:szCs w:val="24"/>
        </w:rPr>
        <w:t>监基金字</w:t>
      </w:r>
      <w:proofErr w:type="gramEnd"/>
      <w:r>
        <w:rPr>
          <w:rFonts w:ascii="宋体" w:hAnsi="宋体" w:hint="eastAsia"/>
          <w:sz w:val="24"/>
          <w:szCs w:val="24"/>
        </w:rPr>
        <w:t>[2004]125号</w:t>
      </w:r>
    </w:p>
    <w:p w14:paraId="390CB570"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组织形式：股份有限公司</w:t>
      </w:r>
    </w:p>
    <w:p w14:paraId="37994A34" w14:textId="77777777" w:rsidR="003D47C1" w:rsidRDefault="00000000">
      <w:pPr>
        <w:tabs>
          <w:tab w:val="left" w:pos="5940"/>
        </w:tabs>
        <w:adjustRightInd w:val="0"/>
        <w:snapToGrid w:val="0"/>
        <w:spacing w:line="520" w:lineRule="atLeast"/>
        <w:ind w:firstLineChars="200" w:firstLine="480"/>
        <w:rPr>
          <w:rFonts w:ascii="宋体" w:hAnsi="宋体" w:hint="eastAsia"/>
          <w:sz w:val="24"/>
          <w:szCs w:val="24"/>
        </w:rPr>
      </w:pPr>
      <w:r>
        <w:rPr>
          <w:rFonts w:ascii="宋体" w:hAnsi="宋体" w:hint="eastAsia"/>
          <w:sz w:val="24"/>
          <w:szCs w:val="24"/>
        </w:rPr>
        <w:t>注册资本：4893479.6573万元人民币</w:t>
      </w:r>
    </w:p>
    <w:p w14:paraId="0EC06F6E" w14:textId="77777777" w:rsidR="003D47C1" w:rsidRDefault="00000000">
      <w:pPr>
        <w:tabs>
          <w:tab w:val="left" w:pos="5940"/>
        </w:tabs>
        <w:snapToGrid w:val="0"/>
        <w:spacing w:line="520" w:lineRule="atLeast"/>
        <w:ind w:firstLineChars="200" w:firstLine="480"/>
        <w:rPr>
          <w:rFonts w:ascii="宋体" w:hAnsi="宋体" w:hint="eastAsia"/>
          <w:sz w:val="24"/>
          <w:szCs w:val="24"/>
        </w:rPr>
      </w:pPr>
      <w:r>
        <w:rPr>
          <w:rFonts w:ascii="宋体" w:hAnsi="宋体" w:hint="eastAsia"/>
          <w:sz w:val="24"/>
          <w:szCs w:val="24"/>
        </w:rPr>
        <w:t>存续期间：持续经营</w:t>
      </w:r>
    </w:p>
    <w:p w14:paraId="077F8DD4" w14:textId="77777777" w:rsidR="003D47C1" w:rsidRDefault="003D47C1">
      <w:pPr>
        <w:autoSpaceDE w:val="0"/>
        <w:autoSpaceDN w:val="0"/>
        <w:adjustRightInd w:val="0"/>
        <w:spacing w:line="520" w:lineRule="atLeast"/>
        <w:rPr>
          <w:rFonts w:ascii="宋体" w:hAnsi="宋体" w:hint="eastAsia"/>
          <w:sz w:val="24"/>
          <w:szCs w:val="24"/>
        </w:rPr>
      </w:pPr>
    </w:p>
    <w:p w14:paraId="4370C0B4" w14:textId="77777777" w:rsidR="003D47C1" w:rsidRDefault="00000000">
      <w:pPr>
        <w:autoSpaceDE w:val="0"/>
        <w:autoSpaceDN w:val="0"/>
        <w:adjustRightInd w:val="0"/>
        <w:spacing w:line="520" w:lineRule="atLeast"/>
        <w:ind w:firstLineChars="200" w:firstLine="482"/>
        <w:rPr>
          <w:rFonts w:ascii="宋体" w:hAnsi="宋体" w:hint="eastAsia"/>
          <w:b/>
          <w:sz w:val="24"/>
          <w:szCs w:val="24"/>
        </w:rPr>
      </w:pPr>
      <w:r>
        <w:rPr>
          <w:rFonts w:ascii="宋体" w:hAnsi="宋体" w:hint="eastAsia"/>
          <w:b/>
          <w:sz w:val="24"/>
          <w:szCs w:val="24"/>
        </w:rPr>
        <w:t>鉴于：</w:t>
      </w:r>
    </w:p>
    <w:p w14:paraId="579D863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1．富国基金管理有限公司系一家依照中国法律合法成立并有效存续的有限责任公司，按照相关法律法规的规定具备担任基金管理人的资格和能力；</w:t>
      </w:r>
    </w:p>
    <w:p w14:paraId="5131E69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2.中信银行股份有限公司系一家依照中国法律合法成立并有效存续的银行，按</w:t>
      </w:r>
      <w:r>
        <w:rPr>
          <w:rFonts w:hAnsi="宋体" w:hint="eastAsia"/>
          <w:szCs w:val="24"/>
        </w:rPr>
        <w:lastRenderedPageBreak/>
        <w:t>照相关法律法规的规定具备担任基金托管人的资格和能力；</w:t>
      </w:r>
    </w:p>
    <w:p w14:paraId="0268BC3A" w14:textId="77777777" w:rsidR="003D47C1" w:rsidRDefault="00000000">
      <w:pPr>
        <w:pStyle w:val="20"/>
        <w:spacing w:before="0" w:after="0" w:line="520" w:lineRule="atLeast"/>
        <w:ind w:left="0" w:firstLineChars="200" w:firstLine="480"/>
        <w:rPr>
          <w:rFonts w:hAnsi="宋体" w:hint="eastAsia"/>
          <w:szCs w:val="24"/>
        </w:rPr>
      </w:pPr>
      <w:bookmarkStart w:id="19" w:name="OLE_LINK62"/>
      <w:bookmarkStart w:id="20" w:name="OLE_LINK63"/>
      <w:r>
        <w:rPr>
          <w:rFonts w:hAnsi="宋体" w:hint="eastAsia"/>
          <w:szCs w:val="24"/>
        </w:rPr>
        <w:t>3.富国基金管理有限公司拟担任富国港股</w:t>
      </w:r>
      <w:proofErr w:type="gramStart"/>
      <w:r>
        <w:rPr>
          <w:rFonts w:hAnsi="宋体" w:hint="eastAsia"/>
          <w:szCs w:val="24"/>
        </w:rPr>
        <w:t>通成长</w:t>
      </w:r>
      <w:proofErr w:type="gramEnd"/>
      <w:r>
        <w:rPr>
          <w:rFonts w:hAnsi="宋体" w:hint="eastAsia"/>
          <w:szCs w:val="24"/>
        </w:rPr>
        <w:t>精选混合型证券投资基金的基金管理人，中信银行股份有限公司拟担任富国港股</w:t>
      </w:r>
      <w:proofErr w:type="gramStart"/>
      <w:r>
        <w:rPr>
          <w:rFonts w:hAnsi="宋体" w:hint="eastAsia"/>
          <w:szCs w:val="24"/>
        </w:rPr>
        <w:t>通成长</w:t>
      </w:r>
      <w:proofErr w:type="gramEnd"/>
      <w:r>
        <w:rPr>
          <w:rFonts w:hAnsi="宋体" w:hint="eastAsia"/>
          <w:szCs w:val="24"/>
        </w:rPr>
        <w:t>精选混合型证券投资基金（以下简称“基金”或“本基金”）的基金托管人；</w:t>
      </w:r>
    </w:p>
    <w:bookmarkEnd w:id="19"/>
    <w:bookmarkEnd w:id="20"/>
    <w:p w14:paraId="0709B07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为明确双方在基金托管中的权利、义务及责任，确保基金财产的安全，保护基金份额持有人的合法权益，依据相关法律法规和监管规定，双方本着平等自愿、诚实守信的原则特签订本协议。</w:t>
      </w:r>
    </w:p>
    <w:p w14:paraId="19C3DCA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除非另有约定，《富国港股通成长精选混合型证券投资基金基金合同》(以下简称“基金合同”</w:t>
      </w:r>
      <w:r>
        <w:rPr>
          <w:rFonts w:hAnsi="宋体" w:cs="Arial" w:hint="eastAsia"/>
          <w:kern w:val="0"/>
          <w:szCs w:val="21"/>
          <w:lang w:val="en-GB"/>
        </w:rPr>
        <w:t>或“《基金合同》”</w:t>
      </w:r>
      <w:r>
        <w:rPr>
          <w:rFonts w:hAnsi="宋体" w:hint="eastAsia"/>
          <w:szCs w:val="24"/>
        </w:rPr>
        <w:t>)中定义的术语在用于本托管协议时应具有相同的含义；若有抵触，应以基金合同为准，并依其条款解释。</w:t>
      </w:r>
    </w:p>
    <w:p w14:paraId="09F533E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若本基金实施</w:t>
      </w:r>
      <w:proofErr w:type="gramStart"/>
      <w:r>
        <w:rPr>
          <w:rFonts w:hAnsi="宋体" w:hint="eastAsia"/>
          <w:szCs w:val="24"/>
        </w:rPr>
        <w:t>侧袋机制</w:t>
      </w:r>
      <w:proofErr w:type="gramEnd"/>
      <w:r>
        <w:rPr>
          <w:rFonts w:hAnsi="宋体" w:hint="eastAsia"/>
          <w:szCs w:val="24"/>
        </w:rPr>
        <w:t>的，</w:t>
      </w:r>
      <w:proofErr w:type="gramStart"/>
      <w:r>
        <w:rPr>
          <w:rFonts w:hAnsi="宋体" w:hint="eastAsia"/>
          <w:szCs w:val="24"/>
        </w:rPr>
        <w:t>侧袋机制</w:t>
      </w:r>
      <w:proofErr w:type="gramEnd"/>
      <w:r>
        <w:rPr>
          <w:rFonts w:hAnsi="宋体" w:hint="eastAsia"/>
          <w:szCs w:val="24"/>
        </w:rPr>
        <w:t>实施期间的相关安排按照基金合同和招募说明书的规定执行。</w:t>
      </w:r>
    </w:p>
    <w:p w14:paraId="1ED4DA75" w14:textId="77777777" w:rsidR="003D47C1" w:rsidRDefault="003D47C1">
      <w:pPr>
        <w:pStyle w:val="20"/>
        <w:spacing w:before="0" w:after="0" w:line="520" w:lineRule="atLeast"/>
        <w:ind w:left="0" w:firstLineChars="200" w:firstLine="480"/>
        <w:rPr>
          <w:rFonts w:hAnsi="宋体" w:hint="eastAsia"/>
          <w:szCs w:val="24"/>
        </w:rPr>
      </w:pPr>
    </w:p>
    <w:p w14:paraId="66CD78CE" w14:textId="77777777" w:rsidR="003D47C1" w:rsidRDefault="00000000">
      <w:pPr>
        <w:pStyle w:val="1"/>
        <w:spacing w:line="520" w:lineRule="atLeast"/>
        <w:ind w:firstLineChars="200" w:firstLine="482"/>
        <w:rPr>
          <w:rFonts w:hint="eastAsia"/>
          <w:bCs/>
          <w:color w:val="auto"/>
          <w:szCs w:val="24"/>
        </w:rPr>
      </w:pPr>
      <w:bookmarkStart w:id="21" w:name="_Toc296551337"/>
      <w:bookmarkStart w:id="22" w:name="_Toc130978945"/>
      <w:r>
        <w:rPr>
          <w:rFonts w:hint="eastAsia"/>
          <w:bCs/>
          <w:color w:val="auto"/>
          <w:szCs w:val="24"/>
        </w:rPr>
        <w:t>第一条 本协议当事人</w:t>
      </w:r>
      <w:bookmarkEnd w:id="21"/>
      <w:bookmarkEnd w:id="22"/>
    </w:p>
    <w:p w14:paraId="73A0652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1.1基金管理人：</w:t>
      </w:r>
    </w:p>
    <w:p w14:paraId="6B55FB2F"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名称：富国基金管理有限公司</w:t>
      </w:r>
    </w:p>
    <w:p w14:paraId="5C922EE3"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住所：中国（上海）自由贸易试验区世纪大道1196号世纪汇办公楼二座27-30层</w:t>
      </w:r>
    </w:p>
    <w:p w14:paraId="6F1D9B32"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法定代表人：裴长江</w:t>
      </w:r>
    </w:p>
    <w:p w14:paraId="5DD7BA1C"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设立日期：1999年4月13日</w:t>
      </w:r>
    </w:p>
    <w:p w14:paraId="380BA235"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批准设立机关及批准设立文号：中国证券监督管理委员会证</w:t>
      </w:r>
      <w:proofErr w:type="gramStart"/>
      <w:r>
        <w:rPr>
          <w:rFonts w:hAnsi="宋体" w:hint="eastAsia"/>
          <w:szCs w:val="24"/>
        </w:rPr>
        <w:t>监基金字</w:t>
      </w:r>
      <w:proofErr w:type="gramEnd"/>
      <w:r>
        <w:rPr>
          <w:rFonts w:hAnsi="宋体" w:hint="eastAsia"/>
          <w:szCs w:val="24"/>
        </w:rPr>
        <w:t>【1999】11号</w:t>
      </w:r>
    </w:p>
    <w:p w14:paraId="315AA385"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组织形式：有限责任公司</w:t>
      </w:r>
    </w:p>
    <w:p w14:paraId="7D3FFE1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注册资本：人民币5.2亿元</w:t>
      </w:r>
    </w:p>
    <w:p w14:paraId="1B043504"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存续期限：持续经营</w:t>
      </w:r>
    </w:p>
    <w:p w14:paraId="0B72A0D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联系电话：021-20361818</w:t>
      </w:r>
    </w:p>
    <w:p w14:paraId="4790148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1.2基金托管人：</w:t>
      </w:r>
    </w:p>
    <w:p w14:paraId="7D70EF2F" w14:textId="77777777" w:rsidR="003D47C1" w:rsidRDefault="00000000">
      <w:pPr>
        <w:pStyle w:val="20"/>
        <w:spacing w:line="520" w:lineRule="atLeast"/>
        <w:rPr>
          <w:rFonts w:hAnsi="宋体" w:hint="eastAsia"/>
          <w:szCs w:val="24"/>
        </w:rPr>
      </w:pPr>
      <w:r>
        <w:rPr>
          <w:rFonts w:hAnsi="宋体" w:hint="eastAsia"/>
          <w:szCs w:val="24"/>
        </w:rPr>
        <w:lastRenderedPageBreak/>
        <w:t>名称：中信银行股份有限公司</w:t>
      </w:r>
    </w:p>
    <w:p w14:paraId="7094E458" w14:textId="77777777" w:rsidR="003D47C1" w:rsidRDefault="00000000">
      <w:pPr>
        <w:pStyle w:val="20"/>
        <w:spacing w:line="520" w:lineRule="atLeast"/>
        <w:rPr>
          <w:rFonts w:hAnsi="宋体" w:hint="eastAsia"/>
          <w:szCs w:val="24"/>
        </w:rPr>
      </w:pPr>
      <w:r>
        <w:rPr>
          <w:rFonts w:hAnsi="宋体" w:hint="eastAsia"/>
          <w:szCs w:val="24"/>
        </w:rPr>
        <w:t>住所：北京市朝阳区光华路</w:t>
      </w:r>
      <w:r>
        <w:rPr>
          <w:rFonts w:hAnsi="宋体"/>
          <w:szCs w:val="24"/>
        </w:rPr>
        <w:t>10号院1号楼6-30层、32-42层</w:t>
      </w:r>
    </w:p>
    <w:p w14:paraId="1B08F0FE" w14:textId="77777777" w:rsidR="003D47C1" w:rsidRDefault="00000000">
      <w:pPr>
        <w:pStyle w:val="20"/>
        <w:spacing w:line="520" w:lineRule="atLeast"/>
        <w:rPr>
          <w:rFonts w:hAnsi="宋体" w:hint="eastAsia"/>
          <w:szCs w:val="24"/>
        </w:rPr>
      </w:pPr>
      <w:r>
        <w:rPr>
          <w:rFonts w:hAnsi="宋体" w:hint="eastAsia"/>
          <w:szCs w:val="24"/>
        </w:rPr>
        <w:t>法定代表人：方合英</w:t>
      </w:r>
    </w:p>
    <w:p w14:paraId="4111FED7" w14:textId="77777777" w:rsidR="003D47C1" w:rsidRDefault="00000000">
      <w:pPr>
        <w:pStyle w:val="20"/>
        <w:spacing w:line="520" w:lineRule="atLeast"/>
        <w:rPr>
          <w:rFonts w:hAnsi="宋体" w:hint="eastAsia"/>
          <w:szCs w:val="24"/>
        </w:rPr>
      </w:pPr>
      <w:r>
        <w:rPr>
          <w:rFonts w:hAnsi="宋体" w:hint="eastAsia"/>
          <w:szCs w:val="24"/>
        </w:rPr>
        <w:t>成立时间：</w:t>
      </w:r>
      <w:r>
        <w:rPr>
          <w:rFonts w:hAnsi="宋体"/>
          <w:szCs w:val="24"/>
        </w:rPr>
        <w:t>1987年4月20日</w:t>
      </w:r>
    </w:p>
    <w:p w14:paraId="6A6A4B48" w14:textId="77777777" w:rsidR="003D47C1" w:rsidRDefault="00000000">
      <w:pPr>
        <w:pStyle w:val="20"/>
        <w:spacing w:line="520" w:lineRule="atLeast"/>
        <w:rPr>
          <w:rFonts w:hAnsi="宋体" w:hint="eastAsia"/>
          <w:szCs w:val="24"/>
        </w:rPr>
      </w:pPr>
      <w:r>
        <w:rPr>
          <w:rFonts w:hAnsi="宋体" w:hint="eastAsia"/>
          <w:szCs w:val="24"/>
        </w:rPr>
        <w:t>批准设立文号：国办函</w:t>
      </w:r>
      <w:r>
        <w:rPr>
          <w:rFonts w:hAnsi="宋体"/>
          <w:szCs w:val="24"/>
        </w:rPr>
        <w:t>[1987]14号</w:t>
      </w:r>
    </w:p>
    <w:p w14:paraId="0AD6E672" w14:textId="77777777" w:rsidR="003D47C1" w:rsidRDefault="00000000">
      <w:pPr>
        <w:pStyle w:val="20"/>
        <w:spacing w:line="520" w:lineRule="atLeast"/>
        <w:rPr>
          <w:rFonts w:hAnsi="宋体" w:hint="eastAsia"/>
          <w:szCs w:val="24"/>
        </w:rPr>
      </w:pPr>
      <w:r>
        <w:rPr>
          <w:rFonts w:hAnsi="宋体" w:hint="eastAsia"/>
          <w:szCs w:val="24"/>
        </w:rPr>
        <w:t>基金托管业务批准文号：证</w:t>
      </w:r>
      <w:proofErr w:type="gramStart"/>
      <w:r>
        <w:rPr>
          <w:rFonts w:hAnsi="宋体" w:hint="eastAsia"/>
          <w:szCs w:val="24"/>
        </w:rPr>
        <w:t>监基金字</w:t>
      </w:r>
      <w:proofErr w:type="gramEnd"/>
      <w:r>
        <w:rPr>
          <w:rFonts w:hAnsi="宋体"/>
          <w:szCs w:val="24"/>
        </w:rPr>
        <w:t>[2004]125号</w:t>
      </w:r>
    </w:p>
    <w:p w14:paraId="71535C5B" w14:textId="77777777" w:rsidR="003D47C1" w:rsidRDefault="00000000">
      <w:pPr>
        <w:pStyle w:val="20"/>
        <w:spacing w:line="520" w:lineRule="atLeast"/>
        <w:rPr>
          <w:rFonts w:hAnsi="宋体" w:hint="eastAsia"/>
          <w:szCs w:val="24"/>
        </w:rPr>
      </w:pPr>
      <w:r>
        <w:rPr>
          <w:rFonts w:hAnsi="宋体" w:hint="eastAsia"/>
          <w:szCs w:val="24"/>
        </w:rPr>
        <w:t>组织形式：股份有限公司</w:t>
      </w:r>
    </w:p>
    <w:p w14:paraId="260B1110" w14:textId="77777777" w:rsidR="003D47C1" w:rsidRDefault="00000000">
      <w:pPr>
        <w:pStyle w:val="20"/>
        <w:spacing w:line="520" w:lineRule="atLeast"/>
        <w:rPr>
          <w:szCs w:val="24"/>
        </w:rPr>
      </w:pPr>
      <w:r>
        <w:rPr>
          <w:rFonts w:hAnsi="宋体" w:hint="eastAsia"/>
          <w:szCs w:val="24"/>
        </w:rPr>
        <w:t>注册资本：</w:t>
      </w:r>
      <w:r>
        <w:rPr>
          <w:rFonts w:hAnsi="宋体"/>
          <w:szCs w:val="24"/>
        </w:rPr>
        <w:t>4893479.6573万元</w:t>
      </w:r>
      <w:r>
        <w:rPr>
          <w:rFonts w:hAnsi="宋体" w:hint="eastAsia"/>
          <w:szCs w:val="24"/>
        </w:rPr>
        <w:t>人民币</w:t>
      </w:r>
    </w:p>
    <w:p w14:paraId="119A4BFC" w14:textId="77777777" w:rsidR="003D47C1" w:rsidRDefault="00000000">
      <w:pPr>
        <w:pStyle w:val="20"/>
        <w:spacing w:line="520" w:lineRule="atLeast"/>
        <w:rPr>
          <w:szCs w:val="24"/>
        </w:rPr>
      </w:pPr>
      <w:r>
        <w:rPr>
          <w:rFonts w:hAnsi="宋体" w:hint="eastAsia"/>
          <w:color w:val="000000"/>
          <w:szCs w:val="24"/>
        </w:rPr>
        <w:t>存续期间：持续经营</w:t>
      </w:r>
    </w:p>
    <w:p w14:paraId="6761CCB9" w14:textId="77777777" w:rsidR="003D47C1" w:rsidRDefault="00000000">
      <w:pPr>
        <w:pStyle w:val="1"/>
        <w:spacing w:line="520" w:lineRule="atLeast"/>
        <w:ind w:firstLineChars="200" w:firstLine="482"/>
        <w:rPr>
          <w:rFonts w:hint="eastAsia"/>
          <w:bCs/>
          <w:color w:val="auto"/>
          <w:szCs w:val="24"/>
        </w:rPr>
      </w:pPr>
      <w:bookmarkStart w:id="23" w:name="_Toc130978946"/>
      <w:bookmarkStart w:id="24" w:name="_Toc296551338"/>
      <w:r>
        <w:rPr>
          <w:rFonts w:hint="eastAsia"/>
          <w:bCs/>
          <w:color w:val="auto"/>
          <w:szCs w:val="24"/>
        </w:rPr>
        <w:t>第二条 本协议的依据、目的和原则</w:t>
      </w:r>
      <w:bookmarkEnd w:id="23"/>
      <w:bookmarkEnd w:id="24"/>
    </w:p>
    <w:p w14:paraId="2DF7CEA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2.1本协议的依据</w:t>
      </w:r>
    </w:p>
    <w:p w14:paraId="16C03A75" w14:textId="25A9F4AF"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订立本协议的依据是《中华人民共和国民法典》、《中华人民共和国证券投资基金法》（以下简称“《基金法》”）、《公开募集证券投资基金运作管理办法》（以下简称“《运作办法》”）、《公开募集证券投资基金销售机构监督管理办法》、《公开</w:t>
      </w:r>
      <w:r>
        <w:rPr>
          <w:rFonts w:hAnsi="宋体"/>
          <w:szCs w:val="24"/>
        </w:rPr>
        <w:t>募集</w:t>
      </w:r>
      <w:r>
        <w:rPr>
          <w:rFonts w:hAnsi="宋体" w:hint="eastAsia"/>
          <w:szCs w:val="24"/>
        </w:rPr>
        <w:t>证券投资基金信息披露管理办法》（以下简称“《信息披露办法》”）、</w:t>
      </w:r>
      <w:r>
        <w:rPr>
          <w:rFonts w:hint="eastAsia"/>
          <w:bCs/>
        </w:rPr>
        <w:t>《公开募集开放式证券投资基金流动性风险管理规定》（以下简称“《流动性风险管理规定》”）、</w:t>
      </w:r>
      <w:r>
        <w:rPr>
          <w:rFonts w:hAnsi="宋体" w:hint="eastAsia"/>
          <w:szCs w:val="24"/>
        </w:rPr>
        <w:t>《证券投资基金信息披露内容与格式准则第7号〈托管协议的内容与格式〉》、《公开募集证券投资基金销售费用管理规定》、《基金合同》及其他有关规定。</w:t>
      </w:r>
    </w:p>
    <w:p w14:paraId="678F6727"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2.2本协议的目的</w:t>
      </w:r>
    </w:p>
    <w:p w14:paraId="03753C68"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39B1136"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2.3本协议的原则</w:t>
      </w:r>
    </w:p>
    <w:p w14:paraId="2EF01DA2"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基金管理人和基金托管人本着平等自愿、诚实信用、充分保护基金份额持有人合法权益的原则，经协商一致，签订本协议。</w:t>
      </w:r>
    </w:p>
    <w:p w14:paraId="4CADA199" w14:textId="77777777" w:rsidR="003D47C1" w:rsidRDefault="00000000">
      <w:pPr>
        <w:pStyle w:val="1"/>
        <w:adjustRightInd w:val="0"/>
        <w:spacing w:line="520" w:lineRule="atLeast"/>
        <w:ind w:firstLineChars="200" w:firstLine="482"/>
        <w:rPr>
          <w:rFonts w:hint="eastAsia"/>
          <w:bCs/>
          <w:color w:val="auto"/>
          <w:szCs w:val="24"/>
        </w:rPr>
      </w:pPr>
      <w:bookmarkStart w:id="25" w:name="_Toc130978947"/>
      <w:bookmarkStart w:id="26" w:name="_Toc296551339"/>
      <w:bookmarkStart w:id="27" w:name="_Hlk181968975"/>
      <w:r>
        <w:rPr>
          <w:rFonts w:hint="eastAsia"/>
          <w:bCs/>
          <w:color w:val="auto"/>
          <w:szCs w:val="24"/>
        </w:rPr>
        <w:t>第三条 基金托管人对基金管理人的业务监督和核查</w:t>
      </w:r>
      <w:bookmarkEnd w:id="25"/>
      <w:bookmarkEnd w:id="26"/>
    </w:p>
    <w:p w14:paraId="3C1D4AF1"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3.1基金托管人对基金管理人的投资行为行使监督权</w:t>
      </w:r>
    </w:p>
    <w:p w14:paraId="4AD0C9A8"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lastRenderedPageBreak/>
        <w:t>3.1.1基金托管人根据有关法律法规的规定和基金合同的约定，对下述基金投资范围、投资对象进行监督。本基金将投资于以下金融工具：</w:t>
      </w:r>
    </w:p>
    <w:p w14:paraId="46D4FE29" w14:textId="77777777" w:rsidR="003D47C1" w:rsidRDefault="00000000">
      <w:pPr>
        <w:spacing w:line="520" w:lineRule="atLeast"/>
        <w:ind w:firstLine="480"/>
        <w:rPr>
          <w:rFonts w:ascii="宋体" w:hAnsi="宋体" w:hint="eastAsia"/>
          <w:sz w:val="24"/>
          <w:szCs w:val="24"/>
        </w:rPr>
      </w:pPr>
      <w:r>
        <w:rPr>
          <w:rFonts w:ascii="宋体" w:hAnsi="宋体" w:hint="eastAsia"/>
          <w:sz w:val="24"/>
          <w:szCs w:val="24"/>
        </w:rPr>
        <w:t>本基金的投资范围为具有良好流动性的金融工具，包括港股通标的股票、国内依法发行上市的股票（包括主板、</w:t>
      </w:r>
      <w:proofErr w:type="gramStart"/>
      <w:r>
        <w:rPr>
          <w:rFonts w:ascii="宋体" w:hAnsi="宋体" w:hint="eastAsia"/>
          <w:sz w:val="24"/>
          <w:szCs w:val="24"/>
        </w:rPr>
        <w:t>科创板</w:t>
      </w:r>
      <w:proofErr w:type="gramEnd"/>
      <w:r>
        <w:rPr>
          <w:rFonts w:ascii="宋体" w:hAnsi="宋体" w:hint="eastAsia"/>
          <w:sz w:val="24"/>
          <w:szCs w:val="24"/>
        </w:rPr>
        <w:t>、创业板以及其他经中国证监会允许发行的股票）、存托凭证、债券（包括国债、地方政府债、金融债、企业债、公司债、政府支持债券、政府支持机构债、次级债、可转换债券、分离交易可转换债券、央行票据、中期票据、短期融资</w:t>
      </w:r>
      <w:proofErr w:type="gramStart"/>
      <w:r>
        <w:rPr>
          <w:rFonts w:ascii="宋体" w:hAnsi="宋体" w:hint="eastAsia"/>
          <w:sz w:val="24"/>
          <w:szCs w:val="24"/>
        </w:rPr>
        <w:t>券</w:t>
      </w:r>
      <w:proofErr w:type="gramEnd"/>
      <w:r>
        <w:rPr>
          <w:rFonts w:ascii="宋体" w:hAnsi="宋体" w:hint="eastAsia"/>
          <w:sz w:val="24"/>
          <w:szCs w:val="24"/>
        </w:rPr>
        <w:t>（</w:t>
      </w:r>
      <w:proofErr w:type="gramStart"/>
      <w:r>
        <w:rPr>
          <w:rFonts w:ascii="宋体" w:hAnsi="宋体" w:hint="eastAsia"/>
          <w:sz w:val="24"/>
          <w:szCs w:val="24"/>
        </w:rPr>
        <w:t>含超短期</w:t>
      </w:r>
      <w:proofErr w:type="gramEnd"/>
      <w:r>
        <w:rPr>
          <w:rFonts w:ascii="宋体" w:hAnsi="宋体" w:hint="eastAsia"/>
          <w:sz w:val="24"/>
          <w:szCs w:val="24"/>
        </w:rPr>
        <w:t>融资</w:t>
      </w:r>
      <w:proofErr w:type="gramStart"/>
      <w:r>
        <w:rPr>
          <w:rFonts w:ascii="宋体" w:hAnsi="宋体" w:hint="eastAsia"/>
          <w:sz w:val="24"/>
          <w:szCs w:val="24"/>
        </w:rPr>
        <w:t>券</w:t>
      </w:r>
      <w:proofErr w:type="gramEnd"/>
      <w:r>
        <w:rPr>
          <w:rFonts w:ascii="宋体" w:hAnsi="宋体" w:hint="eastAsia"/>
          <w:sz w:val="24"/>
          <w:szCs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74273359" w14:textId="77777777" w:rsidR="003D47C1" w:rsidRDefault="00000000">
      <w:pPr>
        <w:spacing w:line="520" w:lineRule="atLeast"/>
        <w:ind w:firstLine="480"/>
        <w:rPr>
          <w:rFonts w:ascii="宋体" w:hAnsi="宋体" w:hint="eastAsia"/>
          <w:sz w:val="24"/>
          <w:szCs w:val="24"/>
        </w:rPr>
      </w:pPr>
      <w:r>
        <w:rPr>
          <w:rFonts w:ascii="宋体" w:hAnsi="宋体" w:hint="eastAsia"/>
          <w:sz w:val="24"/>
          <w:szCs w:val="24"/>
        </w:rPr>
        <w:t>如法律法规或监管机构以后允许基金投资其他品种，基金管理人在履行适当程序后，可以将其纳入投资范围。</w:t>
      </w:r>
    </w:p>
    <w:p w14:paraId="1EE9CFFA" w14:textId="77777777" w:rsidR="003D47C1" w:rsidRDefault="00000000">
      <w:pPr>
        <w:spacing w:line="520" w:lineRule="atLeast"/>
        <w:ind w:firstLine="480"/>
        <w:rPr>
          <w:rFonts w:ascii="宋体" w:hAnsi="宋体" w:hint="eastAsia"/>
          <w:sz w:val="24"/>
          <w:szCs w:val="24"/>
        </w:rPr>
      </w:pPr>
      <w:r>
        <w:rPr>
          <w:rFonts w:ascii="宋体" w:hAnsi="宋体" w:hint="eastAsia"/>
          <w:sz w:val="24"/>
          <w:szCs w:val="24"/>
        </w:rPr>
        <w:t>基金的投资组合比例为：本基金股票及存托凭证投资占基金资产的比例为60%-95%（其中，投资于港股通标的股票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0ADC5A01" w14:textId="77777777" w:rsidR="003D47C1" w:rsidRDefault="00000000">
      <w:pPr>
        <w:spacing w:line="520" w:lineRule="atLeast"/>
        <w:ind w:firstLine="480"/>
        <w:rPr>
          <w:rFonts w:ascii="宋体" w:hAnsi="宋体" w:hint="eastAsia"/>
          <w:sz w:val="24"/>
          <w:szCs w:val="24"/>
        </w:rPr>
      </w:pPr>
      <w:r>
        <w:rPr>
          <w:rFonts w:ascii="宋体" w:hAnsi="宋体" w:hint="eastAsia"/>
          <w:sz w:val="24"/>
          <w:szCs w:val="24"/>
        </w:rPr>
        <w:t>如果法律法规或监管机构对该比例要求有变更的，在履行适当程序后，以变更后的比例为准，本基金的投资比例会做相应调整。</w:t>
      </w:r>
    </w:p>
    <w:p w14:paraId="427583F9" w14:textId="77777777" w:rsidR="003D47C1" w:rsidRDefault="00000000">
      <w:pPr>
        <w:spacing w:line="520" w:lineRule="atLeast"/>
        <w:jc w:val="left"/>
        <w:rPr>
          <w:rFonts w:ascii="宋体" w:hAnsi="宋体" w:hint="eastAsia"/>
          <w:sz w:val="24"/>
        </w:rPr>
      </w:pPr>
      <w:r>
        <w:rPr>
          <w:rFonts w:ascii="宋体" w:hAnsi="宋体" w:hint="eastAsia"/>
          <w:sz w:val="24"/>
        </w:rPr>
        <w:t xml:space="preserve">    3.1.2基金托管人根据有关法律法规的规定及基金合同的约定对下述基金投融资比例进行监督：    </w:t>
      </w:r>
    </w:p>
    <w:p w14:paraId="3154B65C"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 xml:space="preserve">（1）本基金股票及存托凭证资产的投资比例占基金资产的60%-95%（其中，投资于港股通标的股票的比例不低于非现金基金资产的80%）； </w:t>
      </w:r>
    </w:p>
    <w:p w14:paraId="19E4A52A"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73A10982"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（3）本基金持有一家公司发行的证券（同一家公司在内地和香港同时上市的A+H股合计计算），其市值不超过基金资产净值的10%；</w:t>
      </w:r>
    </w:p>
    <w:p w14:paraId="03F6A47C" w14:textId="1CA2AF6C"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lastRenderedPageBreak/>
        <w:t>（4）本基金管理人管理</w:t>
      </w:r>
      <w:r w:rsidR="003F6B58">
        <w:rPr>
          <w:rFonts w:ascii="宋体" w:hAnsi="宋体" w:hint="eastAsia"/>
          <w:sz w:val="24"/>
          <w:szCs w:val="24"/>
        </w:rPr>
        <w:t>且由基金托管人托管</w:t>
      </w:r>
      <w:r>
        <w:rPr>
          <w:rFonts w:ascii="宋体" w:hAnsi="宋体" w:hint="eastAsia"/>
          <w:sz w:val="24"/>
          <w:szCs w:val="24"/>
        </w:rPr>
        <w:t>的基金持有一家公司发行的证券（同一家公司在内地和香港同时上市的A+H股合计计算），不超过该证券的10%；本基金管理人管理</w:t>
      </w:r>
      <w:r w:rsidR="003F6B58">
        <w:rPr>
          <w:rFonts w:ascii="宋体" w:hAnsi="宋体" w:hint="eastAsia"/>
          <w:sz w:val="24"/>
          <w:szCs w:val="24"/>
        </w:rPr>
        <w:t>且由基金托管人托管</w:t>
      </w:r>
      <w:r>
        <w:rPr>
          <w:rFonts w:ascii="宋体" w:hAnsi="宋体" w:hint="eastAsia"/>
          <w:sz w:val="24"/>
          <w:szCs w:val="24"/>
        </w:rPr>
        <w:t>的开放式基金（包括开放式基金以及处于开放期的定期开放基金）持有一家上市公司发行的可流通股票，不得超过该上市公司可流通股票的15%；本基金管理人管理</w:t>
      </w:r>
      <w:r w:rsidR="003F6B58">
        <w:rPr>
          <w:rFonts w:ascii="宋体" w:hAnsi="宋体" w:hint="eastAsia"/>
          <w:sz w:val="24"/>
          <w:szCs w:val="24"/>
        </w:rPr>
        <w:t>且由基金托管人托管</w:t>
      </w:r>
      <w:r>
        <w:rPr>
          <w:rFonts w:ascii="宋体" w:hAnsi="宋体" w:hint="eastAsia"/>
          <w:sz w:val="24"/>
          <w:szCs w:val="24"/>
        </w:rPr>
        <w:t>的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2810DE06"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（5）本基金投资于同一原始权益人的各类资产支持证券的比例，不得超过基金资产净值的10%；</w:t>
      </w:r>
    </w:p>
    <w:p w14:paraId="2A224FC4"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（6）本基金持有的全部资产支持证券，其市值不得超过基金资产净值的20%；</w:t>
      </w:r>
    </w:p>
    <w:p w14:paraId="015AE5E7"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（7）本基金持有的同一（指同一信用级别）资产支持证券的比例，不得超过该资产支持证券规模的10%；</w:t>
      </w:r>
    </w:p>
    <w:p w14:paraId="17327E47"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（8）本基金管理人管理的全部基金投资于同一原始权益人的各类资产支持证券，不得超过其各类资产支持证券合计规模的10%；</w:t>
      </w:r>
    </w:p>
    <w:p w14:paraId="0723157B"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67FBCAB0"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19BB092"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（11）本基金参与股指期货、国债期货交易，应当遵守下列要求：</w:t>
      </w:r>
    </w:p>
    <w:p w14:paraId="0CD19F1E"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1）本基金在任何交易日日终，持有的买入股指期货合约价值，不得超过基金资产净值的10%；本基金在任何交易日日终，持有的买入国债期货合约价值，不得超过基金资产净值的15%；</w:t>
      </w:r>
    </w:p>
    <w:p w14:paraId="60D1FFB6"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734BE3B2"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lastRenderedPageBreak/>
        <w:t>3）本基金在任何交易日日终，持有的卖出股指期货合约价值不得超过本基金持有的股票总市值的20%；本基金在任何交易日日终，持有的卖出国债期货合约价值不得超过基金持有的债券总市值的30%；</w:t>
      </w:r>
    </w:p>
    <w:p w14:paraId="416B2A29"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73D4288"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142E3ADE"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（12）本基金参与股票期权交易，应当遵守下列要求：</w:t>
      </w:r>
    </w:p>
    <w:p w14:paraId="4C9519DC"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1）因未平仓的期权合约支付和收取的权利金总额不得超过基金资产净值的10%；</w:t>
      </w:r>
    </w:p>
    <w:p w14:paraId="0F0DE424"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2）开仓卖出认购期权的，应持有足额标的证券；开仓卖出认沽期权的，应持有合约行权所需的全额现金或交易所规则认可的可冲抵期权保证金的现金等价物；</w:t>
      </w:r>
    </w:p>
    <w:p w14:paraId="22F5FD0A"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3）未平仓的期权合约面值不得超过基金资产净值的20%。其中，合约面值按照行权价乘以合约乘数计算；</w:t>
      </w:r>
    </w:p>
    <w:p w14:paraId="51F938CE"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（13）本基金资产总值不得超过基金资产净值的140%；</w:t>
      </w:r>
    </w:p>
    <w:p w14:paraId="61051E4F" w14:textId="77777777" w:rsidR="003D47C1" w:rsidRDefault="00000000">
      <w:pPr>
        <w:spacing w:line="520" w:lineRule="atLeast"/>
        <w:ind w:firstLineChars="200" w:firstLine="480"/>
        <w:rPr>
          <w:rFonts w:ascii="宋体" w:hAnsi="宋体" w:hint="eastAsia"/>
          <w:sz w:val="24"/>
          <w:szCs w:val="24"/>
        </w:rPr>
      </w:pPr>
      <w:bookmarkStart w:id="28" w:name="OLE_LINK28"/>
      <w:r>
        <w:rPr>
          <w:rFonts w:ascii="宋体" w:hAnsi="宋体" w:hint="eastAsia"/>
          <w:sz w:val="24"/>
          <w:szCs w:val="24"/>
        </w:rPr>
        <w:t>（14）本基金不得持有具有信用保护卖方属性的信用衍生品，</w:t>
      </w:r>
      <w:proofErr w:type="gramStart"/>
      <w:r>
        <w:rPr>
          <w:rFonts w:ascii="宋体" w:hAnsi="宋体" w:hint="eastAsia"/>
          <w:sz w:val="24"/>
          <w:szCs w:val="24"/>
        </w:rPr>
        <w:t>不</w:t>
      </w:r>
      <w:proofErr w:type="gramEnd"/>
      <w:r>
        <w:rPr>
          <w:rFonts w:ascii="宋体" w:hAnsi="宋体" w:hint="eastAsia"/>
          <w:sz w:val="24"/>
          <w:szCs w:val="24"/>
        </w:rPr>
        <w:t>持有合约类信用衍生品；</w:t>
      </w:r>
    </w:p>
    <w:bookmarkEnd w:id="28"/>
    <w:p w14:paraId="1C68B6FC"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（15）本基金持有的信用衍生品的名义本金不得超过本基金对应受保护债券面值的100%；投资于同一信用保护卖方的各类信用衍生品的名义本金合计不得超过基金资产净值的10%；</w:t>
      </w:r>
    </w:p>
    <w:p w14:paraId="7840A5CE"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因证券/期货市场波动、证券发行人合并、基金规模变动等基金管理人之外的因素致使基金不符合前述（15）所规定比例限制的，基金管理人应在3个月之内进行调整；</w:t>
      </w:r>
    </w:p>
    <w:p w14:paraId="6325BBE1"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w:t>
      </w:r>
      <w:r>
        <w:rPr>
          <w:rFonts w:ascii="宋体" w:hAnsi="宋体" w:hint="eastAsia"/>
          <w:sz w:val="24"/>
          <w:szCs w:val="24"/>
        </w:rPr>
        <w:lastRenderedPageBreak/>
        <w:t>资；</w:t>
      </w:r>
    </w:p>
    <w:p w14:paraId="39A5A43E"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（17）本基金与私募类</w:t>
      </w:r>
      <w:proofErr w:type="gramStart"/>
      <w:r>
        <w:rPr>
          <w:rFonts w:ascii="宋体" w:hAnsi="宋体" w:hint="eastAsia"/>
          <w:sz w:val="24"/>
          <w:szCs w:val="24"/>
        </w:rPr>
        <w:t>证券资管产品</w:t>
      </w:r>
      <w:proofErr w:type="gramEnd"/>
      <w:r>
        <w:rPr>
          <w:rFonts w:ascii="宋体" w:hAnsi="宋体" w:hint="eastAsia"/>
          <w:sz w:val="24"/>
          <w:szCs w:val="24"/>
        </w:rPr>
        <w:t>及中国证监会认定的其他主体为交易对手开展逆回购交易的，可接受质押品的资质要求应当与基金合同约定的投资范围保持一致；</w:t>
      </w:r>
    </w:p>
    <w:p w14:paraId="229AC1E1"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（18）本基金投资存托凭证的比例限制依照境内上市交易的股票执行；</w:t>
      </w:r>
    </w:p>
    <w:p w14:paraId="260CA909"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（19）法律法规及中国证监会规定的和基金合同约定的其他投资限制。</w:t>
      </w:r>
    </w:p>
    <w:p w14:paraId="4EBD7F02" w14:textId="77777777" w:rsidR="003D47C1" w:rsidRDefault="00000000">
      <w:pPr>
        <w:spacing w:line="520" w:lineRule="atLeast"/>
        <w:ind w:firstLineChars="200" w:firstLine="480"/>
        <w:rPr>
          <w:rFonts w:ascii="宋体" w:hAnsi="宋体" w:hint="eastAsia"/>
          <w:sz w:val="24"/>
          <w:szCs w:val="24"/>
        </w:rPr>
      </w:pPr>
      <w:bookmarkStart w:id="29" w:name="OLE_LINK29"/>
      <w:r>
        <w:rPr>
          <w:rFonts w:ascii="宋体" w:hAnsi="宋体" w:hint="eastAsia"/>
          <w:sz w:val="24"/>
          <w:szCs w:val="24"/>
        </w:rPr>
        <w:t>除上述第（2）、（9）、（14）、（15）、（16）、（17）项情形之外，因证券/期货市场波动、证券发行人合并、基金规模变动、港股通额度不足等基金管理人之外的因素致使基金投资比例不符合上述规定投资比例的，基金管理人应当在10个交易日内进行调整，但中国证监会规定的特殊情形除外。法律法规或监管机构另有规定的，从其规定。</w:t>
      </w:r>
    </w:p>
    <w:bookmarkEnd w:id="29"/>
    <w:p w14:paraId="56BE472B"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w:t>
      </w:r>
    </w:p>
    <w:p w14:paraId="5CBD157C" w14:textId="77777777" w:rsidR="003D47C1" w:rsidRDefault="00000000">
      <w:pPr>
        <w:spacing w:line="520" w:lineRule="atLeast"/>
        <w:ind w:firstLineChars="200" w:firstLine="480"/>
        <w:rPr>
          <w:rFonts w:ascii="宋体" w:hAnsi="宋体" w:hint="eastAsia"/>
          <w:sz w:val="24"/>
          <w:szCs w:val="24"/>
        </w:rPr>
      </w:pPr>
      <w:r>
        <w:rPr>
          <w:rFonts w:ascii="宋体" w:hAnsi="宋体" w:hint="eastAsia"/>
          <w:sz w:val="24"/>
          <w:szCs w:val="24"/>
        </w:rPr>
        <w:t>基金托管人对基金的投资的监督与检查自基金合同生效之日起开始。</w:t>
      </w:r>
    </w:p>
    <w:p w14:paraId="5CEE2038" w14:textId="77777777" w:rsidR="003D47C1" w:rsidRDefault="00000000">
      <w:pPr>
        <w:spacing w:line="520" w:lineRule="atLeast"/>
        <w:ind w:firstLineChars="200" w:firstLine="480"/>
        <w:rPr>
          <w:rFonts w:ascii="宋体" w:hAnsi="宋体" w:hint="eastAsia"/>
          <w:color w:val="000000" w:themeColor="text1"/>
          <w:sz w:val="24"/>
          <w:szCs w:val="24"/>
        </w:rPr>
      </w:pPr>
      <w:r>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3656ECF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3.1.3基金托管人根据有关法律法规的规定及基金合同的约定对下述基金投资禁止行为进行监督：</w:t>
      </w:r>
    </w:p>
    <w:p w14:paraId="3FCCC94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根据法律法规的规定及基金合同的约定，本基金禁止从事下列行为：</w:t>
      </w:r>
    </w:p>
    <w:p w14:paraId="2E522F3D"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（1）承销证券；</w:t>
      </w:r>
    </w:p>
    <w:p w14:paraId="21EB0277"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（2）违反规定向他人贷款或者提供担保；</w:t>
      </w:r>
    </w:p>
    <w:p w14:paraId="4FCA57C3"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（3）从事承担无限责任的投资；</w:t>
      </w:r>
    </w:p>
    <w:p w14:paraId="2095A716"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（4）买卖其他基金份额，但是中国证监会另有规定的除外；</w:t>
      </w:r>
    </w:p>
    <w:p w14:paraId="2837C944"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（5）向其基金管理人、基金托管人出资；</w:t>
      </w:r>
    </w:p>
    <w:p w14:paraId="7F30FA1C"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（6）从事内幕交易、操纵证券交易价格及其他不正当的证券交易活动；</w:t>
      </w:r>
    </w:p>
    <w:p w14:paraId="14F7FE2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（7）法律、行政法规和中国证监会规定禁止的其他活动。</w:t>
      </w:r>
    </w:p>
    <w:p w14:paraId="08DE1349"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如法律法规或监管部门取消或调整上述禁止性规定，基金管理人在履行适当程</w:t>
      </w:r>
      <w:r>
        <w:rPr>
          <w:rFonts w:hAnsi="宋体" w:hint="eastAsia"/>
          <w:szCs w:val="24"/>
        </w:rPr>
        <w:lastRenderedPageBreak/>
        <w:t>序后，本基金可不受上述规定的限制或按调整后的规定执行，不需经基金份额持有人大会审议，但须提前公告。</w:t>
      </w:r>
    </w:p>
    <w:p w14:paraId="4A96875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3.1.4基金托管人依据有关</w:t>
      </w:r>
      <w:bookmarkEnd w:id="27"/>
      <w:r>
        <w:rPr>
          <w:rFonts w:hAnsi="宋体" w:hint="eastAsia"/>
          <w:szCs w:val="24"/>
        </w:rPr>
        <w:t>法律法规的规定和基金合同的约定对于基金关联投资限制进行监督：</w:t>
      </w:r>
    </w:p>
    <w:p w14:paraId="0BD250A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6CAD7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名单变更后一方应及时发送另一方，另一方于2个工作日内进行回函确认已知名单的变更。名单变更时间以变更</w:t>
      </w:r>
      <w:proofErr w:type="gramStart"/>
      <w:r>
        <w:rPr>
          <w:rFonts w:hAnsi="宋体" w:hint="eastAsia"/>
          <w:szCs w:val="24"/>
        </w:rPr>
        <w:t>方收到</w:t>
      </w:r>
      <w:proofErr w:type="gramEnd"/>
      <w:r>
        <w:rPr>
          <w:rFonts w:hAnsi="宋体" w:hint="eastAsia"/>
          <w:szCs w:val="24"/>
        </w:rPr>
        <w:t>对方回函确认的时间为准。如果基金托管人在运作中严格遵循了监督流程并充分进行事前提示，基金管理人仍违规进行交易，并造成基金资产损失的，由基金管理人承担责任，基金托管人不承担相关损失和责任。</w:t>
      </w:r>
    </w:p>
    <w:p w14:paraId="4A46D0A5" w14:textId="77777777" w:rsidR="003D47C1" w:rsidRDefault="00000000">
      <w:pPr>
        <w:pStyle w:val="20"/>
        <w:spacing w:before="0" w:after="0" w:line="520" w:lineRule="atLeast"/>
        <w:ind w:left="0" w:firstLineChars="200" w:firstLine="480"/>
        <w:rPr>
          <w:rFonts w:hAnsi="宋体" w:hint="eastAsia"/>
          <w:szCs w:val="24"/>
        </w:rPr>
      </w:pPr>
      <w:proofErr w:type="gramStart"/>
      <w:r>
        <w:rPr>
          <w:rFonts w:hAnsi="宋体" w:hint="eastAsia"/>
          <w:szCs w:val="24"/>
        </w:rPr>
        <w:t>若基金</w:t>
      </w:r>
      <w:proofErr w:type="gramEnd"/>
      <w:r>
        <w:rPr>
          <w:rFonts w:hAnsi="宋体" w:hint="eastAsia"/>
          <w:szCs w:val="24"/>
        </w:rPr>
        <w:t>托管人发现基金管理人与关联方进行法律法规禁止基金从事的交易时，基金托管人应及时提醒并协助基金管理人采取必要措施阻止该交易的发生，</w:t>
      </w:r>
      <w:proofErr w:type="gramStart"/>
      <w:r>
        <w:rPr>
          <w:rFonts w:hAnsi="宋体" w:hint="eastAsia"/>
          <w:szCs w:val="24"/>
        </w:rPr>
        <w:t>若基金</w:t>
      </w:r>
      <w:proofErr w:type="gramEnd"/>
      <w:r>
        <w:rPr>
          <w:rFonts w:hAnsi="宋体" w:hint="eastAsia"/>
          <w:szCs w:val="24"/>
        </w:rPr>
        <w:t>托管人采取必要措施后仍无法阻止该交易发生时，基金托管人有权向中国证监会报告，由此造成的损失和责任由基金管理人承担。</w:t>
      </w:r>
    </w:p>
    <w:p w14:paraId="19BF28C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3.1.5基金托管人依据有关法律法规的规定和基金合同的约定对基金管理人参与银行间债券市场进行监督：</w:t>
      </w:r>
    </w:p>
    <w:p w14:paraId="558D18A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（1）基金托管人对于基金管理人参与银行间债券市场交易时是否按交易对手名单进行交易进行监督。</w:t>
      </w:r>
    </w:p>
    <w:p w14:paraId="20F8039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基金管理人应在基金投资运作之前向基金托管人提供符合法律法规及行业标准的银行间债券市场交易对手的名单，并按照审慎的风险控制原则在该名单中约定</w:t>
      </w:r>
      <w:r>
        <w:rPr>
          <w:rFonts w:hAnsi="宋体" w:hint="eastAsia"/>
          <w:szCs w:val="24"/>
        </w:rPr>
        <w:lastRenderedPageBreak/>
        <w:t>各交易对手所适用的交易结算方式。基金托管人在收到名单后2个工作日内回函确认收到该名单。基金管理人收到基金托管人书面确认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65AE2C1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65DE5AB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（2）基金托管人对于基金管理人参与银行间债券市场交易的交易方式的控制。</w:t>
      </w:r>
    </w:p>
    <w:p w14:paraId="1E4A77E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29E6512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（3）基金管理人有责任控制交易对手的资信风险。</w:t>
      </w:r>
    </w:p>
    <w:p w14:paraId="03C316A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w:t>
      </w:r>
      <w:r>
        <w:rPr>
          <w:rFonts w:hAnsi="宋体"/>
          <w:szCs w:val="24"/>
        </w:rPr>
        <w:t>管理人</w:t>
      </w:r>
      <w:r>
        <w:rPr>
          <w:rFonts w:hAnsi="宋体" w:hint="eastAsia"/>
          <w:szCs w:val="24"/>
        </w:rPr>
        <w:t>按银行间债券市场的交易规则进行交易，并负责解决因交易对手不履行合同而造成的纠纷。若未履约的交易对手在基金管理人确定的时间内仍未承担违约责任及其他相关法律责任的，基金管理人负责向相关交易对手追偿。</w:t>
      </w:r>
    </w:p>
    <w:p w14:paraId="6E4929A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w:t>
      </w:r>
      <w:r>
        <w:rPr>
          <w:rFonts w:hAnsi="宋体"/>
          <w:szCs w:val="24"/>
        </w:rPr>
        <w:t>6</w:t>
      </w:r>
      <w:r>
        <w:rPr>
          <w:rFonts w:hAnsi="宋体" w:hint="eastAsia"/>
          <w:szCs w:val="24"/>
        </w:rPr>
        <w:t>基金托管人对基金投资中期票据的监督：</w:t>
      </w:r>
    </w:p>
    <w:p w14:paraId="07D0113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54301B5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（2）如未来有关监管部门发布的法律法规对证券投资基金投资中期票据另有规定的，从其规定。</w:t>
      </w:r>
    </w:p>
    <w:p w14:paraId="54963F6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（3）基金托管人有权监督基金管理人在相关基金投资中期票据时的法律法规</w:t>
      </w:r>
      <w:r>
        <w:rPr>
          <w:rFonts w:hAnsi="宋体" w:hint="eastAsia"/>
          <w:szCs w:val="24"/>
        </w:rPr>
        <w:lastRenderedPageBreak/>
        <w:t>遵守情况，有关制度、信用风险、流动性风险处置预案的完善情况，有关额度、比例限制的执行情况。基金托管人发现基金管理人的上述事项违反法律法规的</w:t>
      </w:r>
      <w:r>
        <w:rPr>
          <w:rFonts w:hAnsi="宋体"/>
          <w:szCs w:val="24"/>
        </w:rPr>
        <w:t>规定</w:t>
      </w:r>
      <w:r>
        <w:rPr>
          <w:rFonts w:hAnsi="宋体" w:hint="eastAsia"/>
          <w:szCs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损失和责任。</w:t>
      </w:r>
    </w:p>
    <w:p w14:paraId="230A7DD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w:t>
      </w:r>
      <w:r>
        <w:rPr>
          <w:rFonts w:hAnsi="宋体"/>
          <w:szCs w:val="24"/>
        </w:rPr>
        <w:t>7</w:t>
      </w:r>
      <w:r>
        <w:rPr>
          <w:rFonts w:hAnsi="宋体" w:hint="eastAsia"/>
          <w:szCs w:val="24"/>
        </w:rPr>
        <w:t>基金托管人根据有关法律法规的规定及基金合同的约定，对基金管理人选择存款银行进行监督：</w:t>
      </w:r>
    </w:p>
    <w:p w14:paraId="6489DEB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1832153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本基金投资银行存款应符合如下规定：</w:t>
      </w:r>
    </w:p>
    <w:p w14:paraId="546550D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（1）基金管理人、基金托管人应当与存款银行建立定期对账机制，确保基金银行存款业务账目及核算的真实、准确。</w:t>
      </w:r>
    </w:p>
    <w:p w14:paraId="4DDB7B8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781FF7E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（3）基金托管人应对基金银行存款业务进行监督与核查，审查、复核相关协议、账户资料、投资指令、存款证实书等有关文件，履行托管职责。</w:t>
      </w:r>
    </w:p>
    <w:p w14:paraId="7D76931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（4）基金管理人与基金托管人在开展基金存款业务时，应严格遵守《基金法》、《运作办法》等有关法律法规，以及国家有关账户管理、利率管理、支付结算等的各项规定。</w:t>
      </w:r>
    </w:p>
    <w:p w14:paraId="48F6A7E9"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3.1.</w:t>
      </w:r>
      <w:r>
        <w:rPr>
          <w:rFonts w:hAnsi="宋体"/>
          <w:szCs w:val="24"/>
        </w:rPr>
        <w:t>8</w:t>
      </w:r>
      <w:r>
        <w:rPr>
          <w:rFonts w:hAnsi="宋体" w:hint="eastAsia"/>
          <w:szCs w:val="24"/>
        </w:rPr>
        <w:t>基金托管人对基金投资流通受限证券的监督：</w:t>
      </w:r>
    </w:p>
    <w:p w14:paraId="39947089"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（1）基金投资流通受限证券，应遵守有关法律法规规定。此处的流通受限证</w:t>
      </w:r>
      <w:r>
        <w:rPr>
          <w:rFonts w:hAnsi="宋体" w:hint="eastAsia"/>
          <w:szCs w:val="24"/>
        </w:rPr>
        <w:lastRenderedPageBreak/>
        <w:t>券与上文提及的流动性受限资产并不完全一致，指由相关法律法规及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Ansi="宋体" w:hint="eastAsia"/>
          <w:szCs w:val="24"/>
        </w:rPr>
        <w:t>券</w:t>
      </w:r>
      <w:proofErr w:type="gramEnd"/>
      <w:r>
        <w:rPr>
          <w:rFonts w:hAnsi="宋体" w:hint="eastAsia"/>
          <w:szCs w:val="24"/>
        </w:rPr>
        <w:t>等流通受限证券。</w:t>
      </w:r>
    </w:p>
    <w:p w14:paraId="0EADF7E9"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30C6BB4"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基金管理人应至少</w:t>
      </w:r>
      <w:proofErr w:type="gramStart"/>
      <w:r>
        <w:rPr>
          <w:rFonts w:hAnsi="宋体" w:hint="eastAsia"/>
          <w:szCs w:val="24"/>
        </w:rPr>
        <w:t>于首次</w:t>
      </w:r>
      <w:proofErr w:type="gramEnd"/>
      <w:r>
        <w:rPr>
          <w:rFonts w:hAnsi="宋体" w:hint="eastAsia"/>
          <w:szCs w:val="24"/>
        </w:rPr>
        <w:t>执行投资指令之前2个工作日将上述资料书面发至基金托管人，保证基金托管人有足够的时间进行审核。基金托管人应在收到上述资料后2个工作日内，以书面或其他双方认可的方式确认收到上述资料。</w:t>
      </w:r>
    </w:p>
    <w:p w14:paraId="4E8CABDC"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（3）基金投资流通受限证券前，基金管理人应向基金托管人提供符合法律法规要求的有关必要书面信息。基金管理人应保证上述信息的真实、完整，并应至少</w:t>
      </w:r>
      <w:proofErr w:type="gramStart"/>
      <w:r>
        <w:rPr>
          <w:rFonts w:hAnsi="宋体" w:hint="eastAsia"/>
          <w:szCs w:val="24"/>
        </w:rPr>
        <w:t>于拟执行</w:t>
      </w:r>
      <w:proofErr w:type="gramEnd"/>
      <w:r>
        <w:rPr>
          <w:rFonts w:hAnsi="宋体" w:hint="eastAsia"/>
          <w:szCs w:val="24"/>
        </w:rPr>
        <w:t>投资指令前将上述信息书面发至基金托管人。</w:t>
      </w:r>
    </w:p>
    <w:p w14:paraId="05A9FE1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相关责任，并有权报告中国证监会。</w:t>
      </w:r>
    </w:p>
    <w:p w14:paraId="6585E37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5C752D8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3.1.</w:t>
      </w:r>
      <w:r>
        <w:rPr>
          <w:rFonts w:hAnsi="宋体"/>
          <w:szCs w:val="24"/>
        </w:rPr>
        <w:t>9</w:t>
      </w:r>
      <w:r>
        <w:rPr>
          <w:rFonts w:hAnsi="宋体" w:hint="eastAsia"/>
          <w:szCs w:val="24"/>
        </w:rPr>
        <w:t>基金托管人依照相关法律法规的规定和基金合同的约定，对侧</w:t>
      </w:r>
      <w:proofErr w:type="gramStart"/>
      <w:r>
        <w:rPr>
          <w:rFonts w:hAnsi="宋体" w:hint="eastAsia"/>
          <w:szCs w:val="24"/>
        </w:rPr>
        <w:t>袋机制</w:t>
      </w:r>
      <w:proofErr w:type="gramEnd"/>
      <w:r>
        <w:rPr>
          <w:rFonts w:hAnsi="宋体" w:hint="eastAsia"/>
          <w:szCs w:val="24"/>
        </w:rPr>
        <w:t>启用、特定资产处置和信息披露等方面进行复核和监督。</w:t>
      </w:r>
      <w:proofErr w:type="gramStart"/>
      <w:r>
        <w:rPr>
          <w:rFonts w:hAnsi="宋体" w:hint="eastAsia"/>
          <w:szCs w:val="24"/>
        </w:rPr>
        <w:t>侧袋机制</w:t>
      </w:r>
      <w:proofErr w:type="gramEnd"/>
      <w:r>
        <w:rPr>
          <w:rFonts w:hAnsi="宋体" w:hint="eastAsia"/>
          <w:szCs w:val="24"/>
        </w:rPr>
        <w:t>实施期间的具体规则依照相关法律法规的规定和基金合同的约定执行。</w:t>
      </w:r>
    </w:p>
    <w:p w14:paraId="16600B8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3.2基金托管人对基金管理人业务进行监督和核查的有关措施：</w:t>
      </w:r>
    </w:p>
    <w:p w14:paraId="7DA6129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72392E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3.2.2基金托管人发现基金管理人的投资运作及其他运作违反《基金法》、基金合同、本托管协议及其他有关规定或约定时，应及时以书面形式通知基金管理人限期纠正，基金管理人收到通知后应及时核对，并以书面形式向基金托管人发出回函，进行解释或举证。</w:t>
      </w:r>
    </w:p>
    <w:p w14:paraId="5AC696C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3.2.3在限期内，基金托管人有权随时对通知事项进行复查，督促基金管理人改正。基金管理人对基金托管人通知的违规事项未能在限期内纠正的，基金托管人应报告中国证监会。</w:t>
      </w:r>
    </w:p>
    <w:p w14:paraId="0F9356B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3.2.4基金托管人发现基金管理人的投资指令违反有关法律法规规定或者违反基金合同约定的，应当拒绝执行，并立即通知基金管理人。</w:t>
      </w:r>
    </w:p>
    <w:p w14:paraId="22727F1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1D81D88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195C06E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3.2.7基金托管人发现基金管理人有重大违规行为，应立即报告中国证监会，同时通知基金管理人限期纠正。</w:t>
      </w:r>
    </w:p>
    <w:p w14:paraId="7A81F30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66546FD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3.2.9基金托管人对资金来源、投资收益及投资安全不承担审核责任，特别是对于本基金所投标的</w:t>
      </w:r>
      <w:proofErr w:type="gramStart"/>
      <w:r>
        <w:rPr>
          <w:rFonts w:hAnsi="宋体" w:hint="eastAsia"/>
          <w:szCs w:val="24"/>
        </w:rPr>
        <w:t>的</w:t>
      </w:r>
      <w:proofErr w:type="gramEnd"/>
      <w:r>
        <w:rPr>
          <w:rFonts w:hAnsi="宋体" w:hint="eastAsia"/>
          <w:szCs w:val="24"/>
        </w:rPr>
        <w:t>后续资金使用情况无审核责任，不保证托管财产投资不受损</w:t>
      </w:r>
      <w:r>
        <w:rPr>
          <w:rFonts w:hAnsi="宋体" w:hint="eastAsia"/>
          <w:szCs w:val="24"/>
        </w:rPr>
        <w:lastRenderedPageBreak/>
        <w:t>失，不保证最低收益。</w:t>
      </w:r>
    </w:p>
    <w:p w14:paraId="5052618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w:t>
      </w:r>
      <w:r>
        <w:rPr>
          <w:rFonts w:hAnsi="宋体"/>
          <w:szCs w:val="24"/>
        </w:rPr>
        <w:t>.2.10</w:t>
      </w:r>
      <w:r>
        <w:rPr>
          <w:rFonts w:hAnsi="宋体" w:hint="eastAsia"/>
          <w:szCs w:val="24"/>
        </w:rPr>
        <w:t>基金管理人应遵守中华人民共和国反洗钱相关法律法规，不参与涉嫌洗钱、恐怖融资、扩散融资等违法犯罪活动；为履行反洗钱法定义务之目的，在法律法规规定范围内配合基金托管</w:t>
      </w:r>
      <w:proofErr w:type="gramStart"/>
      <w:r>
        <w:rPr>
          <w:rFonts w:hAnsi="宋体" w:hint="eastAsia"/>
          <w:szCs w:val="24"/>
        </w:rPr>
        <w:t>人客户</w:t>
      </w:r>
      <w:proofErr w:type="gramEnd"/>
      <w:r>
        <w:rPr>
          <w:rFonts w:hAnsi="宋体" w:hint="eastAsia"/>
          <w:szCs w:val="24"/>
        </w:rPr>
        <w:t>身份识别与尽职调查，在基金托管人受到反洗钱监管检查等必要情形时在法律法规规定范围内提供真实、准确、完整客户资料，遵守基金托管人反洗钱与反恐怖融资相关管理规定。对具备合理理由怀疑涉嫌洗钱、恐怖融资的客户，基金托管人将按照中国人民银行反洗钱监管规定采取必要管控措施。</w:t>
      </w:r>
    </w:p>
    <w:p w14:paraId="0374E951" w14:textId="77777777" w:rsidR="003D47C1" w:rsidRDefault="00000000">
      <w:pPr>
        <w:pStyle w:val="1"/>
        <w:spacing w:line="520" w:lineRule="atLeast"/>
        <w:ind w:firstLineChars="200" w:firstLine="482"/>
        <w:rPr>
          <w:rFonts w:hint="eastAsia"/>
          <w:bCs/>
          <w:color w:val="auto"/>
          <w:szCs w:val="24"/>
        </w:rPr>
      </w:pPr>
      <w:bookmarkStart w:id="30" w:name="_Toc130978948"/>
      <w:bookmarkStart w:id="31" w:name="_Toc296551340"/>
      <w:r>
        <w:rPr>
          <w:rFonts w:hint="eastAsia"/>
          <w:bCs/>
          <w:color w:val="auto"/>
          <w:szCs w:val="24"/>
        </w:rPr>
        <w:t>第四条 基金管理人对基金托管人的业务核查</w:t>
      </w:r>
      <w:bookmarkEnd w:id="30"/>
      <w:bookmarkEnd w:id="31"/>
    </w:p>
    <w:p w14:paraId="3727776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4.1根据《基金法》及其他有关法规规定和基金合同及本协议约定，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001CA65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或约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权要求基金托管人赔偿基金因此所遭受的损失。</w:t>
      </w:r>
    </w:p>
    <w:p w14:paraId="66268EC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4.3基金管理人发现基金托管人有重大违规行为，应立即报告中国证监会和银行业监督管理机构，同时通知基金托管人限期纠正。</w:t>
      </w:r>
    </w:p>
    <w:p w14:paraId="704152F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4.4基金托管人应积极配合基金管理人的核查行为，包括但不限于：提交相关资料以</w:t>
      </w:r>
      <w:proofErr w:type="gramStart"/>
      <w:r>
        <w:rPr>
          <w:rFonts w:hAnsi="宋体" w:hint="eastAsia"/>
          <w:szCs w:val="24"/>
        </w:rPr>
        <w:t>供基金</w:t>
      </w:r>
      <w:proofErr w:type="gramEnd"/>
      <w:r>
        <w:rPr>
          <w:rFonts w:hAnsi="宋体" w:hint="eastAsia"/>
          <w:szCs w:val="24"/>
        </w:rPr>
        <w:t>管理人核查托管财产的完整性和真实性，在规定时间内答复基金管理人并改正。</w:t>
      </w:r>
    </w:p>
    <w:p w14:paraId="1517FB8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4.5基金托管人无正当理由拒绝、阻挠基金管理人根据本协议规定行使监督权，</w:t>
      </w:r>
      <w:r>
        <w:rPr>
          <w:rFonts w:hAnsi="宋体" w:hint="eastAsia"/>
          <w:szCs w:val="24"/>
        </w:rPr>
        <w:lastRenderedPageBreak/>
        <w:t>或采取拖延、欺诈等手段妨碍基金管理人进行有效监督，情节严重或经基金管理人提出警告仍不改正的，基金管理人应报告中国证监会。</w:t>
      </w:r>
    </w:p>
    <w:p w14:paraId="541986B8" w14:textId="77777777" w:rsidR="003D47C1" w:rsidRDefault="00000000">
      <w:pPr>
        <w:pStyle w:val="1"/>
        <w:spacing w:line="520" w:lineRule="atLeast"/>
        <w:ind w:firstLineChars="200" w:firstLine="482"/>
        <w:rPr>
          <w:rFonts w:hint="eastAsia"/>
          <w:bCs/>
          <w:color w:val="auto"/>
          <w:szCs w:val="24"/>
        </w:rPr>
      </w:pPr>
      <w:bookmarkStart w:id="32" w:name="_Toc296551341"/>
      <w:bookmarkStart w:id="33" w:name="_Toc130978949"/>
      <w:r>
        <w:rPr>
          <w:rFonts w:hint="eastAsia"/>
          <w:bCs/>
          <w:color w:val="auto"/>
          <w:szCs w:val="24"/>
        </w:rPr>
        <w:t>第五条 基金财产保管</w:t>
      </w:r>
      <w:bookmarkEnd w:id="32"/>
      <w:bookmarkEnd w:id="33"/>
    </w:p>
    <w:p w14:paraId="7252136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5.1基金财产保管的原则</w:t>
      </w:r>
    </w:p>
    <w:p w14:paraId="51BFA9C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5.1.1基金财产应独立于基金管理人、基金托管人的固有财产。</w:t>
      </w:r>
    </w:p>
    <w:p w14:paraId="40E193F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5.1.2基金托管人应安全保管基金财产。除依据法律法规规定、基金合同和本托管协议约定及基金管理人的正当指令外，不得自行运用、处分、分配基金的任何财产。</w:t>
      </w:r>
    </w:p>
    <w:p w14:paraId="28F5F53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5.1.3基金托管人按照规定开设基金财产的资金账户和证券账户等投资所需的其他账户。</w:t>
      </w:r>
    </w:p>
    <w:p w14:paraId="7ECD4FA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5.1.4基金托管人对所托管的不同基金财产分别设置账户，与基金托管人的其他业务和其他基金的托管业务实行严格的分账管理、独立核算，确保基金财产的完整与独立。</w:t>
      </w:r>
    </w:p>
    <w:p w14:paraId="2576234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5.1.5基金托管人根据基金管理人的指令，按照基金合同和本协议的约定保管基金财产，如有特殊情况双方可另行协商解决。</w:t>
      </w:r>
    </w:p>
    <w:p w14:paraId="4034DBD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5.1.6除依据法律法规和基金合同的规定和约定外，基金托管人不得委托第三人托管基金资产。</w:t>
      </w:r>
    </w:p>
    <w:p w14:paraId="46E3DBD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5.2募集资金的验资</w:t>
      </w:r>
    </w:p>
    <w:p w14:paraId="2E76B608" w14:textId="77777777" w:rsidR="003D47C1" w:rsidRDefault="00000000">
      <w:pPr>
        <w:pStyle w:val="CharCharCharCharCharCharChar"/>
        <w:adjustRightInd/>
        <w:spacing w:line="520" w:lineRule="atLeast"/>
        <w:ind w:firstLineChars="200" w:firstLine="480"/>
        <w:rPr>
          <w:rFonts w:hAnsi="宋体" w:hint="eastAsia"/>
          <w:szCs w:val="24"/>
        </w:rPr>
      </w:pPr>
      <w:r>
        <w:rPr>
          <w:rFonts w:ascii="宋体" w:hAnsi="宋体" w:hint="eastAsia"/>
          <w:szCs w:val="24"/>
        </w:rPr>
        <w:t>5.2.1基金募集期间募集的资金应存于基金管理人在基金托管人的营业机构或在其他银行开立的基金募集专户，该账户由基金管理人委托的登记机构开立并管理。</w:t>
      </w:r>
    </w:p>
    <w:p w14:paraId="1B32175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Pr>
          <w:rFonts w:hAnsi="宋体" w:hint="eastAsia"/>
          <w:szCs w:val="24"/>
        </w:rPr>
        <w:t>请符合</w:t>
      </w:r>
      <w:proofErr w:type="gramEnd"/>
      <w:r>
        <w:rPr>
          <w:rFonts w:hAnsi="宋体" w:hint="eastAsia"/>
          <w:szCs w:val="24"/>
        </w:rPr>
        <w:t>《中华人民共和国证券法》规定的会计师事务所进行验资，出具验资报告，出具的验资报告应由参加验资的2名以上（含2名）中国注册会计师签字有效。</w:t>
      </w:r>
    </w:p>
    <w:p w14:paraId="6BB6348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5.2.3</w:t>
      </w:r>
      <w:proofErr w:type="gramStart"/>
      <w:r>
        <w:rPr>
          <w:rFonts w:hAnsi="宋体" w:hint="eastAsia"/>
          <w:szCs w:val="24"/>
        </w:rPr>
        <w:t>若基金</w:t>
      </w:r>
      <w:proofErr w:type="gramEnd"/>
      <w:r>
        <w:rPr>
          <w:rFonts w:hAnsi="宋体" w:hint="eastAsia"/>
          <w:szCs w:val="24"/>
        </w:rPr>
        <w:t>募集期限届满，未能达到基金备案条件，由基金管理人按规定办理退款事宜，基金托管人应提供充分协助与配合。</w:t>
      </w:r>
    </w:p>
    <w:p w14:paraId="480AFE2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5.3基金的银行账户的开立和管理</w:t>
      </w:r>
    </w:p>
    <w:p w14:paraId="68C524F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5.3.1基金托管人以本基金的名义在其营业机构开立基金的银行账户，并根据基金管理人合法合</w:t>
      </w:r>
      <w:proofErr w:type="gramStart"/>
      <w:r>
        <w:rPr>
          <w:rFonts w:hAnsi="宋体" w:hint="eastAsia"/>
          <w:szCs w:val="24"/>
        </w:rPr>
        <w:t>规</w:t>
      </w:r>
      <w:proofErr w:type="gramEnd"/>
      <w:r>
        <w:rPr>
          <w:rFonts w:hAnsi="宋体" w:hint="eastAsia"/>
          <w:szCs w:val="24"/>
        </w:rPr>
        <w:t>的指令办理资金收付。本基金的银行预留印鉴由基金托管人刻制、保管和使用。</w:t>
      </w:r>
    </w:p>
    <w:p w14:paraId="6E27E8C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0C1AEED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5.3.3基金银行账户的开立和管理应符合有关法律法规以及银行业监督管理机构的有关规定。</w:t>
      </w:r>
    </w:p>
    <w:p w14:paraId="00499D6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5.4基金证券账户与证券交易资金账户的开设和管理</w:t>
      </w:r>
    </w:p>
    <w:p w14:paraId="23273B9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5.4.1基金托管人以基金托管人和本基金联名的方式在中国证券登记结算有限责任公司（以下简称“中登公司”）开设证券账户。</w:t>
      </w:r>
    </w:p>
    <w:p w14:paraId="3326409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5.4.2基金托管人以基金名义在中登公司开立基金证券交易资金账户，用于证券清算。</w:t>
      </w:r>
    </w:p>
    <w:p w14:paraId="5D899BB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5.4.3基金证券账户的开立和使用，限于满足开展本基金业务的需要。基金托管人和基金管理人不得出借和未经对方同意擅自转让基金的任何证券账户；亦不得使用基金的任何账户进行本基金业务以外的活动。</w:t>
      </w:r>
    </w:p>
    <w:p w14:paraId="03272BF9" w14:textId="77777777" w:rsidR="003D47C1" w:rsidRDefault="00000000">
      <w:pPr>
        <w:pStyle w:val="20"/>
        <w:spacing w:line="520" w:lineRule="atLeast"/>
        <w:ind w:left="0" w:firstLine="420"/>
        <w:rPr>
          <w:rFonts w:hAnsi="宋体" w:hint="eastAsia"/>
          <w:szCs w:val="24"/>
        </w:rPr>
      </w:pPr>
      <w:r>
        <w:rPr>
          <w:rFonts w:hAnsi="宋体" w:hint="eastAsia"/>
          <w:szCs w:val="24"/>
        </w:rPr>
        <w:t>5.4.4基金证券账户相关证明文件的保管由基金托管人负责，账户资产的管理和运用由基金管理人负责。</w:t>
      </w:r>
    </w:p>
    <w:p w14:paraId="10CEB24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5.5债券托管账户的开立和管理</w:t>
      </w:r>
    </w:p>
    <w:p w14:paraId="649AC1F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2010D01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5.5.2基金管理人和基金托管人应一起负责为基金对外签订全国银行间国债市场回购主协议，正本由基金管理人保存。</w:t>
      </w:r>
    </w:p>
    <w:p w14:paraId="400CD42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5.6其他账户的开设和管理</w:t>
      </w:r>
    </w:p>
    <w:p w14:paraId="4732EFE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82A125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5.7基金财产投资的有关实物证券</w:t>
      </w:r>
      <w:bookmarkStart w:id="34" w:name="OLE_LINK30"/>
      <w:r>
        <w:rPr>
          <w:rFonts w:hAnsi="宋体" w:hint="eastAsia"/>
          <w:szCs w:val="24"/>
        </w:rPr>
        <w:t>、银行定期存款存单</w:t>
      </w:r>
      <w:bookmarkEnd w:id="34"/>
      <w:r>
        <w:rPr>
          <w:rFonts w:hAnsi="宋体" w:hint="eastAsia"/>
          <w:szCs w:val="24"/>
        </w:rPr>
        <w:t>等有价凭证的保管</w:t>
      </w:r>
    </w:p>
    <w:p w14:paraId="510E478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财产投资的有关实物证券、银行定期存款存单等有价凭证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2BDB018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5.8与基金财产有关的重大合同的保管</w:t>
      </w:r>
    </w:p>
    <w:p w14:paraId="0BD658B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尽量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保存期限不少于法律法规或监管规则规定的</w:t>
      </w:r>
      <w:r>
        <w:rPr>
          <w:rFonts w:hAnsi="宋体"/>
          <w:szCs w:val="24"/>
        </w:rPr>
        <w:t>最低期限</w:t>
      </w:r>
      <w:r>
        <w:rPr>
          <w:rFonts w:hAnsi="宋体" w:hint="eastAsia"/>
          <w:szCs w:val="24"/>
        </w:rPr>
        <w:t>。对于无法取得二份以上的正本的，基金管理人应向基金托管人提供加盖授权业务章的合同传真件，未经双方协商或未在合同约定范围内，合同原件不得转移，由基金管理人保管。</w:t>
      </w:r>
    </w:p>
    <w:p w14:paraId="3915E83A" w14:textId="77777777" w:rsidR="003D47C1" w:rsidRDefault="00000000">
      <w:pPr>
        <w:pStyle w:val="1"/>
        <w:spacing w:line="520" w:lineRule="atLeast"/>
        <w:ind w:firstLineChars="200" w:firstLine="482"/>
        <w:rPr>
          <w:rFonts w:hint="eastAsia"/>
          <w:bCs/>
          <w:color w:val="auto"/>
          <w:szCs w:val="24"/>
        </w:rPr>
      </w:pPr>
      <w:bookmarkStart w:id="35" w:name="_Toc130978950"/>
      <w:bookmarkStart w:id="36" w:name="_Toc296551342"/>
      <w:r>
        <w:rPr>
          <w:rFonts w:hint="eastAsia"/>
          <w:bCs/>
          <w:color w:val="auto"/>
          <w:szCs w:val="24"/>
        </w:rPr>
        <w:t>第六条 指令的发送、确认和执行</w:t>
      </w:r>
      <w:bookmarkEnd w:id="35"/>
      <w:bookmarkEnd w:id="36"/>
    </w:p>
    <w:p w14:paraId="187AD60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6.1基金管理人对发送指令人员的书面授权</w:t>
      </w:r>
    </w:p>
    <w:p w14:paraId="3B72C0E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应事先向基金托管人提供书面授权通知（以下简称“授权通知”），指定有权发送指令的人员（以下简称“被授权人”）名单、预留印鉴和被授权人签章样本，注明相应的交易权限，并规定基金管理人向基金托管人发送指令时基金托管人确认被授权人身份的方法。授权通知应加盖基金管理人公章。基金管理人应使</w:t>
      </w:r>
      <w:r>
        <w:rPr>
          <w:rFonts w:hAnsi="宋体" w:hint="eastAsia"/>
          <w:szCs w:val="24"/>
        </w:rPr>
        <w:lastRenderedPageBreak/>
        <w:t>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3个工作日内将授权通知的正本送交基金托管人。授权通知正本内容应与基金托管人收到的传真内容</w:t>
      </w:r>
      <w:r>
        <w:rPr>
          <w:rFonts w:hAnsi="宋体"/>
          <w:szCs w:val="24"/>
        </w:rPr>
        <w:t>一致，若有</w:t>
      </w:r>
      <w:r>
        <w:rPr>
          <w:rFonts w:hAnsi="宋体" w:hint="eastAsia"/>
          <w:szCs w:val="24"/>
        </w:rPr>
        <w:t>不一致的，以基金托管人收到的传真为准。</w:t>
      </w:r>
    </w:p>
    <w:p w14:paraId="3C5E8A3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基金管理人和基金托管人对授权通知负有保密义务，其内容不得向被授权人及相关操作人员以外的任何人泄露，</w:t>
      </w:r>
      <w:r>
        <w:rPr>
          <w:rFonts w:hAnsi="宋体"/>
          <w:szCs w:val="24"/>
        </w:rPr>
        <w:t>法律法规另有规定</w:t>
      </w:r>
      <w:r>
        <w:rPr>
          <w:rFonts w:hAnsi="宋体" w:hint="eastAsia"/>
          <w:szCs w:val="24"/>
        </w:rPr>
        <w:t>或</w:t>
      </w:r>
      <w:r>
        <w:rPr>
          <w:rFonts w:hAnsi="宋体"/>
          <w:szCs w:val="24"/>
        </w:rPr>
        <w:t>有权机关另有要求的除外</w:t>
      </w:r>
      <w:r>
        <w:rPr>
          <w:rFonts w:hAnsi="宋体" w:hint="eastAsia"/>
          <w:szCs w:val="24"/>
        </w:rPr>
        <w:t>。</w:t>
      </w:r>
    </w:p>
    <w:p w14:paraId="11E98AA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6.2指令的内容</w:t>
      </w:r>
    </w:p>
    <w:p w14:paraId="4779936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1E194CC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6.3指令的发送、确认和执行的时间和程序</w:t>
      </w:r>
    </w:p>
    <w:p w14:paraId="4BA3777C" w14:textId="77777777" w:rsidR="003D47C1" w:rsidRDefault="00000000">
      <w:pPr>
        <w:pStyle w:val="20"/>
        <w:spacing w:before="0" w:after="0" w:line="520" w:lineRule="atLeast"/>
        <w:ind w:left="0" w:firstLineChars="200" w:firstLine="480"/>
        <w:rPr>
          <w:rFonts w:hAnsi="宋体" w:hint="eastAsia"/>
          <w:szCs w:val="24"/>
        </w:rPr>
      </w:pPr>
      <w:bookmarkStart w:id="37" w:name="OLE_LINK75"/>
      <w:bookmarkStart w:id="38" w:name="OLE_LINK76"/>
      <w:r>
        <w:rPr>
          <w:rFonts w:hAnsi="宋体" w:hint="eastAsia"/>
          <w:szCs w:val="24"/>
        </w:rPr>
        <w:t>6.3.1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相关责任。基金托管人依照“授权通知”规定的方法确认指令有效后，方可执行指令。对于被授权人在授权范围内发出的指令，基金管理人不得否认其效力。基金托管人正确执行基金管理人发送的有效指令，基金份额持有人或基金财产发生损失的，基金托管人不承担相关责任。基金管理人应按照《基金法》、有关法律法规的规定和基金合同的约定，在其合法的经营权限和交易权限内发送划款指令，被授权人应按照其授权权限发送划款指令。基金管理人在发送指令时，应为基金托管人留出2小时</w:t>
      </w:r>
      <w:r>
        <w:rPr>
          <w:rFonts w:hAnsi="宋体"/>
          <w:szCs w:val="24"/>
        </w:rPr>
        <w:t>，作为</w:t>
      </w:r>
      <w:r>
        <w:rPr>
          <w:rFonts w:hAnsi="宋体" w:hint="eastAsia"/>
          <w:szCs w:val="24"/>
        </w:rPr>
        <w:t>执行指令所必需的时间。由基金管理</w:t>
      </w:r>
      <w:proofErr w:type="gramStart"/>
      <w:r>
        <w:rPr>
          <w:rFonts w:hAnsi="宋体" w:hint="eastAsia"/>
          <w:szCs w:val="24"/>
        </w:rPr>
        <w:t>人原因</w:t>
      </w:r>
      <w:proofErr w:type="gramEnd"/>
      <w:r>
        <w:rPr>
          <w:rFonts w:hAnsi="宋体" w:hint="eastAsia"/>
          <w:szCs w:val="24"/>
        </w:rPr>
        <w:t>造成的指令传输不及时、未能留出足够划款所需时间，基金托管人不承担资金未能及时到账所造成的损失。</w:t>
      </w:r>
    </w:p>
    <w:bookmarkEnd w:id="37"/>
    <w:bookmarkEnd w:id="38"/>
    <w:p w14:paraId="592BC04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6.3.2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Pr>
          <w:rFonts w:hAnsi="宋体" w:hint="eastAsia"/>
          <w:szCs w:val="24"/>
        </w:rPr>
        <w:t>方带来</w:t>
      </w:r>
      <w:proofErr w:type="gramEnd"/>
      <w:r>
        <w:rPr>
          <w:rFonts w:hAnsi="宋体" w:hint="eastAsia"/>
          <w:szCs w:val="24"/>
        </w:rPr>
        <w:t>的损失，基金托管人由此</w:t>
      </w:r>
      <w:r>
        <w:rPr>
          <w:rFonts w:hAnsi="宋体" w:hint="eastAsia"/>
          <w:szCs w:val="24"/>
        </w:rPr>
        <w:lastRenderedPageBreak/>
        <w:t>遭受的损失，由基金管理人负责相应赔偿，但基金托管人未按协议约定尽审核义务执行指令而造成损失的情形除外。</w:t>
      </w:r>
    </w:p>
    <w:p w14:paraId="7E7CB47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w:t>
      </w:r>
      <w:r>
        <w:rPr>
          <w:rFonts w:hAnsi="宋体"/>
          <w:szCs w:val="24"/>
        </w:rPr>
        <w:t>3</w:t>
      </w:r>
      <w:r>
        <w:rPr>
          <w:rFonts w:hAnsi="宋体" w:hint="eastAsia"/>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相关责任。基金托管人</w:t>
      </w:r>
      <w:r>
        <w:rPr>
          <w:rFonts w:hAnsi="宋体"/>
          <w:szCs w:val="24"/>
        </w:rPr>
        <w:t>由此</w:t>
      </w:r>
      <w:r>
        <w:rPr>
          <w:rFonts w:hAnsi="宋体" w:hint="eastAsia"/>
          <w:szCs w:val="24"/>
        </w:rPr>
        <w:t>遭受</w:t>
      </w:r>
      <w:r>
        <w:rPr>
          <w:rFonts w:hAnsi="宋体"/>
          <w:szCs w:val="24"/>
        </w:rPr>
        <w:t>的损失，由基金管理人负责</w:t>
      </w:r>
      <w:r>
        <w:rPr>
          <w:rFonts w:hAnsi="宋体" w:hint="eastAsia"/>
          <w:szCs w:val="24"/>
        </w:rPr>
        <w:t>相应</w:t>
      </w:r>
      <w:r>
        <w:rPr>
          <w:rFonts w:hAnsi="宋体"/>
          <w:szCs w:val="24"/>
        </w:rPr>
        <w:t>赔偿。</w:t>
      </w:r>
    </w:p>
    <w:p w14:paraId="1124346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w:t>
      </w:r>
      <w:r>
        <w:rPr>
          <w:rFonts w:hAnsi="宋体"/>
          <w:szCs w:val="24"/>
        </w:rPr>
        <w:t>4</w:t>
      </w:r>
      <w:r>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Pr>
          <w:rFonts w:hAnsi="宋体" w:hint="eastAsia"/>
          <w:szCs w:val="24"/>
        </w:rPr>
        <w:t>指令仅</w:t>
      </w:r>
      <w:proofErr w:type="gramEnd"/>
      <w:r>
        <w:rPr>
          <w:rFonts w:hAnsi="宋体" w:hint="eastAsia"/>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34FB91A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w:t>
      </w:r>
      <w:r>
        <w:rPr>
          <w:rFonts w:hAnsi="宋体"/>
          <w:szCs w:val="24"/>
        </w:rPr>
        <w:t>5</w:t>
      </w:r>
      <w:r>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320FE15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6.3.</w:t>
      </w:r>
      <w:r>
        <w:rPr>
          <w:rFonts w:hAnsi="宋体"/>
          <w:szCs w:val="24"/>
        </w:rPr>
        <w:t>6</w:t>
      </w:r>
      <w:r>
        <w:rPr>
          <w:rFonts w:hAnsi="宋体" w:hint="eastAsia"/>
          <w:szCs w:val="24"/>
        </w:rPr>
        <w:t>基金管理人应将</w:t>
      </w:r>
      <w:r>
        <w:rPr>
          <w:rFonts w:hAnsi="宋体"/>
          <w:szCs w:val="24"/>
        </w:rPr>
        <w:t>同业市场国债</w:t>
      </w:r>
      <w:r>
        <w:rPr>
          <w:rFonts w:hAnsi="宋体" w:hint="eastAsia"/>
          <w:szCs w:val="24"/>
        </w:rPr>
        <w:t>交易通知单加盖预留印鉴后传真给基金托管人。</w:t>
      </w:r>
    </w:p>
    <w:p w14:paraId="2645152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6.4基金管理人发送错误指令的情形和处理程序</w:t>
      </w:r>
    </w:p>
    <w:p w14:paraId="434A7D9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6.4.1基金管理人发送错误指令的情形包括指令违反相关法律法规或基金合同、指令发送人员无权或超越权限发送指令及交割信息错误，指令中重要信息模糊不清</w:t>
      </w:r>
      <w:r>
        <w:rPr>
          <w:rFonts w:hAnsi="宋体" w:hint="eastAsia"/>
          <w:szCs w:val="24"/>
        </w:rPr>
        <w:lastRenderedPageBreak/>
        <w:t>或不全等。</w:t>
      </w:r>
    </w:p>
    <w:p w14:paraId="1BC1220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6.4.2基金托管人在履行监督职能时，发现基金管理人的指令错误时，有权视情况暂缓或拒绝执行，并及时通知基金管理人改正。</w:t>
      </w:r>
    </w:p>
    <w:p w14:paraId="5B4389B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6.5基金托管人依照法律法规暂缓、拒绝执行指令的情形和处理程序</w:t>
      </w:r>
    </w:p>
    <w:p w14:paraId="4907E2A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托管人发现基金管理人发送的指令违反《基金法》、基金合同、本协议或有关基金法规的有关规定或约定，有权视情况暂缓执行或不予执行，并应及时通知基金管理人纠正，基金托管人不承担相关损失和责任。对基金管理人更正并重新发送后的指令经基金托管人核对确认后方能执行。</w:t>
      </w:r>
    </w:p>
    <w:p w14:paraId="4E8F66C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6.6基金托管人未按照基金管理人指令执行的处理方法</w:t>
      </w:r>
    </w:p>
    <w:p w14:paraId="6E66C40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基金托管人由于自身过错原因造成未按照或者未及时按照基金管理人发送的符合法律法规规定以及基金合同、本协议约定的指令执行，给基金份额持有人或</w:t>
      </w:r>
      <w:r>
        <w:rPr>
          <w:rFonts w:hAnsi="宋体"/>
          <w:szCs w:val="24"/>
        </w:rPr>
        <w:t>基金财产</w:t>
      </w:r>
      <w:r>
        <w:rPr>
          <w:rFonts w:hAnsi="宋体" w:hint="eastAsia"/>
          <w:szCs w:val="24"/>
        </w:rPr>
        <w:t>造成损失的，应承担相应的责任，但如遇到不可抗力的情况除外。</w:t>
      </w:r>
    </w:p>
    <w:p w14:paraId="777AEAF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6.7更换被授权人的程序</w:t>
      </w:r>
    </w:p>
    <w:p w14:paraId="4194654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撤换被授权人或改变被授权人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74FE88D8" w14:textId="77777777" w:rsidR="003D47C1" w:rsidRDefault="00000000">
      <w:pPr>
        <w:pStyle w:val="1"/>
        <w:spacing w:line="520" w:lineRule="atLeast"/>
        <w:ind w:firstLineChars="200" w:firstLine="482"/>
        <w:rPr>
          <w:rFonts w:hint="eastAsia"/>
          <w:bCs/>
          <w:color w:val="auto"/>
          <w:szCs w:val="24"/>
        </w:rPr>
      </w:pPr>
      <w:bookmarkStart w:id="39" w:name="_Toc130978951"/>
      <w:r>
        <w:rPr>
          <w:rFonts w:hint="eastAsia"/>
          <w:bCs/>
          <w:color w:val="auto"/>
          <w:szCs w:val="24"/>
        </w:rPr>
        <w:t>第七条 交易及清算交收安排</w:t>
      </w:r>
      <w:bookmarkEnd w:id="39"/>
      <w:r>
        <w:rPr>
          <w:rFonts w:hint="eastAsia"/>
          <w:bCs/>
          <w:color w:val="auto"/>
          <w:szCs w:val="24"/>
        </w:rPr>
        <w:t xml:space="preserve"> </w:t>
      </w:r>
    </w:p>
    <w:p w14:paraId="63D4B2D0" w14:textId="77777777" w:rsidR="003D47C1" w:rsidRDefault="00000000">
      <w:pPr>
        <w:pStyle w:val="20"/>
        <w:spacing w:before="0" w:after="0" w:line="520" w:lineRule="atLeast"/>
        <w:rPr>
          <w:rFonts w:hAnsi="宋体" w:hint="eastAsia"/>
          <w:szCs w:val="24"/>
        </w:rPr>
      </w:pPr>
      <w:r>
        <w:rPr>
          <w:rFonts w:hAnsi="宋体" w:hint="eastAsia"/>
          <w:szCs w:val="24"/>
        </w:rPr>
        <w:t>7.1选择代理证券/期货买卖的证券/期货经营机构</w:t>
      </w:r>
    </w:p>
    <w:p w14:paraId="71DCC893"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7.1.1基金管理人应制</w:t>
      </w:r>
      <w:proofErr w:type="gramStart"/>
      <w:r>
        <w:rPr>
          <w:rFonts w:hAnsi="宋体" w:hint="eastAsia"/>
          <w:szCs w:val="24"/>
        </w:rPr>
        <w:t>定选择</w:t>
      </w:r>
      <w:proofErr w:type="gramEnd"/>
      <w:r>
        <w:rPr>
          <w:rFonts w:hAnsi="宋体" w:hint="eastAsia"/>
          <w:szCs w:val="24"/>
        </w:rPr>
        <w:t>代理证券买卖的证券经营机构的标准和程序。基金管理人负责选择代理本基金证券买卖的证券经营机构，使用其交易单元作为基金的专用交易单元。基金管理人和被选中的证券经营机构签订委托协议，由基金管理</w:t>
      </w:r>
      <w:r>
        <w:rPr>
          <w:rFonts w:hAnsi="宋体" w:hint="eastAsia"/>
          <w:szCs w:val="24"/>
        </w:rPr>
        <w:lastRenderedPageBreak/>
        <w:t>人提前通知基金托管人，并在法定信息披露公告中披露有关内容。交易单元保证金由被选中的证券经营机构支付。</w:t>
      </w:r>
    </w:p>
    <w:p w14:paraId="3E07A8A3"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7.1.2基金管理人应及时将基金专用交易单元号、佣金费率等基本信息以及变更情况以书面形式通知基金托管人。</w:t>
      </w:r>
    </w:p>
    <w:p w14:paraId="46DD4B28"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7.1.3基金管理人负责选择代理本基金期货交易的期货经纪机构，并与其签订期货经纪合同，其他事宜根据法律法规、《基金合同》的相关规定和约定执行，若无明确规定的，可参照有关证券买卖、证券经营机构选择的规则执行。</w:t>
      </w:r>
    </w:p>
    <w:p w14:paraId="3299247C" w14:textId="77777777" w:rsidR="003D47C1" w:rsidRDefault="00000000">
      <w:pPr>
        <w:pStyle w:val="20"/>
        <w:spacing w:before="0" w:after="0" w:line="520" w:lineRule="atLeast"/>
        <w:rPr>
          <w:rFonts w:hAnsi="宋体" w:hint="eastAsia"/>
          <w:szCs w:val="24"/>
        </w:rPr>
      </w:pPr>
      <w:r>
        <w:rPr>
          <w:rFonts w:hAnsi="宋体" w:hint="eastAsia"/>
          <w:szCs w:val="24"/>
        </w:rPr>
        <w:t>7.2清算与交割</w:t>
      </w:r>
    </w:p>
    <w:p w14:paraId="3819728D" w14:textId="77777777" w:rsidR="003D47C1" w:rsidRDefault="00000000">
      <w:pPr>
        <w:pStyle w:val="20"/>
        <w:spacing w:before="0" w:after="0" w:line="520" w:lineRule="atLeast"/>
        <w:rPr>
          <w:rFonts w:hAnsi="宋体" w:hint="eastAsia"/>
          <w:szCs w:val="24"/>
        </w:rPr>
      </w:pPr>
      <w:r>
        <w:rPr>
          <w:rFonts w:hAnsi="宋体" w:hint="eastAsia"/>
          <w:szCs w:val="24"/>
        </w:rPr>
        <w:t>7.2.1基金投资证券后的清算交收安排</w:t>
      </w:r>
    </w:p>
    <w:p w14:paraId="434C6C54"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基金管理人与基金托管人应根据有关法律法规及相关业务规则，签订《证券交易资金结算协议》，用以具体明确基金管理人与基金托管人在证券交易资金结算业务中的责任。</w:t>
      </w:r>
    </w:p>
    <w:p w14:paraId="65E4BBF0"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对基金管理人的资金划拨指令，基金托管人在复核无误后应在规定期限内执行，不得无故延误。</w:t>
      </w:r>
    </w:p>
    <w:p w14:paraId="130AD5D5"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本基金投资于证券发生的所有场内、场外交易的资金清算交割，全部由基金托管人负责办理。</w:t>
      </w:r>
    </w:p>
    <w:p w14:paraId="21BA1895"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本基金证券投资的清算交割，由基金托管人通过中登公司及清算代理银行办理。</w:t>
      </w:r>
    </w:p>
    <w:p w14:paraId="7B4DDB8D"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交易及清算交收安排中基金管理人应为基金托管人预留2个小时的指令处理时间，当日15:00之后收到的指令，基金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14:paraId="74EC9EBD" w14:textId="77777777" w:rsidR="003D47C1" w:rsidRDefault="00000000">
      <w:pPr>
        <w:pStyle w:val="20"/>
        <w:spacing w:before="0" w:after="0" w:line="520" w:lineRule="atLeast"/>
        <w:rPr>
          <w:rFonts w:hAnsi="宋体" w:hint="eastAsia"/>
          <w:szCs w:val="24"/>
        </w:rPr>
      </w:pPr>
      <w:r>
        <w:rPr>
          <w:rFonts w:hAnsi="宋体" w:hint="eastAsia"/>
          <w:szCs w:val="24"/>
        </w:rPr>
        <w:t>7.2.2基金出现超买或超卖的责任认定及处理程序</w:t>
      </w:r>
    </w:p>
    <w:p w14:paraId="3492B5DE"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基金托管人在履行监督职能时，如果发现基金投资证券过程中出现超买或超卖现象，应立即提醒基金管理人，由基金管理人负责解决，由此给基金造成的损失由基金管理人承担。</w:t>
      </w:r>
    </w:p>
    <w:p w14:paraId="7B57CD34" w14:textId="77777777" w:rsidR="003D47C1" w:rsidRDefault="00000000">
      <w:pPr>
        <w:pStyle w:val="20"/>
        <w:spacing w:before="0" w:after="0" w:line="520" w:lineRule="atLeast"/>
        <w:rPr>
          <w:rFonts w:hAnsi="宋体" w:hint="eastAsia"/>
          <w:szCs w:val="24"/>
        </w:rPr>
      </w:pPr>
      <w:r>
        <w:rPr>
          <w:rFonts w:hAnsi="宋体" w:hint="eastAsia"/>
          <w:szCs w:val="24"/>
        </w:rPr>
        <w:lastRenderedPageBreak/>
        <w:t>7.2.3基金无法按时支付证券清算款的责任认定及处理程序</w:t>
      </w:r>
    </w:p>
    <w:p w14:paraId="72682FA3"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管理人应确保基金托管人在执行基金管理人发送的指令时，有足够的头寸进行交收。基金的资金头寸不足时，基金托管人有权拒绝基金管理人发送的划款指令，并立即通知基金管理人。基金管理人在发送划款指令时应充分考虑基金托管人的划款处理所需的合理时间。如由于基金管理人的原因导致无法按时支付证券清算款，由此给基金造成的损失由基金管理人承担。</w:t>
      </w:r>
    </w:p>
    <w:p w14:paraId="21F861D9"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在基金资金头寸充足的情况下，基金托管人对基金管理人符合法律法规、基金合同、本托管协议的指令不得拖延或拒绝执行。如由于基金托管人的过错原因导致基金无法按时支付证券清算款，由此给基金、基金管理人造成的损失由基金托管人承担。</w:t>
      </w:r>
    </w:p>
    <w:p w14:paraId="50CE8F62"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7.2.4场外交易资金结算</w:t>
      </w:r>
    </w:p>
    <w:p w14:paraId="1F5F7C5E" w14:textId="77777777" w:rsidR="003D47C1" w:rsidRDefault="00000000">
      <w:pPr>
        <w:pStyle w:val="20"/>
        <w:spacing w:before="0" w:after="0" w:line="520" w:lineRule="atLeast"/>
        <w:ind w:left="0" w:firstLine="480"/>
        <w:rPr>
          <w:rFonts w:hAnsi="宋体" w:hint="eastAsia"/>
          <w:szCs w:val="24"/>
        </w:rPr>
      </w:pPr>
      <w:r>
        <w:rPr>
          <w:rFonts w:hAnsi="宋体" w:hint="eastAsia"/>
          <w:szCs w:val="24"/>
        </w:rPr>
        <w:t>场外资金对外投资划款由基金托管人</w:t>
      </w:r>
      <w:proofErr w:type="gramStart"/>
      <w:r>
        <w:rPr>
          <w:rFonts w:hAnsi="宋体" w:hint="eastAsia"/>
          <w:szCs w:val="24"/>
        </w:rPr>
        <w:t>凭基金</w:t>
      </w:r>
      <w:proofErr w:type="gramEnd"/>
      <w:r>
        <w:rPr>
          <w:rFonts w:hAnsi="宋体" w:hint="eastAsia"/>
          <w:szCs w:val="24"/>
        </w:rPr>
        <w:t>管理人符合本托管协议约定的有效资金划拨指令和相关投资合同（如有）进行资金划拨；</w:t>
      </w:r>
      <w:proofErr w:type="gramStart"/>
      <w:r>
        <w:rPr>
          <w:rFonts w:hAnsi="宋体" w:hint="eastAsia"/>
          <w:szCs w:val="24"/>
        </w:rPr>
        <w:t>场外投资</w:t>
      </w:r>
      <w:proofErr w:type="gramEnd"/>
      <w:r>
        <w:rPr>
          <w:rFonts w:hAnsi="宋体" w:hint="eastAsia"/>
          <w:szCs w:val="24"/>
        </w:rPr>
        <w:t>本金及收益的划回，由基金管理人负责协调相关资金</w:t>
      </w:r>
      <w:proofErr w:type="gramStart"/>
      <w:r>
        <w:rPr>
          <w:rFonts w:hAnsi="宋体" w:hint="eastAsia"/>
          <w:szCs w:val="24"/>
        </w:rPr>
        <w:t>划拨回基金</w:t>
      </w:r>
      <w:proofErr w:type="gramEnd"/>
      <w:r>
        <w:rPr>
          <w:rFonts w:hAnsi="宋体" w:hint="eastAsia"/>
          <w:szCs w:val="24"/>
        </w:rPr>
        <w:t>托管专户事宜。</w:t>
      </w:r>
    </w:p>
    <w:p w14:paraId="2D32ECDA" w14:textId="77777777" w:rsidR="003D47C1" w:rsidRDefault="00000000">
      <w:pPr>
        <w:pStyle w:val="20"/>
        <w:spacing w:before="0" w:after="0" w:line="520" w:lineRule="atLeast"/>
        <w:rPr>
          <w:rFonts w:hAnsi="宋体" w:hint="eastAsia"/>
          <w:szCs w:val="24"/>
        </w:rPr>
      </w:pPr>
      <w:r>
        <w:rPr>
          <w:rFonts w:hAnsi="宋体" w:hint="eastAsia"/>
          <w:szCs w:val="24"/>
        </w:rPr>
        <w:t>7.3资金、证券/期货账目及交易记录的核对</w:t>
      </w:r>
    </w:p>
    <w:p w14:paraId="15B544B5"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7.3.1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6619A19A"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7.3.2对基金的资金账目，由相关各方每日对账一次，确保相关各方账</w:t>
      </w:r>
      <w:proofErr w:type="gramStart"/>
      <w:r>
        <w:rPr>
          <w:rFonts w:hAnsi="宋体" w:hint="eastAsia"/>
          <w:szCs w:val="24"/>
        </w:rPr>
        <w:t>账</w:t>
      </w:r>
      <w:proofErr w:type="gramEnd"/>
      <w:r>
        <w:rPr>
          <w:rFonts w:hAnsi="宋体" w:hint="eastAsia"/>
          <w:szCs w:val="24"/>
        </w:rPr>
        <w:t>相符。对基金证券/期货账目，由相关各方每日进行对账。对实物</w:t>
      </w:r>
      <w:proofErr w:type="gramStart"/>
      <w:r>
        <w:rPr>
          <w:rFonts w:hAnsi="宋体" w:hint="eastAsia"/>
          <w:szCs w:val="24"/>
        </w:rPr>
        <w:t>券</w:t>
      </w:r>
      <w:proofErr w:type="gramEnd"/>
      <w:r>
        <w:rPr>
          <w:rFonts w:hAnsi="宋体" w:hint="eastAsia"/>
          <w:szCs w:val="24"/>
        </w:rPr>
        <w:t>账目，每月月末由相关各方进行账实核对。对交易记录，由相关各方每日对账一次。</w:t>
      </w:r>
    </w:p>
    <w:p w14:paraId="00598696"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7.4申购、赎回、转换开放式基金的资金清算、数据传递及基金管理人、基金托管人的责任</w:t>
      </w:r>
    </w:p>
    <w:p w14:paraId="058CE2B7"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7.4.1基金管理人和基金托管人在基金的申购赎回、转换中的责任</w:t>
      </w:r>
    </w:p>
    <w:p w14:paraId="08E23F22"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基金投资人可通过基金管理人的直销中心和销售机构的销售网点进行申购和赎回申请，基金份额申购、赎回的确认、清算由基金管理人或其委托的登记机构负</w:t>
      </w:r>
      <w:r>
        <w:rPr>
          <w:rFonts w:hAnsi="宋体" w:hint="eastAsia"/>
          <w:szCs w:val="24"/>
        </w:rPr>
        <w:lastRenderedPageBreak/>
        <w:t>责。基金托管人负责接收并确认资金的到账情况，以及依照基金管理人的投资指令划付赎回款项。</w:t>
      </w:r>
    </w:p>
    <w:p w14:paraId="6A9CA31F" w14:textId="77777777" w:rsidR="003D47C1" w:rsidRDefault="00000000">
      <w:pPr>
        <w:pStyle w:val="20"/>
        <w:spacing w:before="0" w:after="0" w:line="520" w:lineRule="atLeast"/>
        <w:rPr>
          <w:rFonts w:hAnsi="宋体" w:hint="eastAsia"/>
          <w:szCs w:val="24"/>
        </w:rPr>
      </w:pPr>
      <w:r>
        <w:rPr>
          <w:rFonts w:hAnsi="宋体" w:hint="eastAsia"/>
          <w:szCs w:val="24"/>
        </w:rPr>
        <w:t>7.4.2基金的数据传递</w:t>
      </w:r>
    </w:p>
    <w:p w14:paraId="162AD6E2"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基金管理人应保证本基金（或本基金管理人委托）的登记机构于每个开放日15：00之前将本基金的申购、赎回、转换的数据传送给基金托管人。基金管理人应对传递的数据的真实性、准确性和完整性负责。</w:t>
      </w:r>
    </w:p>
    <w:p w14:paraId="04826C94"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登记机构应通过与基金管理人建立的系统发送有关数据，如因各种原因，该系统无法正常发送，双方可协商解决处理方式。</w:t>
      </w:r>
    </w:p>
    <w:p w14:paraId="1A8C2064" w14:textId="77777777" w:rsidR="003D47C1" w:rsidRDefault="00000000">
      <w:pPr>
        <w:pStyle w:val="20"/>
        <w:spacing w:before="0" w:after="0" w:line="520" w:lineRule="atLeast"/>
        <w:rPr>
          <w:rFonts w:hAnsi="宋体" w:hint="eastAsia"/>
          <w:szCs w:val="24"/>
        </w:rPr>
      </w:pPr>
      <w:r>
        <w:rPr>
          <w:rFonts w:hAnsi="宋体" w:hint="eastAsia"/>
          <w:szCs w:val="24"/>
        </w:rPr>
        <w:t>7.4.3基金的资金清算</w:t>
      </w:r>
    </w:p>
    <w:p w14:paraId="0CC35FC4"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基金托管专户与“基金清算账户”间的资金结算遵循“全额清算、净额交收”的原则，每日按照托管专户应收资金与应付资金的差额来确定托管</w:t>
      </w:r>
      <w:proofErr w:type="gramStart"/>
      <w:r>
        <w:rPr>
          <w:rFonts w:hAnsi="宋体" w:hint="eastAsia"/>
          <w:szCs w:val="24"/>
        </w:rPr>
        <w:t>专户净应收</w:t>
      </w:r>
      <w:proofErr w:type="gramEnd"/>
      <w:r>
        <w:rPr>
          <w:rFonts w:hAnsi="宋体" w:hint="eastAsia"/>
          <w:szCs w:val="24"/>
        </w:rPr>
        <w:t>额或净应付额，以此确定资金交收额。</w:t>
      </w:r>
    </w:p>
    <w:p w14:paraId="3E3DA7F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如果当日基金为净应收款，基金管理人应在T＋2日15:00之前查收资金是否到账，对于未准时到账的资金，基金管理人应及时划付。如果当日基金为净应付款，基金托管人应根据基金管理人的指令在T+2日中午12:00前进行划付，对于未准时划付的资金，基金管理人应及时通知基金托管人划付。因基金托管专户没有足够的资金，导致基金托管人不能按时拨付，基金托管人应及时通知基金管理人。</w:t>
      </w:r>
    </w:p>
    <w:p w14:paraId="5E616653" w14:textId="77777777" w:rsidR="003D47C1" w:rsidRDefault="00000000">
      <w:pPr>
        <w:pStyle w:val="1"/>
        <w:spacing w:line="520" w:lineRule="atLeast"/>
        <w:ind w:firstLineChars="200" w:firstLine="482"/>
        <w:rPr>
          <w:rFonts w:hint="eastAsia"/>
          <w:bCs/>
          <w:color w:val="auto"/>
          <w:szCs w:val="24"/>
        </w:rPr>
      </w:pPr>
      <w:bookmarkStart w:id="40" w:name="_Toc130978952"/>
      <w:bookmarkStart w:id="41" w:name="_Toc296551344"/>
      <w:r>
        <w:rPr>
          <w:rFonts w:hint="eastAsia"/>
          <w:bCs/>
          <w:color w:val="auto"/>
          <w:szCs w:val="24"/>
        </w:rPr>
        <w:t>第八条 基金净值计算和会计核算</w:t>
      </w:r>
      <w:bookmarkEnd w:id="40"/>
      <w:bookmarkEnd w:id="41"/>
    </w:p>
    <w:p w14:paraId="599F75D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8.1基金净值的计算、复核的时间和程序</w:t>
      </w:r>
    </w:p>
    <w:p w14:paraId="5577897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8.1.1基金</w:t>
      </w:r>
      <w:r>
        <w:rPr>
          <w:rFonts w:hAnsi="宋体"/>
          <w:szCs w:val="24"/>
        </w:rPr>
        <w:t>净值包括基金资产净值</w:t>
      </w:r>
      <w:r>
        <w:rPr>
          <w:rFonts w:hAnsi="宋体" w:hint="eastAsia"/>
          <w:szCs w:val="24"/>
        </w:rPr>
        <w:t>、各类基金</w:t>
      </w:r>
      <w:r>
        <w:rPr>
          <w:rFonts w:hAnsi="宋体"/>
          <w:szCs w:val="24"/>
        </w:rPr>
        <w:t>份额净值、基金</w:t>
      </w:r>
      <w:r>
        <w:rPr>
          <w:rFonts w:hAnsi="宋体" w:hint="eastAsia"/>
          <w:szCs w:val="24"/>
        </w:rPr>
        <w:t>份额</w:t>
      </w:r>
      <w:r>
        <w:rPr>
          <w:rFonts w:hAnsi="宋体"/>
          <w:szCs w:val="24"/>
        </w:rPr>
        <w:t>累计净值。</w:t>
      </w:r>
      <w:r>
        <w:rPr>
          <w:rFonts w:hAnsi="宋体" w:hint="eastAsia"/>
          <w:szCs w:val="24"/>
        </w:rPr>
        <w:t>基金资产净值是指基金资产总值减去基金负债后的价值。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65E1C9C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8.1.2基金管理人</w:t>
      </w:r>
      <w:proofErr w:type="gramStart"/>
      <w:r>
        <w:rPr>
          <w:rFonts w:hAnsi="宋体" w:hint="eastAsia"/>
          <w:szCs w:val="24"/>
        </w:rPr>
        <w:t>应每个</w:t>
      </w:r>
      <w:proofErr w:type="gramEnd"/>
      <w:r>
        <w:rPr>
          <w:rFonts w:hAnsi="宋体" w:hint="eastAsia"/>
          <w:szCs w:val="24"/>
        </w:rPr>
        <w:t>工作日对基金资产估值，但基金管理人根据法律法规或基金合同的规定暂停估值时除外。估值原则应符合基金合同、《证券投资基金会计核算业务指引》及其他相关法律、法规的规定。基金资产净值、各类基金份额净</w:t>
      </w:r>
      <w:r>
        <w:rPr>
          <w:rFonts w:hAnsi="宋体" w:hint="eastAsia"/>
          <w:szCs w:val="24"/>
        </w:rPr>
        <w:lastRenderedPageBreak/>
        <w:t>值和基金份额累计净值由基金管理人负责计算，基金托管人复核。基金管理人应于每个工作日交易结束后计算当日的基金净值并以双方认可的方式发送给基金托管人。基金托管人对净值计算结果复核后以双方认可的方式发送给基金管理人。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在开始办理基金份额申购或者赎回后，基金管理人在不晚于</w:t>
      </w:r>
      <w:r>
        <w:rPr>
          <w:rFonts w:hAnsi="宋体"/>
          <w:szCs w:val="24"/>
        </w:rPr>
        <w:t>每个开放日的次日，通过规定网站</w:t>
      </w:r>
      <w:r>
        <w:rPr>
          <w:rFonts w:hAnsi="宋体" w:hint="eastAsia"/>
          <w:szCs w:val="24"/>
        </w:rPr>
        <w:t>、</w:t>
      </w:r>
      <w:r>
        <w:rPr>
          <w:rFonts w:hAnsi="宋体"/>
          <w:szCs w:val="24"/>
        </w:rPr>
        <w:t>基金销售机构网站或营业网点</w:t>
      </w:r>
      <w:r>
        <w:rPr>
          <w:rFonts w:hAnsi="宋体" w:hint="eastAsia"/>
          <w:szCs w:val="24"/>
        </w:rPr>
        <w:t>披露</w:t>
      </w:r>
      <w:r>
        <w:rPr>
          <w:rFonts w:hAnsi="宋体"/>
          <w:szCs w:val="24"/>
        </w:rPr>
        <w:t>开放日的</w:t>
      </w:r>
      <w:r>
        <w:rPr>
          <w:rFonts w:hAnsi="宋体" w:hint="eastAsia"/>
          <w:szCs w:val="24"/>
        </w:rPr>
        <w:t>各类基金份额净值和各类基金份额累计净值，</w:t>
      </w:r>
      <w:r>
        <w:rPr>
          <w:rFonts w:hAnsi="宋体"/>
          <w:szCs w:val="24"/>
        </w:rPr>
        <w:t>并在不晚于半年度和年度最后一日的次日，在规定网站披露</w:t>
      </w:r>
      <w:r>
        <w:rPr>
          <w:rFonts w:hAnsi="宋体" w:hint="eastAsia"/>
          <w:szCs w:val="24"/>
        </w:rPr>
        <w:t>半年度</w:t>
      </w:r>
      <w:r>
        <w:rPr>
          <w:rFonts w:hAnsi="宋体"/>
          <w:szCs w:val="24"/>
        </w:rPr>
        <w:t>和年度最后一日的</w:t>
      </w:r>
      <w:r>
        <w:rPr>
          <w:rFonts w:hAnsi="宋体" w:hint="eastAsia"/>
          <w:szCs w:val="24"/>
        </w:rPr>
        <w:t>各类</w:t>
      </w:r>
      <w:r>
        <w:rPr>
          <w:rFonts w:hAnsi="宋体"/>
          <w:szCs w:val="24"/>
        </w:rPr>
        <w:t>基金份额净值和</w:t>
      </w:r>
      <w:r>
        <w:rPr>
          <w:rFonts w:hAnsi="宋体" w:hint="eastAsia"/>
          <w:szCs w:val="24"/>
        </w:rPr>
        <w:t>各类</w:t>
      </w:r>
      <w:r>
        <w:rPr>
          <w:rFonts w:hAnsi="宋体"/>
          <w:szCs w:val="24"/>
        </w:rPr>
        <w:t>基金份额累计净值</w:t>
      </w:r>
      <w:r>
        <w:rPr>
          <w:rFonts w:hAnsi="宋体" w:hint="eastAsia"/>
          <w:szCs w:val="24"/>
        </w:rPr>
        <w:t>。</w:t>
      </w:r>
    </w:p>
    <w:p w14:paraId="2207144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8.2基金资产估值方法</w:t>
      </w:r>
    </w:p>
    <w:p w14:paraId="04A12BE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8.2.1估值对象</w:t>
      </w:r>
    </w:p>
    <w:p w14:paraId="361EF7E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基金所拥有的股票、存托凭证、股指期货合约、国债期货合约、股票期权合约、信用衍生品、资产支持证券、债券和银行存款本息、应收款项、其它投资等资产及负债。</w:t>
      </w:r>
    </w:p>
    <w:p w14:paraId="5D19BD86" w14:textId="77777777" w:rsidR="003D47C1" w:rsidRDefault="00000000">
      <w:pPr>
        <w:pStyle w:val="20"/>
        <w:spacing w:before="0" w:after="0" w:line="520" w:lineRule="atLeast"/>
        <w:ind w:left="0" w:firstLineChars="200" w:firstLine="480"/>
        <w:rPr>
          <w:rFonts w:hAnsi="宋体" w:hint="eastAsia"/>
          <w:szCs w:val="24"/>
        </w:rPr>
      </w:pPr>
      <w:bookmarkStart w:id="42" w:name="OLE_LINK34"/>
      <w:r>
        <w:rPr>
          <w:rFonts w:hAnsi="宋体" w:hint="eastAsia"/>
          <w:szCs w:val="24"/>
        </w:rPr>
        <w:t>8.2.2估值方法</w:t>
      </w:r>
    </w:p>
    <w:p w14:paraId="3F889EA3" w14:textId="77777777" w:rsidR="003D47C1" w:rsidRDefault="00000000">
      <w:pPr>
        <w:pStyle w:val="20"/>
        <w:spacing w:line="520" w:lineRule="atLeast"/>
        <w:ind w:left="0" w:firstLineChars="200" w:firstLine="480"/>
        <w:rPr>
          <w:bCs/>
          <w:szCs w:val="21"/>
        </w:rPr>
      </w:pPr>
      <w:r>
        <w:rPr>
          <w:rFonts w:hint="eastAsia"/>
          <w:bCs/>
        </w:rPr>
        <w:t>（1）</w:t>
      </w:r>
      <w:r>
        <w:rPr>
          <w:rFonts w:hint="eastAsia"/>
          <w:bCs/>
          <w:szCs w:val="21"/>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73AAEB3" w14:textId="77777777" w:rsidR="003D47C1" w:rsidRDefault="00000000">
      <w:pPr>
        <w:pStyle w:val="20"/>
        <w:spacing w:line="520" w:lineRule="atLeast"/>
        <w:ind w:left="0" w:firstLineChars="200" w:firstLine="480"/>
        <w:rPr>
          <w:bCs/>
          <w:szCs w:val="21"/>
        </w:rPr>
      </w:pPr>
      <w:r>
        <w:rPr>
          <w:rFonts w:hint="eastAsia"/>
          <w:bCs/>
        </w:rPr>
        <w:t>（2）</w:t>
      </w:r>
      <w:r>
        <w:rPr>
          <w:rFonts w:hint="eastAsia"/>
          <w:bCs/>
          <w:szCs w:val="21"/>
        </w:rPr>
        <w:t xml:space="preserve">处于未上市期间以及流通受限的有价证券应区分如下情况处理： </w:t>
      </w:r>
    </w:p>
    <w:p w14:paraId="214D00EA" w14:textId="77777777" w:rsidR="003D47C1" w:rsidRDefault="00000000">
      <w:pPr>
        <w:pStyle w:val="20"/>
        <w:spacing w:line="520" w:lineRule="atLeast"/>
        <w:ind w:left="0" w:firstLineChars="200" w:firstLine="480"/>
        <w:rPr>
          <w:bCs/>
          <w:szCs w:val="21"/>
        </w:rPr>
      </w:pPr>
      <w:r>
        <w:rPr>
          <w:rFonts w:hint="eastAsia"/>
          <w:bCs/>
          <w:szCs w:val="21"/>
        </w:rPr>
        <w:t>1）送股、转增股、配股和公开增发的新股，按估值日在证券交易所挂牌的同一股票的估值方法估值；该日无交易的，以最近一日的市价（收盘价）估值；</w:t>
      </w:r>
    </w:p>
    <w:p w14:paraId="2228DC76" w14:textId="77777777" w:rsidR="003D47C1" w:rsidRDefault="00000000">
      <w:pPr>
        <w:pStyle w:val="20"/>
        <w:spacing w:line="520" w:lineRule="atLeast"/>
        <w:ind w:left="0" w:firstLineChars="200" w:firstLine="480"/>
        <w:rPr>
          <w:bCs/>
          <w:szCs w:val="21"/>
        </w:rPr>
      </w:pPr>
      <w:r>
        <w:rPr>
          <w:rFonts w:hint="eastAsia"/>
          <w:bCs/>
          <w:szCs w:val="21"/>
        </w:rPr>
        <w:t>2）首次公开发行未上市的股票，采用估值技术确定公允价值；</w:t>
      </w:r>
    </w:p>
    <w:p w14:paraId="149E7156" w14:textId="77777777" w:rsidR="003D47C1" w:rsidRDefault="00000000">
      <w:pPr>
        <w:pStyle w:val="20"/>
        <w:spacing w:line="520" w:lineRule="atLeast"/>
        <w:ind w:left="0" w:firstLineChars="200" w:firstLine="480"/>
        <w:rPr>
          <w:bCs/>
          <w:szCs w:val="21"/>
        </w:rPr>
      </w:pPr>
      <w:r>
        <w:rPr>
          <w:rFonts w:hint="eastAsia"/>
          <w:bCs/>
          <w:szCs w:val="21"/>
        </w:rPr>
        <w:t>3）流通受限股票，包括非公开发行股票、首次公开发行股票时公司股东公开</w:t>
      </w:r>
      <w:r>
        <w:rPr>
          <w:rFonts w:hint="eastAsia"/>
          <w:bCs/>
          <w:szCs w:val="21"/>
        </w:rPr>
        <w:lastRenderedPageBreak/>
        <w:t>发售股份、通过大宗交易取得的带限售期的股票等（不包括停牌、新发行未上市、回购交易中的质押</w:t>
      </w:r>
      <w:proofErr w:type="gramStart"/>
      <w:r>
        <w:rPr>
          <w:rFonts w:hint="eastAsia"/>
          <w:bCs/>
          <w:szCs w:val="21"/>
        </w:rPr>
        <w:t>券</w:t>
      </w:r>
      <w:proofErr w:type="gramEnd"/>
      <w:r>
        <w:rPr>
          <w:rFonts w:hint="eastAsia"/>
          <w:bCs/>
          <w:szCs w:val="21"/>
        </w:rPr>
        <w:t>等流通受限股票），按监管机构或行业协会有关规定确定公允价值。</w:t>
      </w:r>
    </w:p>
    <w:p w14:paraId="1D6EBB3F" w14:textId="77777777" w:rsidR="003D47C1" w:rsidRDefault="00000000">
      <w:pPr>
        <w:pStyle w:val="20"/>
        <w:spacing w:line="520" w:lineRule="atLeast"/>
        <w:ind w:left="0" w:firstLineChars="200" w:firstLine="480"/>
        <w:rPr>
          <w:bCs/>
          <w:szCs w:val="21"/>
        </w:rPr>
      </w:pPr>
      <w:r>
        <w:rPr>
          <w:rFonts w:hint="eastAsia"/>
          <w:bCs/>
        </w:rPr>
        <w:t>（3）</w:t>
      </w:r>
      <w:r>
        <w:rPr>
          <w:rFonts w:hint="eastAsia"/>
          <w:bCs/>
          <w:szCs w:val="21"/>
        </w:rPr>
        <w:t>对于已上市或已挂牌转让的不含</w:t>
      </w:r>
      <w:proofErr w:type="gramStart"/>
      <w:r>
        <w:rPr>
          <w:rFonts w:hint="eastAsia"/>
          <w:bCs/>
          <w:szCs w:val="21"/>
        </w:rPr>
        <w:t>权固定</w:t>
      </w:r>
      <w:proofErr w:type="gramEnd"/>
      <w:r>
        <w:rPr>
          <w:rFonts w:hint="eastAsia"/>
          <w:bCs/>
          <w:szCs w:val="21"/>
        </w:rPr>
        <w:t>收益品种，选取第三方估值基准服务机构提供的相应品种当日的估值全价进行估值。</w:t>
      </w:r>
    </w:p>
    <w:p w14:paraId="3C1232E8" w14:textId="77777777" w:rsidR="003D47C1" w:rsidRDefault="00000000">
      <w:pPr>
        <w:pStyle w:val="20"/>
        <w:spacing w:line="520" w:lineRule="atLeast"/>
        <w:ind w:left="0" w:firstLineChars="200" w:firstLine="480"/>
        <w:rPr>
          <w:bCs/>
          <w:szCs w:val="21"/>
        </w:rPr>
      </w:pPr>
      <w:r>
        <w:rPr>
          <w:rFonts w:hint="eastAsia"/>
          <w:bCs/>
        </w:rPr>
        <w:t>（4）</w:t>
      </w:r>
      <w:r>
        <w:rPr>
          <w:rFonts w:hint="eastAsia"/>
          <w:bCs/>
          <w:szCs w:val="21"/>
        </w:rPr>
        <w:t>对于已上市或已挂牌转让的含</w:t>
      </w:r>
      <w:proofErr w:type="gramStart"/>
      <w:r>
        <w:rPr>
          <w:rFonts w:hint="eastAsia"/>
          <w:bCs/>
          <w:szCs w:val="21"/>
        </w:rPr>
        <w:t>权固定</w:t>
      </w:r>
      <w:proofErr w:type="gramEnd"/>
      <w:r>
        <w:rPr>
          <w:rFonts w:hint="eastAsia"/>
          <w:bCs/>
          <w:szCs w:val="21"/>
        </w:rPr>
        <w:t>收益品种，选取第三方估值基准服务机构提供的相应品种当日的唯一估值全价或推荐估值全价进行估值。</w:t>
      </w:r>
    </w:p>
    <w:p w14:paraId="2137D203" w14:textId="77777777" w:rsidR="003D47C1" w:rsidRDefault="00000000">
      <w:pPr>
        <w:pStyle w:val="20"/>
        <w:spacing w:line="520" w:lineRule="atLeast"/>
        <w:ind w:left="0" w:firstLineChars="200" w:firstLine="480"/>
        <w:rPr>
          <w:bCs/>
          <w:szCs w:val="21"/>
        </w:rPr>
      </w:pPr>
      <w:r>
        <w:rPr>
          <w:rFonts w:hint="eastAsia"/>
          <w:bCs/>
          <w:szCs w:val="21"/>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5808DDC" w14:textId="77777777" w:rsidR="003D47C1" w:rsidRDefault="00000000">
      <w:pPr>
        <w:pStyle w:val="20"/>
        <w:spacing w:line="520" w:lineRule="atLeast"/>
        <w:ind w:left="0" w:firstLineChars="200" w:firstLine="480"/>
        <w:rPr>
          <w:bCs/>
          <w:szCs w:val="21"/>
        </w:rPr>
      </w:pPr>
      <w:r>
        <w:rPr>
          <w:rFonts w:hint="eastAsia"/>
          <w:bCs/>
        </w:rPr>
        <w:t>（5）</w:t>
      </w:r>
      <w:r>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CF29C8" w14:textId="77777777" w:rsidR="003D47C1" w:rsidRDefault="00000000">
      <w:pPr>
        <w:pStyle w:val="20"/>
        <w:spacing w:line="520" w:lineRule="atLeast"/>
        <w:ind w:left="0" w:firstLineChars="200" w:firstLine="480"/>
        <w:rPr>
          <w:bCs/>
          <w:szCs w:val="21"/>
        </w:rPr>
      </w:pPr>
      <w:r>
        <w:rPr>
          <w:rFonts w:hint="eastAsia"/>
          <w:bCs/>
        </w:rPr>
        <w:t>（6）</w:t>
      </w:r>
      <w:r>
        <w:rPr>
          <w:rFonts w:hint="eastAsia"/>
          <w:bCs/>
          <w:szCs w:val="21"/>
        </w:rPr>
        <w:t>对于未上市或未挂牌转让且不存在活跃市场的固定收益品种，采用在当前情况下适用并且有足够可利用数据和其他信息支持的估值技术确定其公允价值。</w:t>
      </w:r>
    </w:p>
    <w:p w14:paraId="2982B70C" w14:textId="77777777" w:rsidR="003D47C1" w:rsidRDefault="00000000">
      <w:pPr>
        <w:pStyle w:val="20"/>
        <w:spacing w:line="520" w:lineRule="atLeast"/>
        <w:ind w:left="0" w:firstLineChars="200" w:firstLine="480"/>
        <w:rPr>
          <w:bCs/>
          <w:szCs w:val="21"/>
        </w:rPr>
      </w:pPr>
      <w:r>
        <w:rPr>
          <w:rFonts w:hint="eastAsia"/>
          <w:bCs/>
        </w:rPr>
        <w:t>（7）</w:t>
      </w:r>
      <w:r>
        <w:rPr>
          <w:rFonts w:hint="eastAsia"/>
          <w:bCs/>
          <w:szCs w:val="21"/>
        </w:rPr>
        <w:t>本基金投资股指期货合约、国债期货合约和股票期权合约，一般以估值当日结算价进行估值，估值当日无结算价的，且最近交易日后经济环境未发生重大变化的，采用最近交易日结算价估值。</w:t>
      </w:r>
    </w:p>
    <w:p w14:paraId="16B51596" w14:textId="77777777" w:rsidR="003D47C1" w:rsidRDefault="00000000">
      <w:pPr>
        <w:pStyle w:val="20"/>
        <w:spacing w:line="520" w:lineRule="atLeast"/>
        <w:ind w:left="0" w:firstLineChars="200" w:firstLine="480"/>
        <w:rPr>
          <w:bCs/>
          <w:szCs w:val="21"/>
        </w:rPr>
      </w:pPr>
      <w:r>
        <w:rPr>
          <w:rFonts w:hint="eastAsia"/>
          <w:bCs/>
        </w:rPr>
        <w:t>（8）</w:t>
      </w:r>
      <w:r>
        <w:rPr>
          <w:rFonts w:hint="eastAsia"/>
          <w:bCs/>
          <w:szCs w:val="21"/>
        </w:rPr>
        <w:t>本基金投资存托凭证的估值核算依照境内上市交易的股票执行。</w:t>
      </w:r>
    </w:p>
    <w:p w14:paraId="3C09E73F" w14:textId="77777777" w:rsidR="003D47C1" w:rsidRDefault="00000000">
      <w:pPr>
        <w:pStyle w:val="20"/>
        <w:spacing w:line="520" w:lineRule="atLeast"/>
        <w:ind w:left="0" w:firstLineChars="200" w:firstLine="480"/>
        <w:rPr>
          <w:bCs/>
          <w:szCs w:val="21"/>
        </w:rPr>
      </w:pPr>
      <w:r>
        <w:rPr>
          <w:rFonts w:hint="eastAsia"/>
          <w:bCs/>
        </w:rPr>
        <w:t>（9）</w:t>
      </w:r>
      <w:r>
        <w:rPr>
          <w:rFonts w:hint="eastAsia"/>
          <w:bCs/>
          <w:szCs w:val="21"/>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2F927DD" w14:textId="77777777" w:rsidR="003D47C1" w:rsidRDefault="00000000">
      <w:pPr>
        <w:pStyle w:val="20"/>
        <w:spacing w:line="520" w:lineRule="atLeast"/>
        <w:ind w:left="0" w:firstLineChars="200" w:firstLine="480"/>
        <w:rPr>
          <w:bCs/>
          <w:szCs w:val="21"/>
        </w:rPr>
      </w:pPr>
      <w:r>
        <w:rPr>
          <w:rFonts w:hint="eastAsia"/>
          <w:bCs/>
        </w:rPr>
        <w:t>（10）</w:t>
      </w:r>
      <w:r>
        <w:rPr>
          <w:rFonts w:hint="eastAsia"/>
          <w:bCs/>
          <w:szCs w:val="21"/>
        </w:rPr>
        <w:t>同一证券同时在两个或两个以上市场交易的，按证券所处的市场分别估值。</w:t>
      </w:r>
    </w:p>
    <w:p w14:paraId="0B7B2A2C" w14:textId="77777777" w:rsidR="003D47C1" w:rsidRDefault="00000000">
      <w:pPr>
        <w:pStyle w:val="20"/>
        <w:spacing w:line="520" w:lineRule="atLeast"/>
        <w:ind w:left="0" w:firstLineChars="200" w:firstLine="480"/>
        <w:rPr>
          <w:bCs/>
          <w:szCs w:val="21"/>
        </w:rPr>
      </w:pPr>
      <w:r>
        <w:rPr>
          <w:rFonts w:hint="eastAsia"/>
          <w:bCs/>
        </w:rPr>
        <w:lastRenderedPageBreak/>
        <w:t>（11）</w:t>
      </w:r>
      <w:r>
        <w:rPr>
          <w:rFonts w:hint="eastAsia"/>
          <w:bCs/>
          <w:szCs w:val="21"/>
        </w:rPr>
        <w:t>如有确凿证据表明按上述方法进行估值不能客观反映其公允价值的，基金管理人可根据具体情况与基金托管人商定后，按最能反映公允价值的价格估值。</w:t>
      </w:r>
    </w:p>
    <w:p w14:paraId="0F0D8825" w14:textId="77777777" w:rsidR="003D47C1" w:rsidRDefault="00000000">
      <w:pPr>
        <w:pStyle w:val="20"/>
        <w:spacing w:line="520" w:lineRule="atLeast"/>
        <w:ind w:left="0" w:firstLineChars="200" w:firstLine="480"/>
        <w:rPr>
          <w:bCs/>
          <w:szCs w:val="21"/>
        </w:rPr>
      </w:pPr>
      <w:r>
        <w:rPr>
          <w:rFonts w:hint="eastAsia"/>
          <w:bCs/>
        </w:rPr>
        <w:t>（12）</w:t>
      </w:r>
      <w:r>
        <w:rPr>
          <w:rFonts w:hint="eastAsia"/>
          <w:bCs/>
          <w:szCs w:val="21"/>
        </w:rPr>
        <w:t>当发生大额申购或赎回情形时，基金管理人可以采用摆动定价机制，以确保基金估值的公平性。</w:t>
      </w:r>
    </w:p>
    <w:p w14:paraId="152CA2B9" w14:textId="77777777" w:rsidR="003D47C1" w:rsidRDefault="00000000">
      <w:pPr>
        <w:pStyle w:val="20"/>
        <w:spacing w:line="520" w:lineRule="atLeast"/>
        <w:ind w:left="0" w:firstLineChars="200" w:firstLine="480"/>
        <w:rPr>
          <w:bCs/>
          <w:szCs w:val="21"/>
        </w:rPr>
      </w:pPr>
      <w:r>
        <w:rPr>
          <w:rFonts w:hint="eastAsia"/>
          <w:bCs/>
        </w:rPr>
        <w:t>（13）</w:t>
      </w:r>
      <w:r>
        <w:rPr>
          <w:rFonts w:hint="eastAsia"/>
          <w:bCs/>
          <w:szCs w:val="21"/>
        </w:rPr>
        <w:t>估值计算中涉及港币对人民币汇率的，将依据下列信息提供机构所提供的汇率为基准：当日中国人民银行或其授权机构公布的人民币与港币的中间价，或其他可以反映公允价值的汇率。</w:t>
      </w:r>
    </w:p>
    <w:p w14:paraId="6C6B5E48" w14:textId="77777777" w:rsidR="003D47C1" w:rsidRDefault="00000000">
      <w:pPr>
        <w:pStyle w:val="20"/>
        <w:spacing w:line="520" w:lineRule="atLeast"/>
        <w:ind w:left="0" w:firstLineChars="200" w:firstLine="480"/>
        <w:rPr>
          <w:bCs/>
          <w:szCs w:val="21"/>
        </w:rPr>
      </w:pPr>
      <w:r>
        <w:rPr>
          <w:rFonts w:hint="eastAsia"/>
          <w:bCs/>
        </w:rPr>
        <w:t>（14）</w:t>
      </w:r>
      <w:r>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E0CF082" w14:textId="77777777" w:rsidR="003D47C1" w:rsidRDefault="00000000">
      <w:pPr>
        <w:pStyle w:val="20"/>
        <w:spacing w:line="520" w:lineRule="atLeast"/>
        <w:ind w:left="0" w:firstLineChars="200" w:firstLine="480"/>
        <w:rPr>
          <w:bCs/>
          <w:szCs w:val="21"/>
        </w:rPr>
      </w:pPr>
      <w:r>
        <w:rPr>
          <w:rFonts w:hint="eastAsia"/>
          <w:bCs/>
        </w:rPr>
        <w:t>（15）</w:t>
      </w:r>
      <w:r>
        <w:rPr>
          <w:rFonts w:hint="eastAsia"/>
          <w:bCs/>
          <w:szCs w:val="21"/>
        </w:rPr>
        <w:t>相关法律法规以及监管部门有强制规定的，从其规定。如有新增事项，按国家最新规定估值。</w:t>
      </w:r>
    </w:p>
    <w:p w14:paraId="01738AEA" w14:textId="77777777" w:rsidR="003D47C1" w:rsidRDefault="00000000">
      <w:pPr>
        <w:pStyle w:val="20"/>
        <w:spacing w:line="520" w:lineRule="atLeast"/>
        <w:ind w:left="0" w:firstLineChars="200" w:firstLine="480"/>
        <w:rPr>
          <w:bCs/>
          <w:szCs w:val="21"/>
        </w:rPr>
      </w:pPr>
      <w:r>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8A4E4D6" w14:textId="77777777" w:rsidR="003D47C1" w:rsidRDefault="00000000">
      <w:pPr>
        <w:pStyle w:val="20"/>
        <w:spacing w:line="520" w:lineRule="atLeast"/>
        <w:ind w:left="0" w:firstLineChars="200" w:firstLine="480"/>
        <w:rPr>
          <w:bCs/>
          <w:szCs w:val="21"/>
        </w:rPr>
      </w:pPr>
      <w:r>
        <w:rPr>
          <w:rFonts w:hint="eastAsia"/>
          <w:bCs/>
          <w:szCs w:val="21"/>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78EBB79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8.3估值差错处理</w:t>
      </w:r>
    </w:p>
    <w:bookmarkEnd w:id="42"/>
    <w:p w14:paraId="05EE021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8.3.1基金管理人和基金托管人将采取必要、适当、合理的措施确保基金资产估值的准确性、及时性。当任一类基金份额净值小数点后4位以内（含第4位）发生估值错误时，视为该类基金份额净值错误。</w:t>
      </w:r>
    </w:p>
    <w:p w14:paraId="16D383C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8.3.2估值错误类型</w:t>
      </w:r>
    </w:p>
    <w:p w14:paraId="4B732516" w14:textId="77777777" w:rsidR="003D47C1" w:rsidRDefault="00000000">
      <w:pPr>
        <w:pStyle w:val="20"/>
        <w:spacing w:line="520" w:lineRule="atLeast"/>
        <w:ind w:left="0"/>
        <w:rPr>
          <w:rFonts w:hAnsi="宋体" w:hint="eastAsia"/>
          <w:szCs w:val="24"/>
        </w:rPr>
      </w:pPr>
      <w:r>
        <w:rPr>
          <w:rFonts w:hAnsi="宋体"/>
          <w:szCs w:val="24"/>
        </w:rPr>
        <w:tab/>
      </w:r>
      <w:r>
        <w:rPr>
          <w:rFonts w:hAnsi="宋体" w:hint="eastAsia"/>
          <w:szCs w:val="24"/>
        </w:rPr>
        <w:t>本基金运作过程中，如果由于基金管理人或基金托管人、或登记机构、或销售</w:t>
      </w:r>
      <w:r>
        <w:rPr>
          <w:rFonts w:hAnsi="宋体" w:hint="eastAsia"/>
          <w:szCs w:val="24"/>
        </w:rPr>
        <w:lastRenderedPageBreak/>
        <w:t>机构、或投资者自身的过错造成估值错误，导致其他当事人遭受损失的，过错的责任人应当对由于该估值错误遭受损失当事人（“受损方”）的直接损失按下述“估值错误处理原则”给予赔偿，承担赔偿责任。</w:t>
      </w:r>
    </w:p>
    <w:p w14:paraId="1B6294E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上述估值错误的主要类型包括但不限于：资料申报差错、数据传输差错、数据计算差错、系统故障差错、下达指令差错等。</w:t>
      </w:r>
    </w:p>
    <w:p w14:paraId="2FF67E6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8.3.3估值错误处理原则</w:t>
      </w:r>
    </w:p>
    <w:p w14:paraId="1E5C79F5" w14:textId="77777777" w:rsidR="003D47C1" w:rsidRDefault="00000000">
      <w:pPr>
        <w:pStyle w:val="20"/>
        <w:spacing w:line="520" w:lineRule="atLeast"/>
        <w:ind w:left="0"/>
        <w:rPr>
          <w:rFonts w:hAnsi="宋体" w:hint="eastAsia"/>
          <w:szCs w:val="24"/>
        </w:rPr>
      </w:pPr>
      <w:r>
        <w:rPr>
          <w:rFonts w:hAnsi="宋体"/>
          <w:szCs w:val="24"/>
        </w:rPr>
        <w:tab/>
      </w:r>
      <w:r>
        <w:rPr>
          <w:rFonts w:hAnsi="宋体" w:hint="eastAsia"/>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CBF707D" w14:textId="77777777" w:rsidR="003D47C1" w:rsidRDefault="00000000">
      <w:pPr>
        <w:pStyle w:val="20"/>
        <w:spacing w:line="520" w:lineRule="atLeast"/>
        <w:ind w:left="0" w:firstLine="420"/>
        <w:rPr>
          <w:rFonts w:hAnsi="宋体" w:hint="eastAsia"/>
          <w:szCs w:val="24"/>
        </w:rPr>
      </w:pPr>
      <w:r>
        <w:rPr>
          <w:rFonts w:hAnsi="宋体" w:hint="eastAsia"/>
          <w:szCs w:val="24"/>
        </w:rPr>
        <w:t>（2）估值错误的责任方对有关当事人的直接损失负责，不对间接损失负责，并且仅对估值错误的有关直接当事人负责，不对第三方负责。</w:t>
      </w:r>
    </w:p>
    <w:p w14:paraId="374B4600" w14:textId="77777777" w:rsidR="003D47C1" w:rsidRDefault="00000000">
      <w:pPr>
        <w:pStyle w:val="20"/>
        <w:spacing w:line="520" w:lineRule="atLeast"/>
        <w:ind w:left="0" w:firstLine="420"/>
        <w:rPr>
          <w:rFonts w:hAnsi="宋体" w:hint="eastAsia"/>
          <w:szCs w:val="24"/>
        </w:rPr>
      </w:pPr>
      <w:r>
        <w:rPr>
          <w:rFonts w:hAnsi="宋体" w:hint="eastAsia"/>
          <w:szCs w:val="24"/>
        </w:rPr>
        <w:t>（3）因估值错误而获得不当得利的当事人负有及时返还不当得利的义务。但估值错误责任方仍应对估值错误负责。如果由于获得不当得利的当事人</w:t>
      </w:r>
      <w:proofErr w:type="gramStart"/>
      <w:r>
        <w:rPr>
          <w:rFonts w:hAnsi="宋体" w:hint="eastAsia"/>
          <w:szCs w:val="24"/>
        </w:rPr>
        <w:t>不</w:t>
      </w:r>
      <w:proofErr w:type="gramEnd"/>
      <w:r>
        <w:rPr>
          <w:rFonts w:hAnsi="宋体" w:hint="eastAsia"/>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C938A1" w14:textId="77777777" w:rsidR="003D47C1" w:rsidRDefault="00000000">
      <w:pPr>
        <w:pStyle w:val="20"/>
        <w:spacing w:line="520" w:lineRule="atLeast"/>
        <w:ind w:left="0" w:firstLine="420"/>
        <w:rPr>
          <w:rFonts w:hAnsi="宋体" w:hint="eastAsia"/>
          <w:szCs w:val="24"/>
        </w:rPr>
      </w:pPr>
      <w:r>
        <w:rPr>
          <w:rFonts w:hAnsi="宋体" w:hint="eastAsia"/>
          <w:szCs w:val="24"/>
        </w:rPr>
        <w:t>（4）估值错误调整采用尽量恢复至假设未发生估值错误的正确情形的方式。</w:t>
      </w:r>
    </w:p>
    <w:p w14:paraId="0B8E4F09" w14:textId="77777777" w:rsidR="003D47C1" w:rsidRDefault="00000000">
      <w:pPr>
        <w:pStyle w:val="20"/>
        <w:spacing w:before="0" w:after="0" w:line="520" w:lineRule="atLeast"/>
        <w:rPr>
          <w:rFonts w:hAnsi="宋体" w:hint="eastAsia"/>
          <w:szCs w:val="24"/>
        </w:rPr>
      </w:pPr>
      <w:r>
        <w:rPr>
          <w:rFonts w:hAnsi="宋体" w:hint="eastAsia"/>
          <w:szCs w:val="24"/>
        </w:rPr>
        <w:t>（5）按法律法规规定的其他原则处理估值错误。</w:t>
      </w:r>
    </w:p>
    <w:p w14:paraId="6D7AB7E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w:t>
      </w:r>
      <w:r>
        <w:rPr>
          <w:rFonts w:hAnsi="宋体"/>
          <w:szCs w:val="24"/>
        </w:rPr>
        <w:t>4</w:t>
      </w:r>
      <w:r>
        <w:rPr>
          <w:rFonts w:hAnsi="宋体" w:hint="eastAsia"/>
          <w:szCs w:val="24"/>
        </w:rPr>
        <w:t>估值错误处理程序</w:t>
      </w:r>
    </w:p>
    <w:p w14:paraId="17ED01A4" w14:textId="77777777" w:rsidR="003D47C1" w:rsidRDefault="00000000">
      <w:pPr>
        <w:pStyle w:val="20"/>
        <w:spacing w:line="520" w:lineRule="atLeast"/>
        <w:rPr>
          <w:rFonts w:hAnsi="宋体" w:hint="eastAsia"/>
          <w:szCs w:val="24"/>
        </w:rPr>
      </w:pPr>
      <w:r>
        <w:rPr>
          <w:rFonts w:hAnsi="宋体" w:hint="eastAsia"/>
          <w:szCs w:val="24"/>
        </w:rPr>
        <w:t>估值错误被发现后，有关的当事人应当及时进行处理，处理的程序如下：</w:t>
      </w:r>
    </w:p>
    <w:p w14:paraId="7A64AE64" w14:textId="77777777" w:rsidR="003D47C1" w:rsidRDefault="00000000">
      <w:pPr>
        <w:pStyle w:val="20"/>
        <w:spacing w:line="520" w:lineRule="atLeast"/>
        <w:ind w:left="0" w:firstLine="420"/>
        <w:rPr>
          <w:rFonts w:hAnsi="宋体" w:hint="eastAsia"/>
          <w:szCs w:val="24"/>
        </w:rPr>
      </w:pPr>
      <w:r>
        <w:rPr>
          <w:rFonts w:hAnsi="宋体" w:hint="eastAsia"/>
          <w:szCs w:val="24"/>
        </w:rPr>
        <w:t>（1）查明估值错误发生的原因，列明所有的当事人，并根据估值错误发生的原因确定估值错误的责任方；</w:t>
      </w:r>
    </w:p>
    <w:p w14:paraId="03832CEA" w14:textId="77777777" w:rsidR="003D47C1" w:rsidRDefault="00000000">
      <w:pPr>
        <w:pStyle w:val="20"/>
        <w:spacing w:line="520" w:lineRule="atLeast"/>
        <w:ind w:left="0" w:firstLine="420"/>
        <w:rPr>
          <w:rFonts w:hAnsi="宋体" w:hint="eastAsia"/>
          <w:szCs w:val="24"/>
        </w:rPr>
      </w:pPr>
      <w:r>
        <w:rPr>
          <w:rFonts w:hAnsi="宋体" w:hint="eastAsia"/>
          <w:szCs w:val="24"/>
        </w:rPr>
        <w:lastRenderedPageBreak/>
        <w:t>（2）根据估值错误处理原则或当事人协商的方法对因估值错误造成的损失进行评估；</w:t>
      </w:r>
    </w:p>
    <w:p w14:paraId="5A5EC6C7" w14:textId="77777777" w:rsidR="003D47C1" w:rsidRDefault="00000000">
      <w:pPr>
        <w:pStyle w:val="20"/>
        <w:spacing w:line="520" w:lineRule="atLeast"/>
        <w:ind w:left="0" w:firstLine="420"/>
        <w:rPr>
          <w:rFonts w:hAnsi="宋体" w:hint="eastAsia"/>
          <w:szCs w:val="24"/>
        </w:rPr>
      </w:pPr>
      <w:r>
        <w:rPr>
          <w:rFonts w:hAnsi="宋体" w:hint="eastAsia"/>
          <w:szCs w:val="24"/>
        </w:rPr>
        <w:t>（3）根据估值错误处理原则或当事人协商的方法由估值错误的责任方进行更正和赔偿损失；</w:t>
      </w:r>
    </w:p>
    <w:p w14:paraId="00FC9BDC" w14:textId="77777777" w:rsidR="003D47C1" w:rsidRDefault="00000000">
      <w:pPr>
        <w:pStyle w:val="20"/>
        <w:spacing w:before="0" w:after="0" w:line="520" w:lineRule="atLeast"/>
        <w:ind w:left="0" w:firstLine="420"/>
        <w:rPr>
          <w:rFonts w:hAnsi="宋体" w:hint="eastAsia"/>
          <w:szCs w:val="24"/>
        </w:rPr>
      </w:pPr>
      <w:r>
        <w:rPr>
          <w:rFonts w:hAnsi="宋体" w:hint="eastAsia"/>
          <w:szCs w:val="24"/>
        </w:rPr>
        <w:t>（4）根据估值错误处理的方法，需要修改基金登记机构交易数据的，由基金登记机构进行更正，并就估值错误的更正向有关当事人进行确认。</w:t>
      </w:r>
    </w:p>
    <w:p w14:paraId="75F3F90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8.3.</w:t>
      </w:r>
      <w:r>
        <w:rPr>
          <w:rFonts w:hAnsi="宋体"/>
          <w:szCs w:val="24"/>
        </w:rPr>
        <w:t>5</w:t>
      </w:r>
      <w:r>
        <w:rPr>
          <w:rFonts w:hAnsi="宋体" w:hint="eastAsia"/>
          <w:szCs w:val="24"/>
        </w:rPr>
        <w:t>基金份额净值估值错误处理的方法如下：</w:t>
      </w:r>
    </w:p>
    <w:p w14:paraId="2BA62F0F" w14:textId="77777777" w:rsidR="003D47C1" w:rsidRDefault="00000000">
      <w:pPr>
        <w:pStyle w:val="20"/>
        <w:spacing w:line="520" w:lineRule="atLeast"/>
        <w:ind w:left="0"/>
        <w:rPr>
          <w:rFonts w:hAnsi="宋体" w:hint="eastAsia"/>
          <w:szCs w:val="24"/>
        </w:rPr>
      </w:pPr>
      <w:r>
        <w:rPr>
          <w:rFonts w:hAnsi="宋体"/>
          <w:szCs w:val="24"/>
        </w:rPr>
        <w:tab/>
      </w:r>
      <w:r>
        <w:rPr>
          <w:rFonts w:hAnsi="宋体" w:hint="eastAsia"/>
          <w:szCs w:val="24"/>
        </w:rPr>
        <w:t>（1）任一类基金份额净值计算出现错误时，基金管理人应当立即予以纠正，通报基金托管人，并采取合理的措施防止损失进一步扩大。</w:t>
      </w:r>
    </w:p>
    <w:p w14:paraId="21680E78" w14:textId="77777777" w:rsidR="003D47C1" w:rsidRDefault="00000000">
      <w:pPr>
        <w:pStyle w:val="20"/>
        <w:spacing w:line="520" w:lineRule="atLeast"/>
        <w:ind w:left="0" w:firstLine="420"/>
        <w:rPr>
          <w:rFonts w:hAnsi="宋体" w:hint="eastAsia"/>
          <w:szCs w:val="24"/>
        </w:rPr>
      </w:pPr>
      <w:r>
        <w:rPr>
          <w:rFonts w:hAnsi="宋体" w:hint="eastAsia"/>
          <w:szCs w:val="24"/>
        </w:rPr>
        <w:t>（2）错误偏差达到</w:t>
      </w:r>
      <w:r>
        <w:rPr>
          <w:rFonts w:hAnsi="宋体"/>
          <w:szCs w:val="24"/>
        </w:rPr>
        <w:t>该</w:t>
      </w:r>
      <w:r>
        <w:rPr>
          <w:rFonts w:hAnsi="宋体" w:hint="eastAsia"/>
          <w:szCs w:val="24"/>
        </w:rPr>
        <w:t>类基金份额净值的0.25%时，基金管理人应当通报基金托管人并报中国证监会备案；错误偏差达到</w:t>
      </w:r>
      <w:r>
        <w:rPr>
          <w:rFonts w:hAnsi="宋体"/>
          <w:szCs w:val="24"/>
        </w:rPr>
        <w:t>该</w:t>
      </w:r>
      <w:r>
        <w:rPr>
          <w:rFonts w:hAnsi="宋体" w:hint="eastAsia"/>
          <w:szCs w:val="24"/>
        </w:rPr>
        <w:t>类基金份额净值的0.5%时，基金管理人应当公告，并报中国证监会备案。</w:t>
      </w:r>
    </w:p>
    <w:p w14:paraId="2FFFD807" w14:textId="77777777" w:rsidR="003D47C1" w:rsidRDefault="00000000">
      <w:pPr>
        <w:pStyle w:val="20"/>
        <w:spacing w:line="520" w:lineRule="atLeast"/>
        <w:ind w:left="0" w:firstLine="420"/>
        <w:rPr>
          <w:rFonts w:hAnsi="宋体" w:hint="eastAsia"/>
          <w:szCs w:val="24"/>
        </w:rPr>
      </w:pPr>
      <w:r>
        <w:rPr>
          <w:rFonts w:hAnsi="宋体" w:hint="eastAsia"/>
          <w:szCs w:val="24"/>
        </w:rPr>
        <w:t>（3）当基金份额净值计算差错给基金和基金份额持有人造成损失需要进行赔偿时，基金管理人和基金托管人应根据实际情况界定双方承担的责任，经确认后按以下条款进行赔偿：</w:t>
      </w:r>
    </w:p>
    <w:p w14:paraId="050F547F" w14:textId="77777777" w:rsidR="003D47C1" w:rsidRDefault="00000000">
      <w:pPr>
        <w:pStyle w:val="20"/>
        <w:spacing w:line="520" w:lineRule="atLeast"/>
        <w:ind w:left="0" w:firstLine="420"/>
        <w:rPr>
          <w:rFonts w:hAnsi="宋体" w:hint="eastAsia"/>
          <w:szCs w:val="24"/>
        </w:rPr>
      </w:pPr>
      <w:r>
        <w:rPr>
          <w:rFonts w:hAnsi="宋体" w:hint="eastAsia"/>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8293858" w14:textId="77777777" w:rsidR="003D47C1" w:rsidRDefault="00000000">
      <w:pPr>
        <w:pStyle w:val="20"/>
        <w:spacing w:line="520" w:lineRule="atLeast"/>
        <w:ind w:left="0" w:firstLine="420"/>
        <w:rPr>
          <w:rFonts w:hAnsi="宋体" w:hint="eastAsia"/>
          <w:szCs w:val="24"/>
        </w:rPr>
      </w:pPr>
      <w:r>
        <w:rPr>
          <w:rFonts w:hAnsi="宋体" w:hint="eastAsia"/>
          <w:szCs w:val="24"/>
        </w:rPr>
        <w:t>②</w:t>
      </w:r>
      <w:proofErr w:type="gramStart"/>
      <w:r>
        <w:rPr>
          <w:rFonts w:hAnsi="宋体" w:hint="eastAsia"/>
          <w:szCs w:val="24"/>
        </w:rPr>
        <w:t>若基金</w:t>
      </w:r>
      <w:proofErr w:type="gramEnd"/>
      <w:r>
        <w:rPr>
          <w:rFonts w:hAnsi="宋体" w:hint="eastAsia"/>
          <w:szCs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20636841" w14:textId="77777777" w:rsidR="003D47C1" w:rsidRDefault="00000000">
      <w:pPr>
        <w:pStyle w:val="20"/>
        <w:spacing w:line="520" w:lineRule="atLeast"/>
        <w:ind w:left="0" w:firstLine="420"/>
        <w:rPr>
          <w:rFonts w:hAnsi="宋体" w:hint="eastAsia"/>
          <w:szCs w:val="24"/>
        </w:rPr>
      </w:pPr>
      <w:r>
        <w:rPr>
          <w:rFonts w:hAnsi="宋体" w:hint="eastAsia"/>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0A348C0" w14:textId="77777777" w:rsidR="003D47C1" w:rsidRDefault="00000000">
      <w:pPr>
        <w:pStyle w:val="20"/>
        <w:spacing w:line="520" w:lineRule="atLeast"/>
        <w:ind w:left="0" w:firstLine="420"/>
        <w:rPr>
          <w:rFonts w:hAnsi="宋体" w:hint="eastAsia"/>
          <w:szCs w:val="24"/>
        </w:rPr>
      </w:pPr>
      <w:r>
        <w:rPr>
          <w:rFonts w:hAnsi="宋体" w:hint="eastAsia"/>
          <w:szCs w:val="24"/>
        </w:rPr>
        <w:t>④由于基金管理人提供的信息错误（包括但不限于基金申购或赎回金额等），进</w:t>
      </w:r>
      <w:r>
        <w:rPr>
          <w:rFonts w:hAnsi="宋体" w:hint="eastAsia"/>
          <w:szCs w:val="24"/>
        </w:rPr>
        <w:lastRenderedPageBreak/>
        <w:t>而导致基金份额净值计算错误而引起的基金份额持有人和基金财产的损失，由基金管理人负责赔付。</w:t>
      </w:r>
    </w:p>
    <w:p w14:paraId="332ABE00" w14:textId="77777777" w:rsidR="003D47C1" w:rsidRDefault="00000000">
      <w:pPr>
        <w:pStyle w:val="20"/>
        <w:spacing w:before="0" w:after="0" w:line="520" w:lineRule="atLeast"/>
        <w:rPr>
          <w:rFonts w:hAnsi="宋体" w:hint="eastAsia"/>
          <w:szCs w:val="24"/>
        </w:rPr>
      </w:pPr>
      <w:r>
        <w:rPr>
          <w:rFonts w:hAnsi="宋体" w:hint="eastAsia"/>
          <w:szCs w:val="24"/>
        </w:rPr>
        <w:t>（4）前述内容如法律法规或监管机关另有规定的，从其规定处理。</w:t>
      </w:r>
    </w:p>
    <w:p w14:paraId="09C7CE1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8.4基金账册的建立</w:t>
      </w:r>
    </w:p>
    <w:p w14:paraId="5139CB6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313DFF9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328352B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8.5基金定期报告的编制和复核</w:t>
      </w:r>
    </w:p>
    <w:p w14:paraId="730A2BC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8.5.1基金财务报告由基金管理人编制，</w:t>
      </w:r>
      <w:r>
        <w:rPr>
          <w:rFonts w:hAnsi="宋体"/>
          <w:szCs w:val="24"/>
        </w:rPr>
        <w:t>基金托管人</w:t>
      </w:r>
      <w:r>
        <w:rPr>
          <w:rFonts w:hAnsi="宋体" w:hint="eastAsia"/>
          <w:szCs w:val="24"/>
        </w:rPr>
        <w:t>复核。</w:t>
      </w:r>
    </w:p>
    <w:p w14:paraId="683E223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8.5.2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32B3AFB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8.5.3《基金合同》生效后，基金招募说明书、基金产品资料概要的信息发生重大变更的，基金管理人应当在三个工作日内，更新基金招募说明书、基金产品资料概要，并登载在</w:t>
      </w:r>
      <w:r>
        <w:rPr>
          <w:rFonts w:hAnsi="宋体"/>
          <w:szCs w:val="24"/>
        </w:rPr>
        <w:t>规定</w:t>
      </w:r>
      <w:r>
        <w:rPr>
          <w:rFonts w:hAnsi="宋体" w:hint="eastAsia"/>
          <w:szCs w:val="24"/>
        </w:rPr>
        <w:t>网站上，并将基金产品资料概要登载在基金销售机构网站或营业网点。基金招募说明书、基金产品资料概要其他信息发生变更的，基金管理人</w:t>
      </w:r>
      <w:r>
        <w:rPr>
          <w:rFonts w:hAnsi="宋体" w:hint="eastAsia"/>
          <w:szCs w:val="24"/>
        </w:rPr>
        <w:lastRenderedPageBreak/>
        <w:t>至少每年更新一次。基金终止运作的，基金管理人不再更新基金招募说明书和基金产品资料概要。</w:t>
      </w:r>
    </w:p>
    <w:p w14:paraId="3268AC24" w14:textId="77777777" w:rsidR="003D47C1" w:rsidRDefault="00000000">
      <w:pPr>
        <w:pStyle w:val="20"/>
        <w:spacing w:before="0" w:after="0" w:line="520" w:lineRule="atLeast"/>
        <w:ind w:left="0" w:firstLineChars="200" w:firstLine="480"/>
        <w:rPr>
          <w:rFonts w:hAnsi="宋体" w:hint="eastAsia"/>
          <w:szCs w:val="24"/>
        </w:rPr>
      </w:pPr>
      <w:bookmarkStart w:id="43" w:name="_DV_C270"/>
      <w:r>
        <w:rPr>
          <w:rFonts w:hAnsi="宋体" w:hint="eastAsia"/>
          <w:szCs w:val="24"/>
        </w:rPr>
        <w:t>8.5.</w:t>
      </w:r>
      <w:r>
        <w:rPr>
          <w:rFonts w:hAnsi="宋体"/>
          <w:szCs w:val="24"/>
        </w:rPr>
        <w:t>4</w:t>
      </w:r>
      <w:r>
        <w:rPr>
          <w:rFonts w:hAnsi="宋体" w:hint="eastAsia"/>
          <w:szCs w:val="24"/>
        </w:rPr>
        <w:t>基金管理人应及时完成报告编制，将有关报告提供基金托管人复核；基金托管人在收到报告之日起7个工作日内完成基金季度报告的复核；在收到报告之日起20个工作日内完成基金中期报告的复核；在收到报告之日起30个工作日内完成基金年度报告的</w:t>
      </w:r>
      <w:bookmarkEnd w:id="43"/>
      <w:r>
        <w:rPr>
          <w:rFonts w:hAnsi="宋体" w:hint="eastAsia"/>
          <w:szCs w:val="24"/>
        </w:rPr>
        <w:t>复核。基金托管人在复核过程中，发现双方的数据、</w:t>
      </w:r>
      <w:r>
        <w:rPr>
          <w:rFonts w:hAnsi="宋体"/>
          <w:szCs w:val="24"/>
        </w:rPr>
        <w:t>信息</w:t>
      </w:r>
      <w:r>
        <w:rPr>
          <w:rFonts w:hAnsi="宋体" w:hint="eastAsia"/>
          <w:szCs w:val="24"/>
        </w:rPr>
        <w:t>存在不符时，基金管理人和基金托管人应共同查明原因，进行调整，调整以国家有关规定为准。</w:t>
      </w:r>
    </w:p>
    <w:p w14:paraId="74A09E7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8.5.</w:t>
      </w:r>
      <w:r>
        <w:rPr>
          <w:rFonts w:hAnsi="宋体"/>
          <w:szCs w:val="24"/>
        </w:rPr>
        <w:t>5</w:t>
      </w:r>
      <w:r>
        <w:rPr>
          <w:rFonts w:hAnsi="宋体" w:hint="eastAsia"/>
          <w:szCs w:val="24"/>
        </w:rPr>
        <w:t>基金托管人在对财务会计报告、季度报告、中期报告或年度报告复核完毕后，需盖章确认或出具相应的复核确认书或进行电子确认，以</w:t>
      </w:r>
      <w:proofErr w:type="gramStart"/>
      <w:r>
        <w:rPr>
          <w:rFonts w:hAnsi="宋体" w:hint="eastAsia"/>
          <w:szCs w:val="24"/>
        </w:rPr>
        <w:t>备有权</w:t>
      </w:r>
      <w:proofErr w:type="gramEnd"/>
      <w:r>
        <w:rPr>
          <w:rFonts w:hAnsi="宋体" w:hint="eastAsia"/>
          <w:szCs w:val="24"/>
        </w:rPr>
        <w:t>机构对相关文件审核时提示。</w:t>
      </w:r>
    </w:p>
    <w:p w14:paraId="50EB4C3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8.6暂停估值的情形</w:t>
      </w:r>
    </w:p>
    <w:p w14:paraId="6DD6A015" w14:textId="77777777" w:rsidR="003D47C1" w:rsidRDefault="00000000">
      <w:pPr>
        <w:pStyle w:val="20"/>
        <w:spacing w:line="520" w:lineRule="atLeast"/>
        <w:ind w:left="0" w:firstLine="420"/>
        <w:rPr>
          <w:rFonts w:hAnsi="宋体" w:hint="eastAsia"/>
          <w:szCs w:val="24"/>
        </w:rPr>
      </w:pPr>
      <w:r>
        <w:rPr>
          <w:rFonts w:hAnsi="宋体" w:hint="eastAsia"/>
          <w:szCs w:val="24"/>
        </w:rPr>
        <w:t>（1）基金投资所涉及的证券、期货交易市场或外汇市场遇法定节假日或因其他原因暂停营业时；</w:t>
      </w:r>
    </w:p>
    <w:p w14:paraId="5DC82CE1" w14:textId="77777777" w:rsidR="003D47C1" w:rsidRDefault="00000000">
      <w:pPr>
        <w:pStyle w:val="20"/>
        <w:spacing w:line="520" w:lineRule="atLeast"/>
        <w:ind w:left="0" w:firstLine="420"/>
        <w:rPr>
          <w:rFonts w:hAnsi="宋体" w:hint="eastAsia"/>
          <w:szCs w:val="24"/>
        </w:rPr>
      </w:pPr>
      <w:r>
        <w:rPr>
          <w:rFonts w:hAnsi="宋体" w:hint="eastAsia"/>
          <w:szCs w:val="24"/>
        </w:rPr>
        <w:t>（2）因不可抗力致使基金管理人、基金托管人无法准确评估基金资产价值时；</w:t>
      </w:r>
    </w:p>
    <w:p w14:paraId="636E9944" w14:textId="77777777" w:rsidR="003D47C1" w:rsidRDefault="00000000">
      <w:pPr>
        <w:pStyle w:val="20"/>
        <w:spacing w:line="520" w:lineRule="atLeast"/>
        <w:ind w:left="0" w:firstLine="420"/>
        <w:rPr>
          <w:rFonts w:hAnsi="宋体" w:hint="eastAsia"/>
          <w:szCs w:val="24"/>
        </w:rPr>
      </w:pPr>
      <w:r>
        <w:rPr>
          <w:rFonts w:hAnsi="宋体" w:hint="eastAsia"/>
          <w:szCs w:val="24"/>
        </w:rPr>
        <w:t>（3）当特定资产占前一估值日基金资产净值50%以上的，经与基金托管人协商确认后，基金管理人应当暂停估值；</w:t>
      </w:r>
    </w:p>
    <w:p w14:paraId="24FAA444" w14:textId="77777777" w:rsidR="003D47C1" w:rsidRDefault="00000000">
      <w:pPr>
        <w:pStyle w:val="20"/>
        <w:spacing w:line="520" w:lineRule="atLeast"/>
        <w:ind w:left="0" w:firstLine="420"/>
        <w:rPr>
          <w:rFonts w:hAnsi="宋体" w:hint="eastAsia"/>
          <w:szCs w:val="24"/>
        </w:rPr>
      </w:pPr>
      <w:r>
        <w:rPr>
          <w:rFonts w:hAnsi="宋体" w:hint="eastAsia"/>
          <w:szCs w:val="24"/>
        </w:rPr>
        <w:t>（4）法律法规规定、中国证监会和基金合同认定的其他情形。</w:t>
      </w:r>
    </w:p>
    <w:p w14:paraId="3E7C810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8.7特殊情况的处理</w:t>
      </w:r>
    </w:p>
    <w:p w14:paraId="496E7F1F" w14:textId="77777777" w:rsidR="003D47C1" w:rsidRDefault="00000000">
      <w:pPr>
        <w:pStyle w:val="20"/>
        <w:spacing w:line="520" w:lineRule="atLeast"/>
        <w:ind w:left="0"/>
        <w:rPr>
          <w:rFonts w:hAnsi="宋体" w:hint="eastAsia"/>
          <w:szCs w:val="24"/>
        </w:rPr>
      </w:pPr>
      <w:r>
        <w:rPr>
          <w:rFonts w:hAnsi="宋体"/>
          <w:szCs w:val="24"/>
        </w:rPr>
        <w:tab/>
      </w:r>
      <w:r>
        <w:rPr>
          <w:rFonts w:hAnsi="宋体" w:hint="eastAsia"/>
          <w:szCs w:val="24"/>
        </w:rPr>
        <w:t>（1）基金管理人或基金托管人按估值方法的第（1</w:t>
      </w:r>
      <w:r>
        <w:rPr>
          <w:rFonts w:hAnsi="宋体"/>
          <w:szCs w:val="24"/>
        </w:rPr>
        <w:t>1</w:t>
      </w:r>
      <w:r>
        <w:rPr>
          <w:rFonts w:hAnsi="宋体" w:hint="eastAsia"/>
          <w:szCs w:val="24"/>
        </w:rPr>
        <w:t>）项进行估值时，所造成的误差不作为基金资产估值错误处理；</w:t>
      </w:r>
    </w:p>
    <w:p w14:paraId="2F0FAE17" w14:textId="77777777" w:rsidR="003D47C1" w:rsidRDefault="00000000">
      <w:pPr>
        <w:pStyle w:val="20"/>
        <w:spacing w:line="520" w:lineRule="atLeast"/>
        <w:ind w:left="0" w:firstLine="420"/>
        <w:rPr>
          <w:rFonts w:hAnsi="宋体" w:hint="eastAsia"/>
          <w:szCs w:val="24"/>
        </w:rPr>
      </w:pPr>
      <w:r>
        <w:rPr>
          <w:rFonts w:hAnsi="宋体" w:hint="eastAsia"/>
          <w:szCs w:val="24"/>
        </w:rPr>
        <w:t>（2）由于不可抗力，或证券交易所、期货交易所、登记结算机构及存款银行等第三方机构发送的数据错误、遗漏，或国家会计政策变更、市场规则变更等</w:t>
      </w:r>
      <w:proofErr w:type="gramStart"/>
      <w:r>
        <w:rPr>
          <w:rFonts w:hAnsi="宋体" w:hint="eastAsia"/>
          <w:szCs w:val="24"/>
        </w:rPr>
        <w:t>非基金</w:t>
      </w:r>
      <w:proofErr w:type="gramEnd"/>
      <w:r>
        <w:rPr>
          <w:rFonts w:hAnsi="宋体" w:hint="eastAsia"/>
          <w:szCs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07967C6E" w14:textId="77777777" w:rsidR="003D47C1" w:rsidRDefault="00000000">
      <w:pPr>
        <w:pStyle w:val="20"/>
        <w:spacing w:before="0" w:after="0" w:line="520" w:lineRule="atLeast"/>
        <w:ind w:left="0" w:firstLine="420"/>
        <w:rPr>
          <w:rFonts w:hAnsi="宋体" w:hint="eastAsia"/>
          <w:szCs w:val="24"/>
        </w:rPr>
      </w:pPr>
      <w:r>
        <w:rPr>
          <w:rFonts w:hAnsi="宋体" w:hint="eastAsia"/>
          <w:szCs w:val="24"/>
        </w:rPr>
        <w:lastRenderedPageBreak/>
        <w:t>（3）对于因税收规定调整或其他原因导致基金实际交纳税金与基金按照权责发生制进行估值的应交税金有差异的，相关估值调整不作为基金资产估值错误处理。</w:t>
      </w:r>
    </w:p>
    <w:p w14:paraId="333033CC" w14:textId="77777777" w:rsidR="003D47C1" w:rsidRDefault="00000000">
      <w:pPr>
        <w:pStyle w:val="1"/>
        <w:spacing w:line="520" w:lineRule="atLeast"/>
        <w:ind w:firstLineChars="200" w:firstLine="482"/>
        <w:rPr>
          <w:rFonts w:hint="eastAsia"/>
          <w:bCs/>
          <w:color w:val="auto"/>
          <w:szCs w:val="24"/>
        </w:rPr>
      </w:pPr>
      <w:bookmarkStart w:id="44" w:name="_Toc130978953"/>
      <w:bookmarkStart w:id="45" w:name="_Toc296551345"/>
      <w:r>
        <w:rPr>
          <w:rFonts w:hint="eastAsia"/>
          <w:bCs/>
          <w:color w:val="auto"/>
          <w:szCs w:val="24"/>
        </w:rPr>
        <w:t>第九条 基金收益分配</w:t>
      </w:r>
      <w:bookmarkEnd w:id="44"/>
      <w:bookmarkEnd w:id="45"/>
    </w:p>
    <w:p w14:paraId="5B3FD68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9.1基金利润的构成</w:t>
      </w:r>
    </w:p>
    <w:p w14:paraId="3B16B6F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基金利润指基金利息收入、投资收益、公允价值变动收益和其他收入扣除相关费用后的余额，基金已实现收益指基金利润减去公允价值变动收益后的余额。</w:t>
      </w:r>
    </w:p>
    <w:p w14:paraId="7175F01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9.2基金可供分配利润</w:t>
      </w:r>
    </w:p>
    <w:p w14:paraId="5489157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基金可供分配利润指截至收益分配基准日基金未分配利润与未分配利润中已实现收益的孰低数。</w:t>
      </w:r>
    </w:p>
    <w:p w14:paraId="2A0A935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9.3基金收益分配原则</w:t>
      </w:r>
    </w:p>
    <w:p w14:paraId="72C2264C" w14:textId="77777777" w:rsidR="003D47C1" w:rsidRDefault="00000000">
      <w:pPr>
        <w:pStyle w:val="20"/>
        <w:spacing w:line="520" w:lineRule="atLeast"/>
        <w:ind w:left="0" w:firstLine="420"/>
        <w:rPr>
          <w:bCs/>
          <w:szCs w:val="24"/>
        </w:rPr>
      </w:pPr>
      <w:r>
        <w:rPr>
          <w:rFonts w:hint="eastAsia"/>
          <w:bCs/>
          <w:szCs w:val="24"/>
        </w:rPr>
        <w:t>（1）在符合有关基金分红条件的前提下，基金管理人可对本基金进行基金分红；</w:t>
      </w:r>
      <w:proofErr w:type="gramStart"/>
      <w:r>
        <w:rPr>
          <w:rFonts w:hint="eastAsia"/>
          <w:bCs/>
          <w:szCs w:val="24"/>
        </w:rPr>
        <w:t>若基金</w:t>
      </w:r>
      <w:proofErr w:type="gramEnd"/>
      <w:r>
        <w:rPr>
          <w:rFonts w:hint="eastAsia"/>
          <w:bCs/>
          <w:szCs w:val="24"/>
        </w:rPr>
        <w:t>合同生效不满3个月，本基金可不进行收益分配；</w:t>
      </w:r>
    </w:p>
    <w:p w14:paraId="1D442154" w14:textId="77777777" w:rsidR="003D47C1" w:rsidRDefault="00000000">
      <w:pPr>
        <w:pStyle w:val="20"/>
        <w:spacing w:line="520" w:lineRule="atLeast"/>
        <w:ind w:left="0" w:firstLine="420"/>
        <w:rPr>
          <w:bCs/>
          <w:szCs w:val="24"/>
        </w:rPr>
      </w:pPr>
      <w:r>
        <w:rPr>
          <w:rFonts w:hint="eastAsia"/>
          <w:bCs/>
          <w:szCs w:val="24"/>
        </w:rPr>
        <w:t>（2）本基金收益分配方式分两种：现金分红与红利再投资，投资者可选择现金红利或将现金红利自动转为相应类别的基金份额进行再投资；若投资者不选择，本基金默认的收益分配方式是现金分红；</w:t>
      </w:r>
    </w:p>
    <w:p w14:paraId="59BF66C2" w14:textId="77777777" w:rsidR="003D47C1" w:rsidRDefault="00000000">
      <w:pPr>
        <w:pStyle w:val="20"/>
        <w:spacing w:line="520" w:lineRule="atLeast"/>
        <w:ind w:left="0" w:firstLine="420"/>
        <w:rPr>
          <w:bCs/>
          <w:szCs w:val="24"/>
        </w:rPr>
      </w:pPr>
      <w:r>
        <w:rPr>
          <w:rFonts w:hint="eastAsia"/>
          <w:bCs/>
          <w:szCs w:val="24"/>
        </w:rPr>
        <w:t>（3）基金收益分配后各类基金份额净值不能低于面值；即基金收益分配基准日的各类基金份额净值减去每单位该类基金份额收益分配金额后不能低于面值；</w:t>
      </w:r>
    </w:p>
    <w:p w14:paraId="1ED6191D" w14:textId="0347073B" w:rsidR="003D47C1" w:rsidRDefault="00000000">
      <w:pPr>
        <w:pStyle w:val="20"/>
        <w:spacing w:line="520" w:lineRule="atLeast"/>
        <w:ind w:left="0" w:firstLine="420"/>
        <w:rPr>
          <w:bCs/>
          <w:szCs w:val="24"/>
        </w:rPr>
      </w:pPr>
      <w:r>
        <w:rPr>
          <w:rFonts w:hint="eastAsia"/>
          <w:bCs/>
          <w:szCs w:val="24"/>
        </w:rPr>
        <w:t>（4）本基金同一类别的每一基金份额享有同等分配权，</w:t>
      </w:r>
      <w:r>
        <w:rPr>
          <w:rFonts w:hAnsi="宋体" w:hint="eastAsia"/>
          <w:bCs/>
          <w:szCs w:val="24"/>
        </w:rPr>
        <w:t>由于各类别基金份额的费用收取方式不同</w:t>
      </w:r>
      <w:r>
        <w:rPr>
          <w:rFonts w:hint="eastAsia"/>
          <w:bCs/>
          <w:szCs w:val="24"/>
        </w:rPr>
        <w:t>，各基金份额类别对应的可供分配利润将有所不同；</w:t>
      </w:r>
    </w:p>
    <w:p w14:paraId="168E31F3" w14:textId="77777777" w:rsidR="003D47C1" w:rsidRDefault="00000000">
      <w:pPr>
        <w:pStyle w:val="20"/>
        <w:spacing w:line="520" w:lineRule="atLeast"/>
        <w:ind w:left="0" w:firstLine="420"/>
        <w:rPr>
          <w:bCs/>
          <w:szCs w:val="24"/>
        </w:rPr>
      </w:pPr>
      <w:r>
        <w:rPr>
          <w:rFonts w:hint="eastAsia"/>
          <w:bCs/>
          <w:szCs w:val="24"/>
        </w:rPr>
        <w:t>（5）法律法规或监管机关另有规定的，从其规定。</w:t>
      </w:r>
    </w:p>
    <w:p w14:paraId="681EE488" w14:textId="56ED1336" w:rsidR="003D47C1" w:rsidRDefault="00000000">
      <w:pPr>
        <w:pStyle w:val="20"/>
        <w:spacing w:line="520" w:lineRule="atLeast"/>
        <w:ind w:left="0" w:firstLine="420"/>
        <w:rPr>
          <w:bCs/>
          <w:szCs w:val="24"/>
        </w:rPr>
      </w:pPr>
      <w:r>
        <w:rPr>
          <w:rFonts w:hint="eastAsia"/>
          <w:bCs/>
          <w:szCs w:val="24"/>
        </w:rPr>
        <w:t>在遵守法律法规和监管部门的规定，且对基金份额持有人利益无实质性不利影响的前提下，基金管理人在与基金托管人协商一致后，经履行适当程序，可对基金收益分配原则和支付方式进行调整，并应于变更实施日前在规定媒介公告。</w:t>
      </w:r>
    </w:p>
    <w:p w14:paraId="1396067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9.4收益分配方案</w:t>
      </w:r>
    </w:p>
    <w:p w14:paraId="7D83988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基金收益分配方案中应载明截止收益分配基准日的可供分配利润、基金收益分配对象、分配时间、分配数额及比例、分配方式等内容。</w:t>
      </w:r>
    </w:p>
    <w:p w14:paraId="3C7FC9A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9.5收益分配的时间和程序</w:t>
      </w:r>
    </w:p>
    <w:p w14:paraId="0D675473" w14:textId="77777777" w:rsidR="003D47C1" w:rsidRDefault="00000000">
      <w:pPr>
        <w:pStyle w:val="20"/>
        <w:spacing w:before="0" w:after="0" w:line="520" w:lineRule="atLeast"/>
        <w:ind w:left="0" w:firstLineChars="200" w:firstLine="480"/>
        <w:rPr>
          <w:bCs/>
        </w:rPr>
      </w:pPr>
      <w:r>
        <w:rPr>
          <w:rFonts w:hAnsi="宋体" w:hint="eastAsia"/>
          <w:szCs w:val="24"/>
        </w:rPr>
        <w:lastRenderedPageBreak/>
        <w:t>9.5.1本基金收益分配方案由基金管理人拟定，并由基金托管人复核，按照《信息披露办法》的有关规定在规定媒介公告。</w:t>
      </w:r>
    </w:p>
    <w:p w14:paraId="501F784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14:paraId="6255ED9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9.5.3法律法规或监管机关另有规定的，从其规定。</w:t>
      </w:r>
    </w:p>
    <w:p w14:paraId="1589BE96" w14:textId="77777777" w:rsidR="003D47C1" w:rsidRDefault="00000000">
      <w:pPr>
        <w:pStyle w:val="1"/>
        <w:spacing w:line="520" w:lineRule="atLeast"/>
        <w:ind w:firstLineChars="200" w:firstLine="482"/>
        <w:rPr>
          <w:rFonts w:hint="eastAsia"/>
          <w:bCs/>
          <w:color w:val="auto"/>
          <w:szCs w:val="24"/>
        </w:rPr>
      </w:pPr>
      <w:bookmarkStart w:id="46" w:name="_Toc130978954"/>
      <w:bookmarkStart w:id="47" w:name="_Toc296551346"/>
      <w:r>
        <w:rPr>
          <w:rFonts w:hint="eastAsia"/>
          <w:bCs/>
          <w:color w:val="auto"/>
          <w:szCs w:val="24"/>
        </w:rPr>
        <w:t>第十条 信息披露</w:t>
      </w:r>
      <w:bookmarkEnd w:id="46"/>
      <w:bookmarkEnd w:id="47"/>
    </w:p>
    <w:p w14:paraId="6061417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10.1保密义务</w:t>
      </w:r>
    </w:p>
    <w:p w14:paraId="0E18EB7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除按照《基金法》、《运作办法》、《信息披露办法》、《流动性</w:t>
      </w:r>
      <w:r>
        <w:rPr>
          <w:rFonts w:hAnsi="宋体"/>
          <w:szCs w:val="24"/>
        </w:rPr>
        <w:t>风险管理规定</w:t>
      </w:r>
      <w:r>
        <w:rPr>
          <w:rFonts w:hAnsi="宋体" w:hint="eastAsia"/>
          <w:szCs w:val="24"/>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D0EE6E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（1）非因基金管理人和基金托管人的原因导致保密信息被披露、泄露或公开；</w:t>
      </w:r>
    </w:p>
    <w:p w14:paraId="6FBD63F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（2）基金管理人和基金托管人为遵守和服从法院判决或裁定、仲裁裁决或中国证监会等监管机构的命令、决定所做出的信息披露或公开；</w:t>
      </w:r>
    </w:p>
    <w:p w14:paraId="4FAFF29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（3）基金管理人和基金托管人在要求保密的前提下对自身聘请的外部法律顾问、财务顾问、审计人员、技术顾问等做出的必要信息披露。</w:t>
      </w:r>
    </w:p>
    <w:p w14:paraId="2BFA3CD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10.2基金管理人和基金托管人在信息披露中的职责和信息披露程序</w:t>
      </w:r>
    </w:p>
    <w:p w14:paraId="39FC972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10.2.1基金管理人和基金托管人应根据相关法律法规、基金合同的规定和约定各自承担相应的信息披露职责。基金管理人和基金托管人负有积极配合、互相督促、彼此监督、保证其履行按照法定方式和时限披露的义务。</w:t>
      </w:r>
    </w:p>
    <w:p w14:paraId="2A3EF8C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10.2.2本基金信息披露的文件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w:t>
      </w:r>
      <w:r>
        <w:rPr>
          <w:rFonts w:hAnsi="宋体" w:hint="eastAsia"/>
          <w:szCs w:val="24"/>
        </w:rPr>
        <w:lastRenderedPageBreak/>
        <w:t>实施</w:t>
      </w:r>
      <w:proofErr w:type="gramStart"/>
      <w:r>
        <w:rPr>
          <w:rFonts w:hAnsi="宋体" w:hint="eastAsia"/>
          <w:szCs w:val="24"/>
        </w:rPr>
        <w:t>侧袋机制</w:t>
      </w:r>
      <w:proofErr w:type="gramEnd"/>
      <w:r>
        <w:rPr>
          <w:rFonts w:hAnsi="宋体" w:hint="eastAsia"/>
          <w:szCs w:val="24"/>
        </w:rPr>
        <w:t>期间的信息披露以及中国证监会规定的其他信息。</w:t>
      </w:r>
    </w:p>
    <w:p w14:paraId="4CDB973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10.2.3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F4491B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w:t>
      </w:r>
      <w:r>
        <w:rPr>
          <w:rFonts w:hAnsi="宋体"/>
          <w:szCs w:val="24"/>
        </w:rPr>
        <w:t>4</w:t>
      </w:r>
      <w:r>
        <w:rPr>
          <w:rFonts w:hAnsi="宋体" w:hint="eastAsia"/>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2496DB9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w:t>
      </w:r>
      <w:r>
        <w:rPr>
          <w:rFonts w:hAnsi="宋体"/>
          <w:szCs w:val="24"/>
        </w:rPr>
        <w:t>5</w:t>
      </w:r>
      <w:r>
        <w:rPr>
          <w:rFonts w:hAnsi="宋体" w:hint="eastAsia"/>
          <w:szCs w:val="24"/>
        </w:rPr>
        <w:t>基金年度</w:t>
      </w:r>
      <w:r>
        <w:rPr>
          <w:rFonts w:hAnsi="宋体"/>
          <w:szCs w:val="24"/>
        </w:rPr>
        <w:t>报</w:t>
      </w:r>
      <w:r>
        <w:rPr>
          <w:rFonts w:hAnsi="宋体" w:hint="eastAsia"/>
          <w:szCs w:val="24"/>
        </w:rPr>
        <w:t>告中的财务报告部分，</w:t>
      </w:r>
      <w:proofErr w:type="gramStart"/>
      <w:r>
        <w:rPr>
          <w:rFonts w:hAnsi="宋体" w:hint="eastAsia"/>
          <w:szCs w:val="24"/>
        </w:rPr>
        <w:t>经符合</w:t>
      </w:r>
      <w:proofErr w:type="gramEnd"/>
      <w:r>
        <w:rPr>
          <w:rFonts w:hAnsi="宋体" w:hint="eastAsia"/>
          <w:szCs w:val="24"/>
        </w:rPr>
        <w:t>《中华人民共和国证券法》规定的会计师事务所审计后，方可披露。</w:t>
      </w:r>
    </w:p>
    <w:p w14:paraId="4A722B7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w:t>
      </w:r>
      <w:r>
        <w:rPr>
          <w:rFonts w:hAnsi="宋体"/>
          <w:szCs w:val="24"/>
        </w:rPr>
        <w:t>6</w:t>
      </w:r>
      <w:r>
        <w:rPr>
          <w:rFonts w:hAnsi="宋体" w:hint="eastAsia"/>
          <w:szCs w:val="24"/>
        </w:rPr>
        <w:t>基金管理人应当在中国证监会规定的时间内，将应予披露的基金信息通过中国证监会规定媒介披露。根据法律法规应由基金托管人公开披露的信息，基金托管人将通过中国证监会规定媒介公开披露。</w:t>
      </w:r>
    </w:p>
    <w:p w14:paraId="18FA02E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10.2.</w:t>
      </w:r>
      <w:r>
        <w:rPr>
          <w:rFonts w:hAnsi="宋体"/>
          <w:szCs w:val="24"/>
        </w:rPr>
        <w:t>7</w:t>
      </w: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r>
        <w:rPr>
          <w:rFonts w:hAnsi="宋体" w:hint="eastAsia"/>
          <w:szCs w:val="24"/>
        </w:rPr>
        <w:t>在支付工本费后可在合理时间获得上述文件的复制件或复印件。基金管理人和基金托管人应保证文本的内容与所公告的内容完全一致。</w:t>
      </w:r>
    </w:p>
    <w:p w14:paraId="4A4EBBE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10.3暂停或延迟信息披露的情形</w:t>
      </w:r>
    </w:p>
    <w:p w14:paraId="498C42AC"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（1）基金投资所涉及的证券、期货交易市场或外汇市场遇法定节假日或因其他原因暂停交易时；</w:t>
      </w:r>
    </w:p>
    <w:p w14:paraId="24E69694"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（2）因不可抗力致使基金管理人、基金托管人无法准确评估基金资产价值或无法进行信息披露时；</w:t>
      </w:r>
    </w:p>
    <w:p w14:paraId="3D2B7A4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（3）当特定资产占前一估值日基金资产净值50%以上的，经与基金托管人协商确认后暂停估值的；</w:t>
      </w:r>
    </w:p>
    <w:p w14:paraId="47FF508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（4）法律法规、基金合同或中国证监会规定的情况。</w:t>
      </w:r>
    </w:p>
    <w:p w14:paraId="28C06D1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10.4基金托管人报告</w:t>
      </w:r>
    </w:p>
    <w:p w14:paraId="7925A10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基金托管人应按《基金法》、《运作办法》、《信息披露办法》和其他有关法律法规的规定于每个上半年度结束后两个</w:t>
      </w:r>
      <w:r>
        <w:rPr>
          <w:rFonts w:hAnsi="宋体"/>
          <w:szCs w:val="24"/>
        </w:rPr>
        <w:t>月</w:t>
      </w:r>
      <w:r>
        <w:rPr>
          <w:rFonts w:hAnsi="宋体" w:hint="eastAsia"/>
          <w:szCs w:val="24"/>
        </w:rPr>
        <w:t>内、每个会计年度结束后三个</w:t>
      </w:r>
      <w:r>
        <w:rPr>
          <w:rFonts w:hAnsi="宋体"/>
          <w:szCs w:val="24"/>
        </w:rPr>
        <w:t>月</w:t>
      </w:r>
      <w:proofErr w:type="gramStart"/>
      <w:r>
        <w:rPr>
          <w:rFonts w:hAnsi="宋体" w:hint="eastAsia"/>
          <w:szCs w:val="24"/>
        </w:rPr>
        <w:t>内在基金</w:t>
      </w:r>
      <w:proofErr w:type="gramEnd"/>
      <w:r>
        <w:rPr>
          <w:rFonts w:hAnsi="宋体" w:hint="eastAsia"/>
          <w:szCs w:val="24"/>
        </w:rPr>
        <w:t>中期报告及年度报告中分别出具基金托管人报告，</w:t>
      </w:r>
      <w:r>
        <w:rPr>
          <w:rFonts w:hAnsi="宋体"/>
          <w:szCs w:val="24"/>
        </w:rPr>
        <w:t>并提交给基金管理人</w:t>
      </w:r>
      <w:r>
        <w:rPr>
          <w:rFonts w:hAnsi="宋体" w:hint="eastAsia"/>
          <w:szCs w:val="24"/>
        </w:rPr>
        <w:t>。</w:t>
      </w:r>
    </w:p>
    <w:p w14:paraId="339EB686" w14:textId="77777777" w:rsidR="003D47C1" w:rsidRDefault="00000000">
      <w:pPr>
        <w:pStyle w:val="1"/>
        <w:spacing w:line="520" w:lineRule="atLeast"/>
        <w:ind w:firstLineChars="200" w:firstLine="482"/>
        <w:rPr>
          <w:rFonts w:hint="eastAsia"/>
          <w:bCs/>
          <w:color w:val="auto"/>
          <w:szCs w:val="24"/>
        </w:rPr>
      </w:pPr>
      <w:bookmarkStart w:id="48" w:name="_Toc130978955"/>
      <w:bookmarkStart w:id="49" w:name="_Toc296551347"/>
      <w:r>
        <w:rPr>
          <w:rFonts w:hint="eastAsia"/>
          <w:bCs/>
          <w:color w:val="auto"/>
          <w:szCs w:val="24"/>
        </w:rPr>
        <w:t>第十一条 基金费用</w:t>
      </w:r>
      <w:bookmarkEnd w:id="48"/>
      <w:bookmarkEnd w:id="49"/>
    </w:p>
    <w:p w14:paraId="6ACD02A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11.1基金管理费的计提比例和计提方法</w:t>
      </w:r>
    </w:p>
    <w:p w14:paraId="55EAAD0F" w14:textId="77777777" w:rsidR="003D47C1" w:rsidRDefault="00000000">
      <w:pPr>
        <w:pStyle w:val="20"/>
        <w:spacing w:before="0" w:after="0" w:line="520" w:lineRule="atLeast"/>
        <w:ind w:left="0" w:firstLineChars="200" w:firstLine="480"/>
        <w:rPr>
          <w:rFonts w:hAnsi="宋体" w:hint="eastAsia"/>
          <w:szCs w:val="24"/>
        </w:rPr>
      </w:pPr>
      <w:bookmarkStart w:id="50" w:name="_Hlk195864969"/>
      <w:r>
        <w:rPr>
          <w:rFonts w:hAnsi="宋体" w:hint="eastAsia"/>
          <w:szCs w:val="24"/>
        </w:rPr>
        <w:t>本基金的管理费按前一日基金资产净值的1.20%的年费率计提。管理费的计算方法如下：</w:t>
      </w:r>
    </w:p>
    <w:p w14:paraId="26FDF8E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H＝E×1.20%÷当年天数</w:t>
      </w:r>
    </w:p>
    <w:p w14:paraId="7841C72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H为每日应计提的基金管理费</w:t>
      </w:r>
    </w:p>
    <w:p w14:paraId="0E82D15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E为前一日的基金资产净值</w:t>
      </w:r>
    </w:p>
    <w:p w14:paraId="4BA658F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费每日计算，逐日累计至每月月末，按月支付，由基金管理人与基金托管人核对一致后，基金托管人按照与基金管理人协商一致的方式于次月首日起5个工作日内从基金财产中一次性支付给基金管理人。若遇法定节假日、休息日或不可抗力致使无法按时支付的，支付日期顺延。</w:t>
      </w:r>
      <w:bookmarkEnd w:id="50"/>
    </w:p>
    <w:p w14:paraId="47AFCB7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11.2基金托管费的计提比例和计提方法</w:t>
      </w:r>
    </w:p>
    <w:p w14:paraId="3E1D052C" w14:textId="77777777" w:rsidR="003D47C1" w:rsidRDefault="00000000">
      <w:pPr>
        <w:pStyle w:val="20"/>
        <w:spacing w:line="520" w:lineRule="atLeast"/>
        <w:ind w:left="0"/>
        <w:rPr>
          <w:rFonts w:hAnsi="宋体" w:hint="eastAsia"/>
          <w:szCs w:val="24"/>
        </w:rPr>
      </w:pPr>
      <w:r>
        <w:rPr>
          <w:rFonts w:hAnsi="宋体"/>
          <w:szCs w:val="24"/>
        </w:rPr>
        <w:tab/>
      </w:r>
      <w:r>
        <w:rPr>
          <w:rFonts w:hAnsi="宋体" w:hint="eastAsia"/>
          <w:szCs w:val="24"/>
        </w:rPr>
        <w:t>本基金的托管费按前一日基金资产净值的0.20%的年费率计提。托管费的计算方法如下：</w:t>
      </w:r>
    </w:p>
    <w:p w14:paraId="7A5C2F44" w14:textId="77777777" w:rsidR="003D47C1" w:rsidRDefault="00000000">
      <w:pPr>
        <w:pStyle w:val="20"/>
        <w:spacing w:line="520" w:lineRule="atLeast"/>
        <w:rPr>
          <w:rFonts w:hAnsi="宋体" w:hint="eastAsia"/>
          <w:szCs w:val="24"/>
        </w:rPr>
      </w:pPr>
      <w:r>
        <w:rPr>
          <w:rFonts w:hAnsi="宋体" w:hint="eastAsia"/>
          <w:szCs w:val="24"/>
        </w:rPr>
        <w:t>H＝E×0.20%÷当年天数</w:t>
      </w:r>
    </w:p>
    <w:p w14:paraId="3D8E2C14" w14:textId="77777777" w:rsidR="003D47C1" w:rsidRDefault="00000000">
      <w:pPr>
        <w:pStyle w:val="20"/>
        <w:spacing w:line="520" w:lineRule="atLeast"/>
        <w:rPr>
          <w:rFonts w:hAnsi="宋体" w:hint="eastAsia"/>
          <w:szCs w:val="24"/>
        </w:rPr>
      </w:pPr>
      <w:r>
        <w:rPr>
          <w:rFonts w:hAnsi="宋体" w:hint="eastAsia"/>
          <w:szCs w:val="24"/>
        </w:rPr>
        <w:t>H为每日应计提的基金托管费</w:t>
      </w:r>
    </w:p>
    <w:p w14:paraId="123DD62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E为前一日的基金资产净值</w:t>
      </w:r>
    </w:p>
    <w:p w14:paraId="694D7CA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基金托管费每日计算，</w:t>
      </w:r>
      <w:r>
        <w:rPr>
          <w:rFonts w:hAnsi="宋体" w:hint="eastAsia"/>
        </w:rPr>
        <w:t>逐日累计至</w:t>
      </w:r>
      <w:r>
        <w:rPr>
          <w:rFonts w:hAnsi="宋体" w:hint="eastAsia"/>
          <w:szCs w:val="24"/>
        </w:rPr>
        <w:t>每</w:t>
      </w:r>
      <w:r>
        <w:rPr>
          <w:rFonts w:hAnsi="宋体" w:hint="eastAsia"/>
        </w:rPr>
        <w:t>月月末，</w:t>
      </w:r>
      <w:r>
        <w:rPr>
          <w:rFonts w:hAnsi="宋体" w:hint="eastAsia"/>
          <w:szCs w:val="24"/>
        </w:rPr>
        <w:t>按月支付，由基金管理人与基金托管人核对一致后，基金托管人按照与基金管理人协商一致的方式于次月首日起5个工作日内从基金财产中一次性支取。若遇法定节假日、休息日或不可抗力致使无法按时支</w:t>
      </w:r>
      <w:r>
        <w:rPr>
          <w:rFonts w:hint="eastAsia"/>
          <w:bCs/>
        </w:rPr>
        <w:t>取</w:t>
      </w:r>
      <w:r>
        <w:rPr>
          <w:rFonts w:hAnsi="宋体" w:hint="eastAsia"/>
          <w:szCs w:val="24"/>
        </w:rPr>
        <w:t>的，支</w:t>
      </w:r>
      <w:r>
        <w:rPr>
          <w:rFonts w:hint="eastAsia"/>
          <w:bCs/>
        </w:rPr>
        <w:t>取</w:t>
      </w:r>
      <w:r>
        <w:rPr>
          <w:rFonts w:hAnsi="宋体" w:hint="eastAsia"/>
          <w:szCs w:val="24"/>
        </w:rPr>
        <w:t>日期顺延。</w:t>
      </w:r>
    </w:p>
    <w:p w14:paraId="5CB4988A" w14:textId="77777777" w:rsidR="003D47C1" w:rsidRDefault="00000000">
      <w:pPr>
        <w:pStyle w:val="20"/>
        <w:spacing w:line="520" w:lineRule="atLeast"/>
        <w:rPr>
          <w:rFonts w:hAnsi="宋体" w:hint="eastAsia"/>
          <w:szCs w:val="24"/>
        </w:rPr>
      </w:pPr>
      <w:r>
        <w:rPr>
          <w:rFonts w:hAnsi="宋体" w:hint="eastAsia"/>
          <w:szCs w:val="24"/>
        </w:rPr>
        <w:t>11.</w:t>
      </w:r>
      <w:r>
        <w:rPr>
          <w:rFonts w:hAnsi="宋体"/>
          <w:szCs w:val="24"/>
        </w:rPr>
        <w:t xml:space="preserve">3 </w:t>
      </w:r>
      <w:r>
        <w:rPr>
          <w:rFonts w:hAnsi="宋体" w:hint="eastAsia"/>
          <w:szCs w:val="24"/>
        </w:rPr>
        <w:t>C类基金份额的销售服务费的计提比例和计提方法</w:t>
      </w:r>
    </w:p>
    <w:p w14:paraId="174CDFF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本</w:t>
      </w:r>
      <w:proofErr w:type="gramStart"/>
      <w:r>
        <w:rPr>
          <w:rFonts w:hAnsi="宋体" w:hint="eastAsia"/>
          <w:szCs w:val="24"/>
        </w:rPr>
        <w:t>基金基金</w:t>
      </w:r>
      <w:proofErr w:type="gramEnd"/>
      <w:r>
        <w:rPr>
          <w:rFonts w:hAnsi="宋体" w:hint="eastAsia"/>
          <w:szCs w:val="24"/>
        </w:rPr>
        <w:t>份额分为不同的类别，适用不同的销售服务费率。其中，本基金A类基金份额不收取销售服务费，C类基金份额的销售服务费按前一日C类基金份额资产净值的0.40%的年费率计提。计算方法如下：</w:t>
      </w:r>
    </w:p>
    <w:p w14:paraId="7B38EDE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H＝E×0.40%÷当年天数</w:t>
      </w:r>
    </w:p>
    <w:p w14:paraId="520BBBB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H为C类基金份额每日应计提的销售服务费</w:t>
      </w:r>
    </w:p>
    <w:p w14:paraId="272C4A0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E为C类基金份额前一日的基金资产净值</w:t>
      </w:r>
    </w:p>
    <w:p w14:paraId="6921728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销售服务费每日计提。</w:t>
      </w:r>
    </w:p>
    <w:p w14:paraId="4334239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（1）直销机构：</w:t>
      </w:r>
    </w:p>
    <w:p w14:paraId="4245998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对于投资者通过直销机构认（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31F320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（2）代销机构：</w:t>
      </w:r>
    </w:p>
    <w:p w14:paraId="5ECDE3B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对于投资者通过代销机构认（申）</w:t>
      </w:r>
      <w:proofErr w:type="gramStart"/>
      <w:r>
        <w:rPr>
          <w:rFonts w:hAnsi="宋体" w:hint="eastAsia"/>
          <w:szCs w:val="24"/>
        </w:rPr>
        <w:t>购且持续</w:t>
      </w:r>
      <w:proofErr w:type="gramEnd"/>
      <w:r>
        <w:rPr>
          <w:rFonts w:hAnsi="宋体" w:hint="eastAsia"/>
          <w:szCs w:val="24"/>
        </w:rPr>
        <w:t>持有期限未超过一年（即365天，下同）的C类基金份额计提的销售服务费，逐日累计至每月月末，按月支付，由基金管理人</w:t>
      </w:r>
      <w:r>
        <w:rPr>
          <w:rFonts w:hint="eastAsia"/>
          <w:bCs/>
        </w:rPr>
        <w:t>向基金托管人发送基金销售服务费划款指令</w:t>
      </w:r>
      <w:r>
        <w:rPr>
          <w:rFonts w:hAnsi="宋体" w:hint="eastAsia"/>
          <w:szCs w:val="24"/>
        </w:rPr>
        <w:t>，基金托管人于次月首日起5个工作日内从基金财产中</w:t>
      </w:r>
      <w:r>
        <w:rPr>
          <w:rFonts w:hint="eastAsia"/>
          <w:bCs/>
        </w:rPr>
        <w:t>按照指定的账户路径</w:t>
      </w:r>
      <w:r>
        <w:rPr>
          <w:rFonts w:hAnsi="宋体" w:hint="eastAsia"/>
          <w:szCs w:val="24"/>
        </w:rPr>
        <w:t>一次性支付</w:t>
      </w:r>
      <w:r>
        <w:rPr>
          <w:rFonts w:hint="eastAsia"/>
          <w:bCs/>
        </w:rPr>
        <w:t>给基金管理人并由基金管理人代付给各基金销售机构</w:t>
      </w:r>
      <w:r>
        <w:rPr>
          <w:rFonts w:hAnsi="宋体" w:hint="eastAsia"/>
          <w:szCs w:val="24"/>
        </w:rPr>
        <w:t>。</w:t>
      </w:r>
    </w:p>
    <w:p w14:paraId="1BA4F84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对于投资者通过代销机构认（申）</w:t>
      </w:r>
      <w:proofErr w:type="gramStart"/>
      <w:r>
        <w:rPr>
          <w:rFonts w:hAnsi="宋体" w:hint="eastAsia"/>
          <w:szCs w:val="24"/>
        </w:rPr>
        <w:t>购且持续</w:t>
      </w:r>
      <w:proofErr w:type="gramEnd"/>
      <w:r>
        <w:rPr>
          <w:rFonts w:hAnsi="宋体" w:hint="eastAsia"/>
          <w:szCs w:val="24"/>
        </w:rPr>
        <w:t>持有期限超过一年的C类基金份额，超过一年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2D4EF98" w14:textId="0317F8C2"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若遇法定节假日、休息日或不可抗力致使无法按时支付的，支付日期顺延。</w:t>
      </w:r>
    </w:p>
    <w:p w14:paraId="5DF8581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在不违反法律法规、基金合同的约定的情况下，基金管理人可根据基金实际运作情况和市场环境变化，经履行适当程序后，对本基金的销售服务费的计提或收取方式进行调整。</w:t>
      </w:r>
    </w:p>
    <w:p w14:paraId="1B59055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11.</w:t>
      </w:r>
      <w:r>
        <w:rPr>
          <w:rFonts w:hAnsi="宋体"/>
          <w:szCs w:val="24"/>
        </w:rPr>
        <w:t>4</w:t>
      </w:r>
      <w:r>
        <w:rPr>
          <w:rFonts w:hAnsi="宋体" w:hint="eastAsia"/>
          <w:szCs w:val="24"/>
        </w:rPr>
        <w:t>基金合同生效后与基金相关的信息披露费用、基金合同生效后与基金相关的会计师费、律师费、诉讼费和仲裁费、基金份额持有人大会费用、基金的证券、期货、股票期权等交易、结算费用、基金的银行汇划费用、基金相关账户的开户和维护费用、因投资港股通标的股票而产生的各项费用等根据有关法律法规、基金合同及相应协议的规定，</w:t>
      </w:r>
      <w:r>
        <w:rPr>
          <w:bCs/>
        </w:rPr>
        <w:t>按费用实际支出金额列入当期费用，由基金托管人从基金财产中支付</w:t>
      </w:r>
      <w:r>
        <w:rPr>
          <w:rFonts w:hAnsi="宋体" w:hint="eastAsia"/>
          <w:szCs w:val="24"/>
        </w:rPr>
        <w:t>。</w:t>
      </w:r>
    </w:p>
    <w:p w14:paraId="412F766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11.</w:t>
      </w:r>
      <w:r>
        <w:rPr>
          <w:rFonts w:hAnsi="宋体"/>
          <w:szCs w:val="24"/>
        </w:rPr>
        <w:t>5</w:t>
      </w:r>
      <w:r>
        <w:rPr>
          <w:rFonts w:hAnsi="宋体" w:hint="eastAsia"/>
          <w:szCs w:val="24"/>
        </w:rPr>
        <w:t>不列入基金费用的项目</w:t>
      </w:r>
    </w:p>
    <w:p w14:paraId="54DF5C4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基金管理人与基金托管人因未履行或未完全履行义务导致的费用支出或基金财产的损失，以及处理与基金运作无关的事项发生的费用等不列入基金费用。基金合同生效前所发生的信息披露费、律师费、会计师费以及其他费用不从基金财产中支付。其他根据相关法律法规及中国证监会的有关规定不得列入基金费用的项目也不列入基金费用。</w:t>
      </w:r>
    </w:p>
    <w:p w14:paraId="17E34B5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11.</w:t>
      </w:r>
      <w:r>
        <w:rPr>
          <w:rFonts w:hAnsi="宋体"/>
          <w:szCs w:val="24"/>
        </w:rPr>
        <w:t>6</w:t>
      </w:r>
      <w:r>
        <w:rPr>
          <w:rFonts w:hAnsi="宋体" w:hint="eastAsia"/>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05CCEECB" w14:textId="77777777" w:rsidR="003D47C1" w:rsidRDefault="00000000">
      <w:pPr>
        <w:pStyle w:val="1"/>
        <w:spacing w:line="520" w:lineRule="atLeast"/>
        <w:ind w:firstLineChars="200" w:firstLine="482"/>
        <w:rPr>
          <w:rFonts w:hint="eastAsia"/>
          <w:bCs/>
          <w:color w:val="auto"/>
          <w:szCs w:val="24"/>
        </w:rPr>
      </w:pPr>
      <w:bookmarkStart w:id="51" w:name="_Toc130978956"/>
      <w:bookmarkStart w:id="52" w:name="_Toc296551348"/>
      <w:r>
        <w:rPr>
          <w:rFonts w:hint="eastAsia"/>
          <w:bCs/>
          <w:color w:val="auto"/>
          <w:szCs w:val="24"/>
        </w:rPr>
        <w:t>第十二条 基金份额持有人名册的保管</w:t>
      </w:r>
      <w:bookmarkEnd w:id="51"/>
      <w:bookmarkEnd w:id="52"/>
    </w:p>
    <w:p w14:paraId="21F1941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12.1基金管理人和基金托管人须分别妥善保管基金份额持有人名册，基金份额持有人名册的内容必须包括基金份额持有人的名称和持有的基金份额。</w:t>
      </w:r>
    </w:p>
    <w:p w14:paraId="4BCB5F5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不少于法律法规或监管规定的最低期限。</w:t>
      </w:r>
    </w:p>
    <w:p w14:paraId="5414974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12.</w:t>
      </w:r>
      <w:r>
        <w:rPr>
          <w:rFonts w:hAnsi="宋体"/>
          <w:szCs w:val="24"/>
        </w:rPr>
        <w:t>3</w:t>
      </w:r>
      <w:proofErr w:type="gramStart"/>
      <w:r>
        <w:rPr>
          <w:rFonts w:hAnsi="宋体" w:hint="eastAsia"/>
          <w:szCs w:val="24"/>
        </w:rPr>
        <w:t>若基金</w:t>
      </w:r>
      <w:proofErr w:type="gramEnd"/>
      <w:r>
        <w:rPr>
          <w:rFonts w:hAnsi="宋体" w:hint="eastAsia"/>
          <w:szCs w:val="24"/>
        </w:rPr>
        <w:t>管理人或基金托管人由于自身原因无法妥善保管基金份额持有人名册，应按有关法规规定各自承担相应的责任。</w:t>
      </w:r>
    </w:p>
    <w:p w14:paraId="34FBFAAC" w14:textId="77777777" w:rsidR="003D47C1" w:rsidRDefault="00000000">
      <w:pPr>
        <w:pStyle w:val="1"/>
        <w:spacing w:line="520" w:lineRule="atLeast"/>
        <w:ind w:firstLineChars="200" w:firstLine="482"/>
        <w:rPr>
          <w:rFonts w:hint="eastAsia"/>
          <w:bCs/>
          <w:color w:val="auto"/>
          <w:szCs w:val="24"/>
        </w:rPr>
      </w:pPr>
      <w:bookmarkStart w:id="53" w:name="_Toc130978957"/>
      <w:bookmarkStart w:id="54" w:name="_Toc296551349"/>
      <w:r>
        <w:rPr>
          <w:rFonts w:hint="eastAsia"/>
          <w:bCs/>
          <w:color w:val="auto"/>
          <w:szCs w:val="24"/>
        </w:rPr>
        <w:t>第十三条 基金有关文件和档案的保存</w:t>
      </w:r>
      <w:bookmarkEnd w:id="53"/>
      <w:bookmarkEnd w:id="54"/>
    </w:p>
    <w:p w14:paraId="41CC72B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13.1基金管理人、基金托管人按各自职责完整保存原始凭证、记账凭证、基金账册、交易记录和重要合同等，保存期限不少于法律法规或监管规则规定的最低期限，对相关信息负有保密义务，但本协议另有约定或根据有关法律法规规定或有权</w:t>
      </w:r>
      <w:r>
        <w:rPr>
          <w:rFonts w:hAnsi="宋体" w:hint="eastAsia"/>
          <w:szCs w:val="24"/>
        </w:rPr>
        <w:lastRenderedPageBreak/>
        <w:t>机关要求披露的除外。其中，基金管理人应保存基金财产管理业务活动的记录、账册、报表和其他相关资料，基金托管人应保存基金托管业务活动的记录、账册、报表和其他相关资料。</w:t>
      </w:r>
    </w:p>
    <w:p w14:paraId="5B590B2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13.2基金管理人签署重大合同文本后，应及时将合同文本正本送达基金托管人处。基金管理人应及时将与本基金账务处理、资金划拨等有关的合同、协议传真给基金托管人。</w:t>
      </w:r>
    </w:p>
    <w:p w14:paraId="020EA88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13.3基金管理人或基金托管人变更后，未变更的一方有义务协助接任人接收基金的有关文件。</w:t>
      </w:r>
    </w:p>
    <w:p w14:paraId="0762E03D" w14:textId="77777777" w:rsidR="003D47C1" w:rsidRDefault="00000000">
      <w:pPr>
        <w:pStyle w:val="1"/>
        <w:spacing w:line="520" w:lineRule="atLeast"/>
        <w:ind w:firstLineChars="200" w:firstLine="482"/>
        <w:rPr>
          <w:rFonts w:hint="eastAsia"/>
          <w:bCs/>
          <w:color w:val="auto"/>
          <w:szCs w:val="24"/>
        </w:rPr>
      </w:pPr>
      <w:bookmarkStart w:id="55" w:name="_Toc130978958"/>
      <w:bookmarkStart w:id="56" w:name="_Toc296551350"/>
      <w:r>
        <w:rPr>
          <w:rFonts w:hint="eastAsia"/>
          <w:bCs/>
          <w:color w:val="auto"/>
          <w:szCs w:val="24"/>
        </w:rPr>
        <w:t>第十四条 基金管理人和基金托管人的更换</w:t>
      </w:r>
      <w:bookmarkEnd w:id="55"/>
      <w:bookmarkEnd w:id="56"/>
    </w:p>
    <w:p w14:paraId="77413E4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14.1基金管理人的更换</w:t>
      </w:r>
    </w:p>
    <w:p w14:paraId="1D00255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14.1.1基金管理人的更换条件</w:t>
      </w:r>
    </w:p>
    <w:p w14:paraId="29A67F8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有下列情形之一的，基金管理人职责终止：</w:t>
      </w:r>
    </w:p>
    <w:p w14:paraId="737866D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（1）被依法取消基金管理资格；</w:t>
      </w:r>
    </w:p>
    <w:p w14:paraId="6D0D3FE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（2）被基金份额持有人大会解任；</w:t>
      </w:r>
    </w:p>
    <w:p w14:paraId="30599B5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w:t>
      </w:r>
      <w:r>
        <w:rPr>
          <w:rFonts w:hAnsi="宋体"/>
          <w:szCs w:val="24"/>
        </w:rPr>
        <w:t>3</w:t>
      </w:r>
      <w:r>
        <w:rPr>
          <w:rFonts w:hAnsi="宋体" w:hint="eastAsia"/>
          <w:szCs w:val="24"/>
        </w:rPr>
        <w:t>）依法解散、被依法撤销或被依法宣告破产；</w:t>
      </w:r>
    </w:p>
    <w:p w14:paraId="78A966B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（4）法律法规及中国证监会规定的和基金合同约定的其他情形。</w:t>
      </w:r>
    </w:p>
    <w:p w14:paraId="15D776D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14.1.2基金管理人的更换程序</w:t>
      </w:r>
    </w:p>
    <w:p w14:paraId="05F60A1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（1）提名：临时基金管理人应向基金托管人、单独或合计持有10%以上（含10%）基金份额的基金份额持有人征集</w:t>
      </w:r>
      <w:proofErr w:type="gramStart"/>
      <w:r>
        <w:rPr>
          <w:rFonts w:hAnsi="宋体" w:hint="eastAsia"/>
          <w:szCs w:val="24"/>
        </w:rPr>
        <w:t>新任基金</w:t>
      </w:r>
      <w:proofErr w:type="gramEnd"/>
      <w:r>
        <w:rPr>
          <w:rFonts w:hAnsi="宋体" w:hint="eastAsia"/>
          <w:szCs w:val="24"/>
        </w:rPr>
        <w:t>管理人提名人选。</w:t>
      </w:r>
      <w:proofErr w:type="gramStart"/>
      <w:r>
        <w:rPr>
          <w:rFonts w:hAnsi="宋体" w:hint="eastAsia"/>
          <w:szCs w:val="24"/>
        </w:rPr>
        <w:t>新任基金</w:t>
      </w:r>
      <w:proofErr w:type="gramEnd"/>
      <w:r>
        <w:rPr>
          <w:rFonts w:hAnsi="宋体" w:hint="eastAsia"/>
          <w:szCs w:val="24"/>
        </w:rPr>
        <w:t>管理人提名人选由临时基金管理人及基金托管人、单独或合计持有10%以上（含10%）基金份额的基金份额持有人提名的人选构成；</w:t>
      </w:r>
    </w:p>
    <w:p w14:paraId="4AECF55B"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F8D9353"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（3）临时基金管理人：</w:t>
      </w:r>
      <w:proofErr w:type="gramStart"/>
      <w:r>
        <w:rPr>
          <w:rFonts w:hAnsi="宋体" w:hint="eastAsia"/>
          <w:szCs w:val="24"/>
        </w:rPr>
        <w:t>新任基金</w:t>
      </w:r>
      <w:proofErr w:type="gramEnd"/>
      <w:r>
        <w:rPr>
          <w:rFonts w:hAnsi="宋体" w:hint="eastAsia"/>
          <w:szCs w:val="24"/>
        </w:rPr>
        <w:t>管理人产生之前，临时基金管理人由基金管理人、基金托管人、单独或合计持有10%以上（含10%）基金份额的基金份额持有人提名，中国证监会根据《基金法》的规定，从提名人选中择优指定临时基金管理</w:t>
      </w:r>
      <w:r>
        <w:rPr>
          <w:rFonts w:hAnsi="宋体" w:hint="eastAsia"/>
          <w:szCs w:val="24"/>
        </w:rPr>
        <w:lastRenderedPageBreak/>
        <w:t>人。基金管理人、基金托管人、单独或合计持有10%以上（含10%）基金份额的基金份额持有人均不提名的，由中国证监会指定临时基金管理人；</w:t>
      </w:r>
    </w:p>
    <w:p w14:paraId="7559CD3D"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（4）备案：基金份额持有人大会更换基金管理人的决议须报中国证监会备案；</w:t>
      </w:r>
    </w:p>
    <w:p w14:paraId="11238131"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（5）公告：基金管理人更换后，由基金托管人在更换基金管理人的基金份额持有人大会决议生效后2日内在规定媒介公告；</w:t>
      </w:r>
    </w:p>
    <w:p w14:paraId="1A1FFB29"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（6）交接与责任划分：基金管理人职责终止的，基金管理人应妥善保管基金管理业务资料，及时向临时基金管理人或</w:t>
      </w:r>
      <w:proofErr w:type="gramStart"/>
      <w:r>
        <w:rPr>
          <w:rFonts w:hAnsi="宋体" w:hint="eastAsia"/>
          <w:szCs w:val="24"/>
        </w:rPr>
        <w:t>新任基金</w:t>
      </w:r>
      <w:proofErr w:type="gramEnd"/>
      <w:r>
        <w:rPr>
          <w:rFonts w:hAnsi="宋体" w:hint="eastAsia"/>
          <w:szCs w:val="24"/>
        </w:rPr>
        <w:t>管理人办理基金管理业务的移交手续，临时基金管理人或</w:t>
      </w:r>
      <w:proofErr w:type="gramStart"/>
      <w:r>
        <w:rPr>
          <w:rFonts w:hAnsi="宋体" w:hint="eastAsia"/>
          <w:szCs w:val="24"/>
        </w:rPr>
        <w:t>新任基金</w:t>
      </w:r>
      <w:proofErr w:type="gramEnd"/>
      <w:r>
        <w:rPr>
          <w:rFonts w:hAnsi="宋体" w:hint="eastAsia"/>
          <w:szCs w:val="24"/>
        </w:rPr>
        <w:t>管理人应及时接收。</w:t>
      </w:r>
      <w:proofErr w:type="gramStart"/>
      <w:r>
        <w:rPr>
          <w:rFonts w:hAnsi="宋体" w:hint="eastAsia"/>
          <w:szCs w:val="24"/>
        </w:rPr>
        <w:t>新任基金</w:t>
      </w:r>
      <w:proofErr w:type="gramEnd"/>
      <w:r>
        <w:rPr>
          <w:rFonts w:hAnsi="宋体" w:hint="eastAsia"/>
          <w:szCs w:val="24"/>
        </w:rPr>
        <w:t>管理人或临时基金管理人应与基金托管人核对基金资产总值和净值。基金管理人、临时基金管理人、</w:t>
      </w:r>
      <w:proofErr w:type="gramStart"/>
      <w:r>
        <w:rPr>
          <w:rFonts w:hAnsi="宋体" w:hint="eastAsia"/>
          <w:szCs w:val="24"/>
        </w:rPr>
        <w:t>新任基金</w:t>
      </w:r>
      <w:proofErr w:type="gramEnd"/>
      <w:r>
        <w:rPr>
          <w:rFonts w:hAnsi="宋体" w:hint="eastAsia"/>
          <w:szCs w:val="24"/>
        </w:rPr>
        <w:t>管理人应对各自履职行为依法承担责任；</w:t>
      </w:r>
    </w:p>
    <w:p w14:paraId="57F31CE0"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24A79412"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（8）基金名称变更：基金管理人更换后，如果原任或</w:t>
      </w:r>
      <w:proofErr w:type="gramStart"/>
      <w:r>
        <w:rPr>
          <w:rFonts w:hAnsi="宋体" w:hint="eastAsia"/>
          <w:szCs w:val="24"/>
        </w:rPr>
        <w:t>新任基金</w:t>
      </w:r>
      <w:proofErr w:type="gramEnd"/>
      <w:r>
        <w:rPr>
          <w:rFonts w:hAnsi="宋体" w:hint="eastAsia"/>
          <w:szCs w:val="24"/>
        </w:rPr>
        <w:t>管理人要求，应按其要求替换或删除基金名称中与原任基金管理人有关的名称字样。</w:t>
      </w:r>
    </w:p>
    <w:p w14:paraId="4BE8301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14.2基金托管人的更换</w:t>
      </w:r>
    </w:p>
    <w:p w14:paraId="258982A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14.2.1基金托管人的更换条件</w:t>
      </w:r>
    </w:p>
    <w:p w14:paraId="2765FF2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有下列情形之一的，基金托管人职责终止：</w:t>
      </w:r>
    </w:p>
    <w:p w14:paraId="0EFA8E1B"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（1）被依法取消基金托管资格；</w:t>
      </w:r>
    </w:p>
    <w:p w14:paraId="3D2A5CD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（2）被基金份额持有人大会解任；</w:t>
      </w:r>
    </w:p>
    <w:p w14:paraId="1D38F622"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（3）依法解散、被依法撤销或被依法宣告破产；</w:t>
      </w:r>
    </w:p>
    <w:p w14:paraId="2D472F26"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（4）法律法规及中国证监会规定的和基金合同约定的其他情形。</w:t>
      </w:r>
    </w:p>
    <w:p w14:paraId="1EE8928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14.2.2基金托管人的更换程序</w:t>
      </w:r>
    </w:p>
    <w:p w14:paraId="5B494690"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（1）提名：</w:t>
      </w:r>
      <w:proofErr w:type="gramStart"/>
      <w:r>
        <w:rPr>
          <w:rFonts w:hAnsi="宋体" w:hint="eastAsia"/>
          <w:szCs w:val="24"/>
        </w:rPr>
        <w:t>新任基金</w:t>
      </w:r>
      <w:proofErr w:type="gramEnd"/>
      <w:r>
        <w:rPr>
          <w:rFonts w:hAnsi="宋体" w:hint="eastAsia"/>
          <w:szCs w:val="24"/>
        </w:rPr>
        <w:t>托管人由基金管理人或由单独或合计持有10%以上（含10%）基金份额的基金份额持有人提名；</w:t>
      </w:r>
    </w:p>
    <w:p w14:paraId="2524EB24"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（2）决议：基金份额持有人大会在基金托管人职责终止后6个月内对被提名</w:t>
      </w:r>
      <w:r>
        <w:rPr>
          <w:rFonts w:hAnsi="宋体" w:hint="eastAsia"/>
          <w:szCs w:val="24"/>
        </w:rPr>
        <w:lastRenderedPageBreak/>
        <w:t>的基金托管人形成决议，该决议需经参加大会的基金份额持有人所持表决权的三分之二以上（含三分之二）表决通过，决议自表决通过之日起生效；</w:t>
      </w:r>
    </w:p>
    <w:p w14:paraId="145D7BF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（3）临时基金托管人：</w:t>
      </w:r>
      <w:proofErr w:type="gramStart"/>
      <w:r>
        <w:rPr>
          <w:rFonts w:hAnsi="宋体" w:hint="eastAsia"/>
          <w:szCs w:val="24"/>
        </w:rPr>
        <w:t>新任基金</w:t>
      </w:r>
      <w:proofErr w:type="gramEnd"/>
      <w:r>
        <w:rPr>
          <w:rFonts w:hAnsi="宋体" w:hint="eastAsia"/>
          <w:szCs w:val="24"/>
        </w:rPr>
        <w:t>托管人产生之前，由中国证监会指定临时基金托管人；</w:t>
      </w:r>
    </w:p>
    <w:p w14:paraId="6169ECA0"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（4）备案：基金份额持有人大会更换基金托管人的决议须报中国证监会备案；</w:t>
      </w:r>
    </w:p>
    <w:p w14:paraId="37A7A8EA"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（5）公告：基金托管人更换后，由基金管理人在更换基金托管人的基金份额持有人大会决议生效后2日内在规定媒介公告；</w:t>
      </w:r>
    </w:p>
    <w:p w14:paraId="3607FD56" w14:textId="77777777" w:rsidR="003D47C1" w:rsidRDefault="00000000">
      <w:pPr>
        <w:pStyle w:val="20"/>
        <w:spacing w:line="520" w:lineRule="atLeast"/>
        <w:ind w:left="0" w:firstLineChars="200" w:firstLine="480"/>
        <w:rPr>
          <w:rFonts w:hAnsi="宋体" w:hint="eastAsia"/>
          <w:szCs w:val="24"/>
        </w:rPr>
      </w:pPr>
      <w:bookmarkStart w:id="57" w:name="OLE_LINK51"/>
      <w:bookmarkStart w:id="58" w:name="OLE_LINK52"/>
      <w:r>
        <w:rPr>
          <w:rFonts w:hAnsi="宋体" w:hint="eastAsia"/>
          <w:szCs w:val="24"/>
        </w:rPr>
        <w:t>（6）交接：基金托管人职责终止的，应当妥善保管基金财产和基金托管业务资料，及时办理基金财产和基金托管业务的移交手续，</w:t>
      </w:r>
      <w:proofErr w:type="gramStart"/>
      <w:r>
        <w:rPr>
          <w:rFonts w:hAnsi="宋体" w:hint="eastAsia"/>
          <w:szCs w:val="24"/>
        </w:rPr>
        <w:t>新任基金</w:t>
      </w:r>
      <w:proofErr w:type="gramEnd"/>
      <w:r>
        <w:rPr>
          <w:rFonts w:hAnsi="宋体" w:hint="eastAsia"/>
          <w:szCs w:val="24"/>
        </w:rPr>
        <w:t>托管人或者临时基金托管人应当及时接收。</w:t>
      </w:r>
      <w:proofErr w:type="gramStart"/>
      <w:r>
        <w:rPr>
          <w:rFonts w:hAnsi="宋体" w:hint="eastAsia"/>
          <w:szCs w:val="24"/>
        </w:rPr>
        <w:t>新任基金</w:t>
      </w:r>
      <w:proofErr w:type="gramEnd"/>
      <w:r>
        <w:rPr>
          <w:rFonts w:hAnsi="宋体" w:hint="eastAsia"/>
          <w:szCs w:val="24"/>
        </w:rPr>
        <w:t>托管人或临时基金托管人与基金管理人核对基金资产总值和净值；</w:t>
      </w:r>
    </w:p>
    <w:bookmarkEnd w:id="57"/>
    <w:bookmarkEnd w:id="58"/>
    <w:p w14:paraId="6B8EAE65" w14:textId="77777777" w:rsidR="003D47C1" w:rsidRDefault="00000000">
      <w:pPr>
        <w:pStyle w:val="20"/>
        <w:spacing w:line="520" w:lineRule="atLeast"/>
        <w:ind w:left="0" w:firstLineChars="200" w:firstLine="480"/>
        <w:rPr>
          <w:rFonts w:hAnsi="宋体" w:hint="eastAsia"/>
          <w:szCs w:val="24"/>
        </w:rPr>
      </w:pPr>
      <w:r>
        <w:rPr>
          <w:rFonts w:hAnsi="宋体" w:hint="eastAsia"/>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5BC556F2" w14:textId="77777777" w:rsidR="003D47C1" w:rsidRDefault="00000000">
      <w:pPr>
        <w:pStyle w:val="20"/>
        <w:spacing w:before="0" w:after="0" w:line="520" w:lineRule="atLeast"/>
        <w:ind w:left="0" w:firstLineChars="200" w:firstLine="480"/>
        <w:rPr>
          <w:rFonts w:hAnsi="宋体" w:hint="eastAsia"/>
          <w:szCs w:val="24"/>
        </w:rPr>
      </w:pPr>
      <w:bookmarkStart w:id="59" w:name="OLE_LINK77"/>
      <w:r>
        <w:rPr>
          <w:rFonts w:hAnsi="宋体" w:hint="eastAsia"/>
          <w:szCs w:val="24"/>
        </w:rPr>
        <w:t>14.3基金管理人与基金托管人同时更换的条件和程序</w:t>
      </w:r>
    </w:p>
    <w:bookmarkEnd w:id="59"/>
    <w:p w14:paraId="3CA55E4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14.3.1提名：如果基金管理人和基金托管人同时更换，由单独或合计持有基金总份额10%以上（含10%）的基金份额持有人提名新的基金管理人和基金托管人；</w:t>
      </w:r>
    </w:p>
    <w:p w14:paraId="2F1F886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14.3.</w:t>
      </w:r>
      <w:r>
        <w:rPr>
          <w:rFonts w:hAnsi="宋体"/>
          <w:szCs w:val="24"/>
        </w:rPr>
        <w:t>2</w:t>
      </w:r>
      <w:r>
        <w:rPr>
          <w:rFonts w:hAnsi="宋体" w:hint="eastAsia"/>
          <w:szCs w:val="24"/>
        </w:rPr>
        <w:t>基金管理人和基金托管人的更换分别按上述程序进行；</w:t>
      </w:r>
    </w:p>
    <w:p w14:paraId="67C024B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14.3.</w:t>
      </w:r>
      <w:r>
        <w:rPr>
          <w:rFonts w:hAnsi="宋体"/>
          <w:szCs w:val="24"/>
        </w:rPr>
        <w:t>3</w:t>
      </w:r>
      <w:r>
        <w:rPr>
          <w:rFonts w:hAnsi="宋体" w:hint="eastAsia"/>
          <w:szCs w:val="24"/>
        </w:rPr>
        <w:t>公告：</w:t>
      </w:r>
      <w:proofErr w:type="gramStart"/>
      <w:r>
        <w:rPr>
          <w:rFonts w:hAnsi="宋体" w:hint="eastAsia"/>
          <w:szCs w:val="24"/>
        </w:rPr>
        <w:t>新任基金</w:t>
      </w:r>
      <w:proofErr w:type="gramEnd"/>
      <w:r>
        <w:rPr>
          <w:rFonts w:hAnsi="宋体" w:hint="eastAsia"/>
          <w:szCs w:val="24"/>
        </w:rPr>
        <w:t>管理人和</w:t>
      </w:r>
      <w:proofErr w:type="gramStart"/>
      <w:r>
        <w:rPr>
          <w:rFonts w:hAnsi="宋体" w:hint="eastAsia"/>
          <w:szCs w:val="24"/>
        </w:rPr>
        <w:t>新任基金</w:t>
      </w:r>
      <w:proofErr w:type="gramEnd"/>
      <w:r>
        <w:rPr>
          <w:rFonts w:hAnsi="宋体" w:hint="eastAsia"/>
          <w:szCs w:val="24"/>
        </w:rPr>
        <w:t>托管人应在更换基金管理人和基金托管人的基金份额持有人大会决议生效后2日内在规定媒介上联合公告。</w:t>
      </w:r>
    </w:p>
    <w:p w14:paraId="514C7543" w14:textId="77777777" w:rsidR="003D47C1" w:rsidRDefault="00000000">
      <w:pPr>
        <w:pStyle w:val="20"/>
        <w:spacing w:before="0" w:after="0" w:line="520" w:lineRule="atLeast"/>
        <w:ind w:left="0" w:firstLineChars="200" w:firstLine="480"/>
        <w:rPr>
          <w:rFonts w:hAnsi="宋体" w:hint="eastAsia"/>
          <w:szCs w:val="24"/>
        </w:rPr>
      </w:pPr>
      <w:bookmarkStart w:id="60" w:name="OLE_LINK53"/>
      <w:bookmarkStart w:id="61" w:name="OLE_LINK54"/>
      <w:r>
        <w:rPr>
          <w:rFonts w:hAnsi="宋体" w:hint="eastAsia"/>
          <w:szCs w:val="24"/>
        </w:rPr>
        <w:t>14.4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bookmarkEnd w:id="60"/>
    <w:bookmarkEnd w:id="61"/>
    <w:p w14:paraId="7D3B78CF" w14:textId="77777777" w:rsidR="003D47C1" w:rsidRDefault="00000000">
      <w:pPr>
        <w:pStyle w:val="20"/>
        <w:spacing w:before="0" w:after="0" w:line="520" w:lineRule="atLeast"/>
        <w:ind w:left="0" w:firstLineChars="200" w:firstLine="480"/>
        <w:rPr>
          <w:rFonts w:hAnsi="宋体" w:hint="eastAsia"/>
          <w:szCs w:val="24"/>
        </w:rPr>
      </w:pPr>
      <w:r>
        <w:rPr>
          <w:rFonts w:hint="eastAsia"/>
          <w:bCs/>
        </w:rPr>
        <w:t>14.5本部</w:t>
      </w:r>
      <w:proofErr w:type="gramStart"/>
      <w:r>
        <w:rPr>
          <w:rFonts w:hint="eastAsia"/>
          <w:bCs/>
        </w:rPr>
        <w:t>分关于</w:t>
      </w:r>
      <w:proofErr w:type="gramEnd"/>
      <w:r>
        <w:rPr>
          <w:rFonts w:hint="eastAsia"/>
          <w:bCs/>
        </w:rPr>
        <w:t>基金管理人、基金托管人更换条件和程序的约定，凡是直接引用法律法规或监管规则的部分，如法律法规或监管规则修改导致相关内容被取消</w:t>
      </w:r>
      <w:r>
        <w:rPr>
          <w:rFonts w:hint="eastAsia"/>
          <w:bCs/>
        </w:rPr>
        <w:lastRenderedPageBreak/>
        <w:t>或变更的，基金管理人与基金托管人协商一致并提前公告后，可直接对相应内容进行修改和调整，无需召开基金份额持有人大会审议。</w:t>
      </w:r>
    </w:p>
    <w:p w14:paraId="6D96857F" w14:textId="77777777" w:rsidR="003D47C1" w:rsidRDefault="00000000">
      <w:pPr>
        <w:pStyle w:val="1"/>
        <w:spacing w:line="520" w:lineRule="atLeast"/>
        <w:ind w:firstLineChars="200" w:firstLine="482"/>
        <w:rPr>
          <w:rFonts w:hint="eastAsia"/>
          <w:bCs/>
          <w:color w:val="auto"/>
          <w:szCs w:val="24"/>
        </w:rPr>
      </w:pPr>
      <w:bookmarkStart w:id="62" w:name="_Toc296551351"/>
      <w:bookmarkStart w:id="63" w:name="_Toc130978959"/>
      <w:r>
        <w:rPr>
          <w:rFonts w:hint="eastAsia"/>
          <w:bCs/>
          <w:color w:val="auto"/>
          <w:szCs w:val="24"/>
        </w:rPr>
        <w:t>第十五条 禁止行为</w:t>
      </w:r>
      <w:bookmarkEnd w:id="62"/>
      <w:bookmarkEnd w:id="63"/>
    </w:p>
    <w:p w14:paraId="428C535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15.1基金管理人、基金托管人禁止从事的行为，包括但不限于：</w:t>
      </w:r>
    </w:p>
    <w:p w14:paraId="1C663AB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15.1.1基金管理人、基金托管人将其固有财产或者他人财产混同于基金财产从事证券投资。</w:t>
      </w:r>
    </w:p>
    <w:p w14:paraId="18E6B5C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15.1.2基金管理人不公平地对待其管理的不同基金财产，基金托管人不公平地对待其托管的不同基金财产。</w:t>
      </w:r>
    </w:p>
    <w:p w14:paraId="65D94BF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15.1.3基金管理人、基金托管人利用基金财产或职务之便为基金份额持有人以外的第三人牟取利益。</w:t>
      </w:r>
    </w:p>
    <w:p w14:paraId="5C44426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15.1.4基金管理人、基金托管人向基金份额持有人违规承诺收益或者承担损失。</w:t>
      </w:r>
    </w:p>
    <w:p w14:paraId="41B47D6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15.1.5基金管理人、基金托管人对他人泄露基金运作和管理过程中任何尚未按法律法规规定的方式公开披露的信息。</w:t>
      </w:r>
    </w:p>
    <w:p w14:paraId="443BA84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15.1.6基金管理人在没有充足资金的情况下向基金托管人发出投资指令和赎回、分红资金的划拨指令，或违规向基金托管人发出指令。</w:t>
      </w:r>
    </w:p>
    <w:p w14:paraId="3FB410D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15.1.7基金管理人、基金托管人在行政上、财务上不独立，其高级管理人员和其他从业人员相互兼职。</w:t>
      </w:r>
    </w:p>
    <w:p w14:paraId="79F7393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15.1.8基金托管人私自动用或处分基金财产，根据基金管理人的合法指令、基金合同或本协议的规定进行处分的除外。</w:t>
      </w:r>
    </w:p>
    <w:p w14:paraId="1C5B9BE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15.1.9基金财产用于下列投资或者活动：</w:t>
      </w:r>
    </w:p>
    <w:p w14:paraId="0179809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（1）承销证券；</w:t>
      </w:r>
    </w:p>
    <w:p w14:paraId="2D46916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（2）违反规定向他人贷款或者提供担保；</w:t>
      </w:r>
    </w:p>
    <w:p w14:paraId="0745A60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（3）从事承担无限责任的投资；</w:t>
      </w:r>
    </w:p>
    <w:p w14:paraId="15FFAFC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（4）买卖其他基金份额，但是中国证监会另有规定的除外；</w:t>
      </w:r>
    </w:p>
    <w:p w14:paraId="0D06405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（5）向其基金管理人、基金托管人出资；</w:t>
      </w:r>
    </w:p>
    <w:p w14:paraId="43DF14C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（6）从事内幕交易、操纵证券交易价格及其他不正当的证券交易活动；</w:t>
      </w:r>
    </w:p>
    <w:p w14:paraId="602DA75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（7）</w:t>
      </w:r>
      <w:r>
        <w:rPr>
          <w:bCs/>
        </w:rPr>
        <w:t>法律</w:t>
      </w:r>
      <w:r>
        <w:rPr>
          <w:rFonts w:hint="eastAsia"/>
          <w:bCs/>
        </w:rPr>
        <w:t>、行政法规和</w:t>
      </w:r>
      <w:r>
        <w:rPr>
          <w:bCs/>
        </w:rPr>
        <w:t>中国证监会规定禁止的其他</w:t>
      </w:r>
      <w:r>
        <w:rPr>
          <w:rFonts w:hint="eastAsia"/>
          <w:bCs/>
        </w:rPr>
        <w:t>活动。</w:t>
      </w:r>
    </w:p>
    <w:p w14:paraId="527AADC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15.1.10如法律法规或监管部门取消或调整上述禁止性规定，基金管理人在履行适当程序后，本基金可不受上述规定的限制或按调整后的规定执行，不需经基金份额持有人大会审议，但须提前公告。</w:t>
      </w:r>
    </w:p>
    <w:p w14:paraId="476A2D1F" w14:textId="77777777" w:rsidR="003D47C1" w:rsidRDefault="00000000">
      <w:pPr>
        <w:pStyle w:val="1"/>
        <w:spacing w:line="520" w:lineRule="atLeast"/>
        <w:ind w:firstLineChars="200" w:firstLine="482"/>
        <w:rPr>
          <w:rFonts w:hint="eastAsia"/>
          <w:bCs/>
          <w:color w:val="auto"/>
          <w:szCs w:val="24"/>
        </w:rPr>
      </w:pPr>
      <w:bookmarkStart w:id="64" w:name="_Toc296551352"/>
      <w:bookmarkStart w:id="65" w:name="_Toc130978960"/>
      <w:r>
        <w:rPr>
          <w:rFonts w:hint="eastAsia"/>
          <w:bCs/>
          <w:color w:val="auto"/>
          <w:szCs w:val="24"/>
        </w:rPr>
        <w:t>第十六条 本协议的变更、终止与基金财产的清算</w:t>
      </w:r>
      <w:bookmarkEnd w:id="64"/>
      <w:bookmarkEnd w:id="65"/>
    </w:p>
    <w:p w14:paraId="4F51D91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16.1本协议的变更与终止</w:t>
      </w:r>
    </w:p>
    <w:p w14:paraId="12018D70"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16.1.1本协议的变更程序</w:t>
      </w:r>
    </w:p>
    <w:p w14:paraId="609BCBD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本协议双方当事人经协商一致，可以对协议的内容进行变更。变更后的托管协议，其内容不得与基金合同的约定有任何冲突。</w:t>
      </w:r>
    </w:p>
    <w:p w14:paraId="53E8D6B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16.1.2本协议终止的情形</w:t>
      </w:r>
    </w:p>
    <w:p w14:paraId="268321B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发生以下情况，本协议终止：</w:t>
      </w:r>
    </w:p>
    <w:p w14:paraId="0FB182D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（1）基金合同终止；</w:t>
      </w:r>
    </w:p>
    <w:p w14:paraId="27F604C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（2）基金托管人解散、依法被撤销、破产或由其他基金托管人接管基金资产；</w:t>
      </w:r>
    </w:p>
    <w:p w14:paraId="2422B58A"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（3）基金管理人解散、依法被撤销、破产或由其他基金管理人接管基金管理权；</w:t>
      </w:r>
    </w:p>
    <w:p w14:paraId="629B482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（4）发生法律法规或基金合同规定的终止事项。</w:t>
      </w:r>
    </w:p>
    <w:p w14:paraId="7A2BAB8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16.2基金财产的清算</w:t>
      </w:r>
    </w:p>
    <w:p w14:paraId="7861209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16.2.1基金财产清算小组</w:t>
      </w:r>
    </w:p>
    <w:p w14:paraId="412BBE6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（1）自出现基金合同终止事由之日起30个工作日内成立基金财产清算小组，基金管理人或临时基金管理人组织基金财产清算小组并在中国证监会的监督下进行基金清算。</w:t>
      </w:r>
    </w:p>
    <w:p w14:paraId="46338FBE"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财产清算小组成员由基金管理人或临时基金管理人、基金托管人、符合《中华人民共和国证券法》规定的注册会计师、律师以及中国证监会指定的人员组成。基金财产清算小组可以聘用必要的工作人员。</w:t>
      </w:r>
    </w:p>
    <w:p w14:paraId="431E333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（3）在基金财产清算过程中，基金管理人和基金托管人应各自履行职责，继续忠实、勤勉、尽责地履行基金合同和本协议规定的义务，维护基金份额持有人的合法权益。</w:t>
      </w:r>
    </w:p>
    <w:p w14:paraId="789F412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（4）基金财产清算小组负责基金财产的保管、清理、估价、变现和分配。基金财产清算小组可以依法进行必要的民事活动。</w:t>
      </w:r>
    </w:p>
    <w:p w14:paraId="1093919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16.2.2基金财产清算程序</w:t>
      </w:r>
    </w:p>
    <w:p w14:paraId="08463E6E" w14:textId="77777777" w:rsidR="003D47C1" w:rsidRDefault="00000000">
      <w:pPr>
        <w:pStyle w:val="20"/>
        <w:spacing w:line="520" w:lineRule="atLeast"/>
        <w:rPr>
          <w:rFonts w:hAnsi="宋体" w:hint="eastAsia"/>
          <w:szCs w:val="24"/>
        </w:rPr>
      </w:pPr>
      <w:r>
        <w:rPr>
          <w:rFonts w:hAnsi="宋体" w:hint="eastAsia"/>
          <w:szCs w:val="24"/>
        </w:rPr>
        <w:t>（1）基金合同终止情形出现时，由基金财产清算小组统一接管基金；</w:t>
      </w:r>
    </w:p>
    <w:p w14:paraId="09D5C83F" w14:textId="77777777" w:rsidR="003D47C1" w:rsidRDefault="00000000">
      <w:pPr>
        <w:pStyle w:val="20"/>
        <w:spacing w:line="520" w:lineRule="atLeast"/>
        <w:rPr>
          <w:rFonts w:hAnsi="宋体" w:hint="eastAsia"/>
          <w:szCs w:val="24"/>
        </w:rPr>
      </w:pPr>
      <w:r>
        <w:rPr>
          <w:rFonts w:hAnsi="宋体" w:hint="eastAsia"/>
          <w:szCs w:val="24"/>
        </w:rPr>
        <w:t>（2）对基金财产和债权债务进行清理和确认；</w:t>
      </w:r>
    </w:p>
    <w:p w14:paraId="696FDAE5" w14:textId="77777777" w:rsidR="003D47C1" w:rsidRDefault="00000000">
      <w:pPr>
        <w:pStyle w:val="20"/>
        <w:spacing w:line="520" w:lineRule="atLeast"/>
        <w:rPr>
          <w:rFonts w:hAnsi="宋体" w:hint="eastAsia"/>
          <w:szCs w:val="24"/>
        </w:rPr>
      </w:pPr>
      <w:r>
        <w:rPr>
          <w:rFonts w:hAnsi="宋体" w:hint="eastAsia"/>
          <w:szCs w:val="24"/>
        </w:rPr>
        <w:t>（3）对基金财产进行估值和变现；</w:t>
      </w:r>
    </w:p>
    <w:p w14:paraId="032D845F" w14:textId="77777777" w:rsidR="003D47C1" w:rsidRDefault="00000000">
      <w:pPr>
        <w:pStyle w:val="20"/>
        <w:spacing w:line="520" w:lineRule="atLeast"/>
        <w:rPr>
          <w:rFonts w:hAnsi="宋体" w:hint="eastAsia"/>
          <w:szCs w:val="24"/>
        </w:rPr>
      </w:pPr>
      <w:r>
        <w:rPr>
          <w:rFonts w:hAnsi="宋体" w:hint="eastAsia"/>
          <w:szCs w:val="24"/>
        </w:rPr>
        <w:t>（4）制作清算报告；</w:t>
      </w:r>
    </w:p>
    <w:p w14:paraId="043BE9B0" w14:textId="77777777" w:rsidR="003D47C1" w:rsidRDefault="00000000">
      <w:pPr>
        <w:pStyle w:val="20"/>
        <w:spacing w:line="520" w:lineRule="atLeast"/>
        <w:rPr>
          <w:rFonts w:hAnsi="宋体" w:hint="eastAsia"/>
          <w:szCs w:val="24"/>
        </w:rPr>
      </w:pPr>
      <w:r>
        <w:rPr>
          <w:rFonts w:hAnsi="宋体" w:hint="eastAsia"/>
          <w:szCs w:val="24"/>
        </w:rPr>
        <w:t>（5）聘请会计师事务所对清算报告进行外部审计，聘请律师事务所对清算报告出具法律意见书；</w:t>
      </w:r>
    </w:p>
    <w:p w14:paraId="0980A8C2" w14:textId="77777777" w:rsidR="003D47C1" w:rsidRDefault="00000000">
      <w:pPr>
        <w:pStyle w:val="20"/>
        <w:spacing w:line="520" w:lineRule="atLeast"/>
        <w:rPr>
          <w:rFonts w:hAnsi="宋体" w:hint="eastAsia"/>
          <w:szCs w:val="24"/>
        </w:rPr>
      </w:pPr>
      <w:r>
        <w:rPr>
          <w:rFonts w:hAnsi="宋体" w:hint="eastAsia"/>
          <w:szCs w:val="24"/>
        </w:rPr>
        <w:t>（6）将清算报告报中国证监会备案并公告；</w:t>
      </w:r>
    </w:p>
    <w:p w14:paraId="27D6DE3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（7）对基金剩余财产进行分配。</w:t>
      </w:r>
    </w:p>
    <w:p w14:paraId="79174343" w14:textId="77777777" w:rsidR="003D47C1" w:rsidRDefault="00000000">
      <w:pPr>
        <w:pStyle w:val="20"/>
        <w:spacing w:before="0" w:after="0" w:line="520" w:lineRule="atLeast"/>
        <w:ind w:left="0" w:firstLineChars="200" w:firstLine="480"/>
        <w:rPr>
          <w:bCs/>
          <w:szCs w:val="24"/>
        </w:rPr>
      </w:pPr>
      <w:r>
        <w:rPr>
          <w:rFonts w:hint="eastAsia"/>
          <w:bCs/>
          <w:szCs w:val="24"/>
        </w:rPr>
        <w:t>基金财产清算的期限为6个月，但因本基金所持证券的流动性受到限制而不能及时变现的，清算期限相应顺延。</w:t>
      </w:r>
    </w:p>
    <w:p w14:paraId="0C7C5A8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16.2.3清算费用</w:t>
      </w:r>
    </w:p>
    <w:p w14:paraId="19A8AF6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清算费用是指基金财产清算小组在进行基金财产清算过程中发生的所有合理费用，清算费用由基金财产清算小组优先从基金剩余财产中支付。</w:t>
      </w:r>
    </w:p>
    <w:p w14:paraId="775DC028" w14:textId="77777777" w:rsidR="003D47C1" w:rsidRDefault="00000000">
      <w:pPr>
        <w:pStyle w:val="20"/>
        <w:spacing w:before="0" w:after="0" w:line="520" w:lineRule="atLeast"/>
        <w:ind w:left="0" w:firstLineChars="200" w:firstLine="480"/>
        <w:rPr>
          <w:rFonts w:hAnsi="宋体" w:hint="eastAsia"/>
          <w:szCs w:val="24"/>
        </w:rPr>
      </w:pPr>
      <w:bookmarkStart w:id="66" w:name="OLE_LINK56"/>
      <w:bookmarkStart w:id="67" w:name="OLE_LINK57"/>
      <w:r>
        <w:rPr>
          <w:rFonts w:hAnsi="宋体" w:hint="eastAsia"/>
          <w:szCs w:val="24"/>
        </w:rPr>
        <w:t>16.2.4依据基金财产清算的分配方案，将基金财产清算后的全部剩余资产扣除基金财产清算费用、交纳所欠税款并清偿基金债务后，按基金份额持有人持有的各类基金份额比例进行分配。</w:t>
      </w:r>
    </w:p>
    <w:bookmarkEnd w:id="66"/>
    <w:bookmarkEnd w:id="67"/>
    <w:p w14:paraId="62A1B22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16.2.5基金财产清算的公告</w:t>
      </w:r>
    </w:p>
    <w:p w14:paraId="703C19C5" w14:textId="77777777" w:rsidR="003D47C1" w:rsidRDefault="00000000">
      <w:pPr>
        <w:pStyle w:val="20"/>
        <w:spacing w:before="0" w:after="0" w:line="520" w:lineRule="atLeast"/>
        <w:ind w:left="0" w:firstLineChars="200" w:firstLine="480"/>
        <w:rPr>
          <w:bCs/>
        </w:rPr>
      </w:pPr>
      <w:r>
        <w:rPr>
          <w:rFonts w:hint="eastAsia"/>
          <w:bCs/>
        </w:rPr>
        <w:t>清算过程中的有关重大事项须及时公告；基金财产清算报告</w:t>
      </w:r>
      <w:proofErr w:type="gramStart"/>
      <w:r>
        <w:rPr>
          <w:rFonts w:hint="eastAsia"/>
          <w:bCs/>
        </w:rPr>
        <w:t>经符合</w:t>
      </w:r>
      <w:proofErr w:type="gramEnd"/>
      <w:r>
        <w:rPr>
          <w:rFonts w:hint="eastAsia"/>
          <w:bCs/>
        </w:rPr>
        <w:t>《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CB57CB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16.2.6基金财产清算账册及文件的保存</w:t>
      </w:r>
    </w:p>
    <w:p w14:paraId="697E9D3F" w14:textId="77777777" w:rsidR="003D47C1" w:rsidRDefault="00000000">
      <w:pPr>
        <w:pStyle w:val="20"/>
        <w:spacing w:before="0" w:after="0" w:line="520" w:lineRule="atLeast"/>
        <w:ind w:left="0" w:firstLineChars="200" w:firstLine="480"/>
        <w:rPr>
          <w:bCs/>
        </w:rPr>
      </w:pPr>
      <w:r>
        <w:rPr>
          <w:rFonts w:hint="eastAsia"/>
          <w:bCs/>
        </w:rPr>
        <w:t>基金财产清算账册及有关文件由基金托管人保存，保存期限不低于法律法规规定的期限。</w:t>
      </w:r>
    </w:p>
    <w:p w14:paraId="39636423" w14:textId="77777777" w:rsidR="003D47C1" w:rsidRDefault="00000000">
      <w:pPr>
        <w:pStyle w:val="1"/>
        <w:spacing w:line="520" w:lineRule="atLeast"/>
        <w:ind w:firstLineChars="200" w:firstLine="482"/>
        <w:rPr>
          <w:rFonts w:hint="eastAsia"/>
          <w:bCs/>
          <w:color w:val="auto"/>
          <w:szCs w:val="24"/>
        </w:rPr>
      </w:pPr>
      <w:bookmarkStart w:id="68" w:name="_Toc130978961"/>
      <w:bookmarkStart w:id="69" w:name="_Toc296551353"/>
      <w:r>
        <w:rPr>
          <w:rFonts w:hint="eastAsia"/>
          <w:bCs/>
          <w:color w:val="auto"/>
          <w:szCs w:val="24"/>
        </w:rPr>
        <w:lastRenderedPageBreak/>
        <w:t>第十七条 违约责任</w:t>
      </w:r>
      <w:bookmarkEnd w:id="68"/>
      <w:bookmarkEnd w:id="69"/>
    </w:p>
    <w:p w14:paraId="35055BE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17.1如果基金管理人或基金托管人不履行本协议或者履行本协议不符合约定的，应当承担违约责任。</w:t>
      </w:r>
    </w:p>
    <w:p w14:paraId="29A431F8"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17.2因托管协议当事人违反《基金法》等法律法规的规定或者基金合同、本协议约定，给基金财产或者基金份额持有人造成损害的，应当分别对各自的行为依法承担赔偿责任，因共同行为给基金财产或者基金份额持有人造成损害的，应当承担连带赔偿责任。一方承担连带责任后有权根据另一方过错程度向另一方追偿。但是发生下列情况，当事人免责：</w:t>
      </w:r>
    </w:p>
    <w:p w14:paraId="1B1DCAA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（1）不可抗力；</w:t>
      </w:r>
    </w:p>
    <w:p w14:paraId="60F3BD5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（2）基金管理人和/或基金托管人按照当时有效的法律法规或中国证监会的规定作为或不作为而造成的损失等；</w:t>
      </w:r>
    </w:p>
    <w:p w14:paraId="01B44CB7"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（3）基金管理人由于按照基金合同约定的投资原则投资或不投资造成的直接损失等。</w:t>
      </w:r>
    </w:p>
    <w:p w14:paraId="7CEFB73B"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合理的成本、费用和支出，以及由此遭受的损失。</w:t>
      </w:r>
    </w:p>
    <w:p w14:paraId="13555FD4"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D4A0921"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17.5违约行为虽已发生，但本协议能够继续履行的，在最大限度地保护基金份额持有人利益的前提下，基金管理人和基金托管人应当继续履行本协议。</w:t>
      </w:r>
    </w:p>
    <w:p w14:paraId="2C4D0AE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17.6由于基金管理人、基金托管人不可控制的因素导致业务出现差错，基金管理人和基金托管人虽然已经采取必要、适当、合理的措施进行检查，但是未能发现错误的，由此造成基金财产或基金份额持有人损失，基金管理人和基金托管人免除赔偿责任。但是基金管理人和基金托管人应积极采取必要的措施减轻或消除由此</w:t>
      </w:r>
      <w:r>
        <w:rPr>
          <w:rFonts w:hAnsi="宋体" w:hint="eastAsia"/>
          <w:szCs w:val="24"/>
        </w:rPr>
        <w:lastRenderedPageBreak/>
        <w:t>造成的影响。</w:t>
      </w:r>
    </w:p>
    <w:p w14:paraId="22A850E8" w14:textId="77777777" w:rsidR="003D47C1" w:rsidRDefault="00000000">
      <w:pPr>
        <w:pStyle w:val="20"/>
        <w:snapToGrid w:val="0"/>
        <w:spacing w:before="0" w:after="0" w:line="520" w:lineRule="atLeast"/>
        <w:ind w:left="0" w:firstLineChars="200" w:firstLine="480"/>
        <w:rPr>
          <w:rFonts w:hAnsi="宋体" w:hint="eastAsia"/>
          <w:szCs w:val="24"/>
        </w:rPr>
      </w:pPr>
      <w:r>
        <w:rPr>
          <w:rFonts w:hAnsi="宋体" w:hint="eastAsia"/>
          <w:szCs w:val="24"/>
        </w:rPr>
        <w:t>17.7本协议所指损失均为直接损失。</w:t>
      </w:r>
    </w:p>
    <w:p w14:paraId="2E3499F7" w14:textId="77777777" w:rsidR="003D47C1" w:rsidRDefault="00000000">
      <w:pPr>
        <w:pStyle w:val="1"/>
        <w:spacing w:line="520" w:lineRule="atLeast"/>
        <w:ind w:firstLineChars="200" w:firstLine="482"/>
        <w:rPr>
          <w:rFonts w:hint="eastAsia"/>
          <w:bCs/>
          <w:color w:val="auto"/>
          <w:szCs w:val="24"/>
        </w:rPr>
      </w:pPr>
      <w:bookmarkStart w:id="70" w:name="_Toc130978962"/>
      <w:bookmarkStart w:id="71" w:name="_Toc296551354"/>
      <w:r>
        <w:rPr>
          <w:rFonts w:hint="eastAsia"/>
          <w:bCs/>
          <w:color w:val="auto"/>
          <w:szCs w:val="24"/>
        </w:rPr>
        <w:t>第十八条 法律</w:t>
      </w:r>
      <w:r>
        <w:rPr>
          <w:bCs/>
          <w:color w:val="auto"/>
          <w:szCs w:val="24"/>
        </w:rPr>
        <w:t>适用和</w:t>
      </w:r>
      <w:r>
        <w:rPr>
          <w:rFonts w:hint="eastAsia"/>
          <w:bCs/>
          <w:color w:val="auto"/>
          <w:szCs w:val="24"/>
        </w:rPr>
        <w:t>争议解决</w:t>
      </w:r>
      <w:bookmarkEnd w:id="70"/>
      <w:bookmarkEnd w:id="71"/>
    </w:p>
    <w:p w14:paraId="33036FB9" w14:textId="77777777" w:rsidR="003D47C1" w:rsidRDefault="00000000">
      <w:pPr>
        <w:adjustRightInd w:val="0"/>
        <w:snapToGrid w:val="0"/>
        <w:spacing w:line="520" w:lineRule="atLeast"/>
        <w:ind w:firstLineChars="200" w:firstLine="480"/>
        <w:rPr>
          <w:bCs/>
          <w:sz w:val="24"/>
        </w:rPr>
      </w:pPr>
      <w:r>
        <w:rPr>
          <w:rFonts w:hint="eastAsia"/>
          <w:bCs/>
          <w:sz w:val="24"/>
        </w:rPr>
        <w:t>本协议的效力、解释、变更、执行及争议的解决等均适用中华人民共和国法律（为本协议之目的，不包括香港特别行政区、澳门特别行政区以及台湾地区法律）并从其解释，没有相关成文规定的，参照通用的商业惯例和（或）行业惯例。</w:t>
      </w:r>
    </w:p>
    <w:p w14:paraId="25E1E1A1" w14:textId="77777777" w:rsidR="003D47C1" w:rsidRDefault="00000000">
      <w:pPr>
        <w:adjustRightInd w:val="0"/>
        <w:snapToGrid w:val="0"/>
        <w:spacing w:line="520" w:lineRule="atLeast"/>
        <w:ind w:firstLineChars="200" w:firstLine="480"/>
        <w:rPr>
          <w:rFonts w:ascii="宋体" w:hAnsi="宋体" w:hint="eastAsia"/>
          <w:b/>
          <w:bCs/>
          <w:color w:val="000000"/>
          <w:sz w:val="24"/>
        </w:rPr>
      </w:pPr>
      <w:r>
        <w:rPr>
          <w:rFonts w:ascii="宋体" w:hAnsi="宋体" w:hint="eastAsia"/>
          <w:bCs/>
          <w:color w:val="000000"/>
          <w:sz w:val="24"/>
        </w:rPr>
        <w:t>凡因本协议产生的及与本协议有关的争议，</w:t>
      </w:r>
      <w:r>
        <w:rPr>
          <w:rFonts w:ascii="宋体" w:hAnsi="宋体" w:hint="eastAsia"/>
          <w:b/>
          <w:bCs/>
          <w:color w:val="000000"/>
          <w:sz w:val="24"/>
        </w:rPr>
        <w:t>如经友好协商未能解决的，均应提交中国国际经济贸易仲裁委员会，按照申请仲裁时该会届时有效的仲裁规则进行仲裁，仲裁地点为北京市。仲裁裁决是终局的，并对双方当事人具有约束力。除非仲裁裁决另有裁定，仲裁费和律师费用由败诉方承担。</w:t>
      </w:r>
    </w:p>
    <w:p w14:paraId="659993A9" w14:textId="77777777" w:rsidR="003D47C1" w:rsidRDefault="00000000">
      <w:pPr>
        <w:adjustRightInd w:val="0"/>
        <w:snapToGrid w:val="0"/>
        <w:spacing w:line="520" w:lineRule="atLeast"/>
        <w:ind w:firstLineChars="200" w:firstLine="480"/>
        <w:rPr>
          <w:bCs/>
        </w:rPr>
      </w:pPr>
      <w:r>
        <w:rPr>
          <w:rFonts w:hint="eastAsia"/>
          <w:bCs/>
          <w:sz w:val="24"/>
        </w:rPr>
        <w:t>争议处理期间，基金管理人和基金托管人应恪守各自的职责，继续忠实、勤勉、尽责地履行基金合同和本协议规定的义务，维护基金份额持有人的合法权益。</w:t>
      </w:r>
    </w:p>
    <w:p w14:paraId="4FC2A0BF" w14:textId="77777777" w:rsidR="003D47C1" w:rsidRDefault="00000000">
      <w:pPr>
        <w:pStyle w:val="1"/>
        <w:adjustRightInd w:val="0"/>
        <w:spacing w:line="520" w:lineRule="atLeast"/>
        <w:ind w:firstLineChars="200" w:firstLine="482"/>
        <w:rPr>
          <w:rFonts w:hint="eastAsia"/>
          <w:bCs/>
          <w:color w:val="auto"/>
          <w:szCs w:val="24"/>
        </w:rPr>
      </w:pPr>
      <w:bookmarkStart w:id="72" w:name="_Toc130978963"/>
      <w:bookmarkStart w:id="73" w:name="_Toc296551355"/>
      <w:r>
        <w:rPr>
          <w:rFonts w:hint="eastAsia"/>
          <w:bCs/>
          <w:color w:val="auto"/>
          <w:szCs w:val="24"/>
        </w:rPr>
        <w:t>第十九条 本协议的效力</w:t>
      </w:r>
      <w:bookmarkEnd w:id="72"/>
      <w:bookmarkEnd w:id="73"/>
    </w:p>
    <w:p w14:paraId="789D9DDE" w14:textId="77777777" w:rsidR="003D47C1" w:rsidRDefault="00000000">
      <w:pPr>
        <w:pStyle w:val="20"/>
        <w:adjustRightInd w:val="0"/>
        <w:snapToGrid w:val="0"/>
        <w:spacing w:before="0" w:after="0" w:line="520" w:lineRule="atLeast"/>
        <w:ind w:left="0" w:firstLineChars="200" w:firstLine="480"/>
        <w:rPr>
          <w:rFonts w:hAnsi="宋体" w:hint="eastAsia"/>
          <w:szCs w:val="24"/>
        </w:rPr>
      </w:pPr>
      <w:r>
        <w:rPr>
          <w:rFonts w:hAnsi="宋体" w:hint="eastAsia"/>
          <w:szCs w:val="24"/>
        </w:rPr>
        <w:t>19.1基金管理人在向中国证监会申请发售基金份额时提交的托管协议草案，应经托管协议当事人加盖公章或合同专用章以及双方法定代表人</w:t>
      </w:r>
      <w:r>
        <w:rPr>
          <w:rFonts w:hAnsi="宋体"/>
          <w:szCs w:val="24"/>
        </w:rPr>
        <w:t>/负责人</w:t>
      </w:r>
      <w:r>
        <w:rPr>
          <w:rFonts w:hAnsi="宋体" w:hint="eastAsia"/>
          <w:szCs w:val="24"/>
        </w:rPr>
        <w:t>或授权代理人签字</w:t>
      </w:r>
      <w:r>
        <w:rPr>
          <w:bCs/>
        </w:rPr>
        <w:t>或</w:t>
      </w:r>
      <w:r>
        <w:rPr>
          <w:rFonts w:hint="eastAsia"/>
          <w:bCs/>
          <w:color w:val="000000"/>
        </w:rPr>
        <w:t>签章</w:t>
      </w:r>
      <w:r>
        <w:rPr>
          <w:rFonts w:hAnsi="宋体" w:hint="eastAsia"/>
          <w:szCs w:val="24"/>
        </w:rPr>
        <w:t>，本协议当事人双方可能不时根据中国证监会的意见修改托管协议草案。本协议以中国证监会注册的最终文本为正式文本。</w:t>
      </w:r>
    </w:p>
    <w:p w14:paraId="51BE4FB9"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19.2本协议自双方</w:t>
      </w:r>
      <w:r>
        <w:rPr>
          <w:rFonts w:hAnsi="宋体"/>
          <w:szCs w:val="24"/>
        </w:rPr>
        <w:t>签订</w:t>
      </w:r>
      <w:r>
        <w:rPr>
          <w:rFonts w:hAnsi="宋体" w:hint="eastAsia"/>
          <w:szCs w:val="24"/>
        </w:rPr>
        <w:t>之日起成立，自基金合同生效之日起生效。本协议的有效期自其生效之日起至该基金财产清算结果报中国证监会备案并公告之日止。</w:t>
      </w:r>
    </w:p>
    <w:p w14:paraId="0D0552A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19.3本协议自生效之日起对双方具有同等的法律约束力。</w:t>
      </w:r>
    </w:p>
    <w:p w14:paraId="203FF64F"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19.4本协议正本一式</w:t>
      </w:r>
      <w:r>
        <w:rPr>
          <w:rFonts w:hAnsi="宋体"/>
          <w:szCs w:val="24"/>
        </w:rPr>
        <w:t>三</w:t>
      </w:r>
      <w:r>
        <w:rPr>
          <w:rFonts w:hAnsi="宋体" w:hint="eastAsia"/>
          <w:szCs w:val="24"/>
        </w:rPr>
        <w:t>份，除上报有关监管机构</w:t>
      </w:r>
      <w:r>
        <w:rPr>
          <w:rFonts w:hAnsi="宋体"/>
          <w:szCs w:val="24"/>
        </w:rPr>
        <w:t>一</w:t>
      </w:r>
      <w:r>
        <w:rPr>
          <w:rFonts w:hAnsi="宋体" w:hint="eastAsia"/>
          <w:szCs w:val="24"/>
        </w:rPr>
        <w:t>份外，基金管理人和基金托管人分别持有一份，每份具有同等的法律效力。</w:t>
      </w:r>
    </w:p>
    <w:p w14:paraId="50D8E5ED" w14:textId="77777777" w:rsidR="003D47C1" w:rsidRDefault="00000000">
      <w:pPr>
        <w:pStyle w:val="1"/>
        <w:spacing w:line="520" w:lineRule="atLeast"/>
        <w:ind w:firstLineChars="200" w:firstLine="482"/>
        <w:rPr>
          <w:rFonts w:hint="eastAsia"/>
          <w:bCs/>
          <w:color w:val="auto"/>
          <w:szCs w:val="24"/>
        </w:rPr>
      </w:pPr>
      <w:bookmarkStart w:id="74" w:name="_Toc296551356"/>
      <w:bookmarkStart w:id="75" w:name="_Toc130978964"/>
      <w:r>
        <w:rPr>
          <w:rFonts w:hint="eastAsia"/>
          <w:bCs/>
          <w:color w:val="auto"/>
          <w:szCs w:val="24"/>
        </w:rPr>
        <w:t>第二十条 本协议的签订</w:t>
      </w:r>
      <w:bookmarkEnd w:id="74"/>
      <w:bookmarkEnd w:id="75"/>
    </w:p>
    <w:p w14:paraId="2BF99BE7" w14:textId="77777777" w:rsidR="003D47C1" w:rsidRDefault="00000000">
      <w:pPr>
        <w:snapToGrid w:val="0"/>
        <w:spacing w:line="520" w:lineRule="atLeast"/>
        <w:ind w:firstLineChars="200" w:firstLine="480"/>
        <w:rPr>
          <w:rFonts w:ascii="宋体" w:hAnsi="宋体" w:hint="eastAsia"/>
          <w:sz w:val="24"/>
          <w:szCs w:val="24"/>
        </w:rPr>
      </w:pPr>
      <w:r>
        <w:rPr>
          <w:rFonts w:ascii="宋体" w:hAnsi="宋体" w:hint="eastAsia"/>
          <w:sz w:val="24"/>
          <w:szCs w:val="24"/>
        </w:rPr>
        <w:t>20.1本协议经基金管理人和基金托管人认可后，由双方当事人在本协议上加盖公章或合同专用章，并由各自的法定代表人</w:t>
      </w:r>
      <w:r>
        <w:rPr>
          <w:rFonts w:ascii="宋体" w:hAnsi="宋体"/>
          <w:sz w:val="24"/>
          <w:szCs w:val="24"/>
        </w:rPr>
        <w:t>/负责人</w:t>
      </w:r>
      <w:r>
        <w:rPr>
          <w:rFonts w:ascii="宋体" w:hAnsi="宋体" w:hint="eastAsia"/>
          <w:sz w:val="24"/>
          <w:szCs w:val="24"/>
        </w:rPr>
        <w:t>或授权代理人签字或签章，并注明本托管协议的签订地点和签订日期。</w:t>
      </w:r>
    </w:p>
    <w:p w14:paraId="21DEA87D" w14:textId="77777777" w:rsidR="003D47C1" w:rsidRDefault="00000000">
      <w:pPr>
        <w:pStyle w:val="1"/>
        <w:spacing w:line="520" w:lineRule="atLeast"/>
        <w:ind w:firstLineChars="200" w:firstLine="482"/>
        <w:rPr>
          <w:rFonts w:hint="eastAsia"/>
          <w:bCs/>
          <w:color w:val="auto"/>
          <w:szCs w:val="24"/>
        </w:rPr>
      </w:pPr>
      <w:bookmarkStart w:id="76" w:name="_Toc130978965"/>
      <w:r>
        <w:rPr>
          <w:rFonts w:hint="eastAsia"/>
          <w:bCs/>
          <w:color w:val="auto"/>
          <w:szCs w:val="24"/>
        </w:rPr>
        <w:t>第二十一条 不可抗力</w:t>
      </w:r>
      <w:bookmarkEnd w:id="76"/>
    </w:p>
    <w:p w14:paraId="75F28665"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21.</w:t>
      </w:r>
      <w:r>
        <w:t>1</w:t>
      </w:r>
      <w:r>
        <w:rPr>
          <w:rFonts w:hAnsi="宋体" w:hint="eastAsia"/>
          <w:szCs w:val="24"/>
        </w:rPr>
        <w:t>如果本协议任何一方因受不可抗力事件影响而未能履行其在本协议下的</w:t>
      </w:r>
      <w:r>
        <w:rPr>
          <w:rFonts w:hAnsi="宋体" w:hint="eastAsia"/>
          <w:szCs w:val="24"/>
        </w:rPr>
        <w:lastRenderedPageBreak/>
        <w:t>全部或部分义务，该方</w:t>
      </w:r>
      <w:proofErr w:type="gramStart"/>
      <w:r>
        <w:rPr>
          <w:rFonts w:hAnsi="宋体" w:hint="eastAsia"/>
          <w:szCs w:val="24"/>
        </w:rPr>
        <w:t>不</w:t>
      </w:r>
      <w:proofErr w:type="gramEnd"/>
      <w:r>
        <w:rPr>
          <w:rFonts w:hAnsi="宋体" w:hint="eastAsia"/>
          <w:szCs w:val="24"/>
        </w:rPr>
        <w:t>对此承担违约责任。</w:t>
      </w:r>
    </w:p>
    <w:p w14:paraId="741AB95D"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40461B8C"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21.3不可抗力事件发生时，双方应立即通过友好协商决定如何执行本协议。不可抗力事件或其影响终止或消除后，双方须立即恢复履行各自在本协议项下的各项义务。</w:t>
      </w:r>
    </w:p>
    <w:p w14:paraId="5C9B9FF3"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t>21.4本条所述的不可抗力事件是指不能预见、不能避免并不能克服的客观情况。</w:t>
      </w:r>
    </w:p>
    <w:p w14:paraId="5954222A" w14:textId="77777777" w:rsidR="003D47C1" w:rsidRDefault="00000000">
      <w:pPr>
        <w:pStyle w:val="1"/>
        <w:spacing w:line="520" w:lineRule="atLeast"/>
        <w:ind w:firstLineChars="200" w:firstLine="482"/>
        <w:rPr>
          <w:rFonts w:hint="eastAsia"/>
          <w:bCs/>
          <w:szCs w:val="24"/>
        </w:rPr>
      </w:pPr>
      <w:bookmarkStart w:id="77" w:name="_Toc132794326"/>
      <w:bookmarkStart w:id="78" w:name="_Toc132794329"/>
      <w:bookmarkStart w:id="79" w:name="_Toc132794324"/>
      <w:bookmarkStart w:id="80" w:name="_Toc132794328"/>
      <w:bookmarkStart w:id="81" w:name="_Toc132794327"/>
      <w:bookmarkStart w:id="82" w:name="_Toc132794325"/>
      <w:bookmarkStart w:id="83" w:name="_Toc132794330"/>
      <w:bookmarkStart w:id="84" w:name="_Toc130978966"/>
      <w:bookmarkEnd w:id="77"/>
      <w:bookmarkEnd w:id="78"/>
      <w:bookmarkEnd w:id="79"/>
      <w:bookmarkEnd w:id="80"/>
      <w:bookmarkEnd w:id="81"/>
      <w:bookmarkEnd w:id="82"/>
      <w:bookmarkEnd w:id="83"/>
      <w:r>
        <w:rPr>
          <w:rFonts w:hint="eastAsia"/>
          <w:bCs/>
          <w:color w:val="auto"/>
          <w:szCs w:val="24"/>
        </w:rPr>
        <w:t>第二十二条</w:t>
      </w:r>
      <w:r>
        <w:rPr>
          <w:bCs/>
          <w:color w:val="auto"/>
          <w:szCs w:val="24"/>
        </w:rPr>
        <w:t xml:space="preserve"> </w:t>
      </w:r>
      <w:r>
        <w:rPr>
          <w:rFonts w:hint="eastAsia"/>
          <w:bCs/>
          <w:color w:val="auto"/>
          <w:szCs w:val="24"/>
        </w:rPr>
        <w:t>可分割性</w:t>
      </w:r>
      <w:bookmarkEnd w:id="84"/>
    </w:p>
    <w:p w14:paraId="0BAF8CE3" w14:textId="77777777" w:rsidR="003D47C1" w:rsidRDefault="00000000">
      <w:pPr>
        <w:pStyle w:val="20"/>
        <w:spacing w:before="0" w:after="0" w:line="520" w:lineRule="atLeast"/>
        <w:ind w:left="0" w:firstLineChars="200" w:firstLine="480"/>
        <w:rPr>
          <w:rFonts w:hAnsi="宋体" w:hint="eastAsia"/>
          <w:szCs w:val="24"/>
        </w:rPr>
      </w:pPr>
      <w:r>
        <w:rPr>
          <w:rFonts w:hAnsi="宋体"/>
          <w:szCs w:val="24"/>
        </w:rPr>
        <w:t>22.1如果本协议任何约定依现行法律被确定为无效或无法实施，本协议的其他条款将继续有效。此种情况下，</w:t>
      </w:r>
      <w:r>
        <w:rPr>
          <w:rFonts w:hAnsi="宋体" w:hint="eastAsia"/>
          <w:szCs w:val="24"/>
        </w:rPr>
        <w:t>双</w:t>
      </w:r>
      <w:r>
        <w:rPr>
          <w:rFonts w:hAnsi="宋体"/>
          <w:szCs w:val="24"/>
        </w:rPr>
        <w:t>方将积极协商以达成有效的约定，且该有效约定应尽可能接近原规定和本协议相应的精神和宗旨。</w:t>
      </w:r>
    </w:p>
    <w:p w14:paraId="68BC9BF5" w14:textId="77777777" w:rsidR="003D47C1" w:rsidRDefault="00000000">
      <w:pPr>
        <w:pStyle w:val="1"/>
        <w:spacing w:line="520" w:lineRule="atLeast"/>
        <w:ind w:firstLineChars="200" w:firstLine="482"/>
        <w:rPr>
          <w:rFonts w:hint="eastAsia"/>
          <w:bCs/>
          <w:szCs w:val="24"/>
        </w:rPr>
      </w:pPr>
      <w:bookmarkStart w:id="85" w:name="_Toc130978967"/>
      <w:r>
        <w:rPr>
          <w:rFonts w:hint="eastAsia"/>
          <w:bCs/>
          <w:color w:val="auto"/>
          <w:szCs w:val="24"/>
        </w:rPr>
        <w:t>第二十三条</w:t>
      </w:r>
      <w:r>
        <w:rPr>
          <w:bCs/>
          <w:color w:val="auto"/>
          <w:szCs w:val="24"/>
        </w:rPr>
        <w:t xml:space="preserve"> </w:t>
      </w:r>
      <w:r>
        <w:rPr>
          <w:rFonts w:hint="eastAsia"/>
          <w:bCs/>
          <w:color w:val="auto"/>
          <w:szCs w:val="24"/>
        </w:rPr>
        <w:t>通知与送达</w:t>
      </w:r>
      <w:bookmarkEnd w:id="85"/>
    </w:p>
    <w:p w14:paraId="26B7E863" w14:textId="77777777" w:rsidR="003D47C1" w:rsidRDefault="00000000">
      <w:pPr>
        <w:autoSpaceDE w:val="0"/>
        <w:autoSpaceDN w:val="0"/>
        <w:spacing w:line="520" w:lineRule="atLeast"/>
        <w:ind w:firstLineChars="200" w:firstLine="480"/>
        <w:rPr>
          <w:rFonts w:ascii="宋体" w:hAnsi="宋体" w:hint="eastAsia"/>
          <w:sz w:val="24"/>
          <w:szCs w:val="24"/>
        </w:rPr>
      </w:pPr>
      <w:r>
        <w:rPr>
          <w:rFonts w:ascii="宋体" w:hAnsi="宋体"/>
          <w:sz w:val="24"/>
          <w:szCs w:val="24"/>
        </w:rPr>
        <w:t>23.1</w:t>
      </w:r>
      <w:r>
        <w:rPr>
          <w:rFonts w:ascii="宋体" w:hAnsi="宋体" w:hint="eastAsia"/>
          <w:sz w:val="24"/>
          <w:szCs w:val="24"/>
        </w:rPr>
        <w:t>除本协议</w:t>
      </w:r>
      <w:r>
        <w:rPr>
          <w:rFonts w:ascii="宋体" w:hAnsi="宋体"/>
          <w:sz w:val="24"/>
          <w:szCs w:val="24"/>
        </w:rPr>
        <w:t>另有约定外，</w:t>
      </w:r>
      <w:r>
        <w:rPr>
          <w:rFonts w:ascii="宋体" w:hAnsi="宋体" w:hint="eastAsia"/>
          <w:sz w:val="24"/>
          <w:szCs w:val="24"/>
        </w:rPr>
        <w:t>本协议项下的通知、要求、诉讼（仲裁）的法律文书或其他通信可交付或发送至本协议首部所约定的地址或联系方式。</w:t>
      </w:r>
    </w:p>
    <w:p w14:paraId="785AE465" w14:textId="77777777" w:rsidR="003D47C1" w:rsidRDefault="00000000">
      <w:pPr>
        <w:autoSpaceDE w:val="0"/>
        <w:autoSpaceDN w:val="0"/>
        <w:spacing w:line="520" w:lineRule="atLeas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3.2</w:t>
      </w:r>
      <w:r>
        <w:rPr>
          <w:rFonts w:ascii="宋体" w:hAnsi="宋体" w:hint="eastAsia"/>
          <w:sz w:val="24"/>
          <w:szCs w:val="24"/>
        </w:rPr>
        <w:t>就本协议项下基金托管人给予基金管理人的任何通知、要求或其他通信，其中电传、电话、传真、电子邮件等到达基金管理人的特定系统时视为已送达基金管理人；邮政信函于基金管理人签收日即视为已送达基金管理人；若派人专程送达，</w:t>
      </w:r>
      <w:proofErr w:type="gramStart"/>
      <w:r>
        <w:rPr>
          <w:rFonts w:ascii="宋体" w:hAnsi="宋体" w:hint="eastAsia"/>
          <w:sz w:val="24"/>
          <w:szCs w:val="24"/>
        </w:rPr>
        <w:t>则基金</w:t>
      </w:r>
      <w:proofErr w:type="gramEnd"/>
      <w:r>
        <w:rPr>
          <w:rFonts w:ascii="宋体" w:hAnsi="宋体" w:hint="eastAsia"/>
          <w:sz w:val="24"/>
          <w:szCs w:val="24"/>
        </w:rPr>
        <w:t>管理人签收日视为送达，基金管理人拒收的，送达人可采取拍照、录像方式记录送达过程，并将文书留置，亦视为送达。</w:t>
      </w:r>
    </w:p>
    <w:p w14:paraId="51F8ED01" w14:textId="77777777" w:rsidR="003D47C1" w:rsidRDefault="00000000">
      <w:pPr>
        <w:autoSpaceDE w:val="0"/>
        <w:autoSpaceDN w:val="0"/>
        <w:spacing w:line="520" w:lineRule="atLeas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3.3</w:t>
      </w:r>
      <w:r>
        <w:rPr>
          <w:rFonts w:ascii="宋体" w:hAnsi="宋体" w:hint="eastAsia"/>
          <w:sz w:val="24"/>
          <w:szCs w:val="24"/>
        </w:rPr>
        <w:t>司法机关或仲裁机构亦可按本款约定的地址、联系方式向基金管理人发送相关（法律）文书，无人签收或基金管理人拒收的，则（法律）文书退回之日视为送达之日；若直接送达时基金管理人拒收的，送达人可采取拍照、录像方式记录送达过程，并将（法律）文书留置，亦视为送达。基金管理人提供错误联系方式或未及时告知变更后联系方式的，导致（法律）文书未能送达或退回的，则（法律）文书退回之日视为送达之日。</w:t>
      </w:r>
    </w:p>
    <w:p w14:paraId="55A91202" w14:textId="77777777" w:rsidR="003D47C1" w:rsidRDefault="00000000">
      <w:pPr>
        <w:pStyle w:val="20"/>
        <w:spacing w:before="0" w:after="0" w:line="520" w:lineRule="atLeast"/>
        <w:ind w:left="0" w:firstLineChars="200" w:firstLine="480"/>
        <w:rPr>
          <w:rFonts w:hAnsi="宋体" w:hint="eastAsia"/>
          <w:szCs w:val="24"/>
        </w:rPr>
      </w:pPr>
      <w:r>
        <w:rPr>
          <w:rFonts w:hAnsi="宋体" w:hint="eastAsia"/>
          <w:szCs w:val="24"/>
        </w:rPr>
        <w:lastRenderedPageBreak/>
        <w:t>2</w:t>
      </w:r>
      <w:r>
        <w:rPr>
          <w:rFonts w:hAnsi="宋体"/>
          <w:szCs w:val="24"/>
        </w:rPr>
        <w:t>3.4</w:t>
      </w:r>
      <w:r>
        <w:rPr>
          <w:rFonts w:hAnsi="宋体" w:hint="eastAsia"/>
          <w:szCs w:val="24"/>
        </w:rPr>
        <w:t>如果基金管理人提供的</w:t>
      </w:r>
      <w:proofErr w:type="gramStart"/>
      <w:r>
        <w:rPr>
          <w:rFonts w:hAnsi="宋体" w:hint="eastAsia"/>
          <w:szCs w:val="24"/>
        </w:rPr>
        <w:t>上述联系</w:t>
      </w:r>
      <w:proofErr w:type="gramEnd"/>
      <w:r>
        <w:rPr>
          <w:rFonts w:hAnsi="宋体" w:hint="eastAsia"/>
          <w:szCs w:val="24"/>
        </w:rPr>
        <w:t>方式发生变更的，应在变更后三日内书面通知基金托管人；在本协议项下债务进入诉讼或仲裁阶段后，则须以书面方式告知审理机关。否则按</w:t>
      </w:r>
      <w:proofErr w:type="gramStart"/>
      <w:r>
        <w:rPr>
          <w:rFonts w:hAnsi="宋体" w:hint="eastAsia"/>
          <w:szCs w:val="24"/>
        </w:rPr>
        <w:t>原联系</w:t>
      </w:r>
      <w:proofErr w:type="gramEnd"/>
      <w:r>
        <w:rPr>
          <w:rFonts w:hAnsi="宋体" w:hint="eastAsia"/>
          <w:szCs w:val="24"/>
        </w:rPr>
        <w:t>方式发出的通知或其他文书，即使变更方没有收到，仍视为送达。</w:t>
      </w:r>
    </w:p>
    <w:p w14:paraId="5224BDFA" w14:textId="77777777" w:rsidR="003D47C1" w:rsidRDefault="00000000">
      <w:pPr>
        <w:pStyle w:val="1"/>
        <w:snapToGrid/>
        <w:spacing w:line="520" w:lineRule="atLeast"/>
        <w:ind w:firstLineChars="200" w:firstLine="482"/>
        <w:rPr>
          <w:rFonts w:hint="eastAsia"/>
          <w:bCs/>
          <w:color w:val="auto"/>
          <w:szCs w:val="24"/>
        </w:rPr>
      </w:pPr>
      <w:bookmarkStart w:id="86" w:name="_Toc130978968"/>
      <w:r>
        <w:rPr>
          <w:rFonts w:hint="eastAsia"/>
          <w:bCs/>
          <w:color w:val="auto"/>
          <w:szCs w:val="24"/>
        </w:rPr>
        <w:t>第二十四条 其他约定</w:t>
      </w:r>
      <w:r>
        <w:rPr>
          <w:bCs/>
          <w:color w:val="auto"/>
          <w:szCs w:val="24"/>
        </w:rPr>
        <w:t>事项</w:t>
      </w:r>
      <w:bookmarkEnd w:id="86"/>
    </w:p>
    <w:p w14:paraId="66990532" w14:textId="77777777" w:rsidR="003D47C1" w:rsidRDefault="00000000">
      <w:pPr>
        <w:pStyle w:val="20"/>
        <w:spacing w:before="0" w:after="0" w:line="520" w:lineRule="atLeast"/>
        <w:rPr>
          <w:rFonts w:hAnsi="宋体" w:hint="eastAsia"/>
          <w:szCs w:val="24"/>
        </w:rPr>
      </w:pPr>
      <w:r>
        <w:rPr>
          <w:rFonts w:hAnsi="宋体"/>
          <w:szCs w:val="24"/>
        </w:rPr>
        <w:t>无</w:t>
      </w:r>
    </w:p>
    <w:p w14:paraId="17694627"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    如本条约定与其他条款约定冲突的，应以本条约定为准。</w:t>
      </w:r>
    </w:p>
    <w:p w14:paraId="3CB50ABA" w14:textId="77777777" w:rsidR="003D47C1" w:rsidRDefault="00000000">
      <w:pPr>
        <w:widowControl/>
        <w:spacing w:line="520" w:lineRule="atLeast"/>
        <w:ind w:firstLineChars="100" w:firstLine="240"/>
        <w:jc w:val="left"/>
        <w:rPr>
          <w:rFonts w:ascii="宋体" w:hAnsi="宋体" w:hint="eastAsia"/>
          <w:sz w:val="24"/>
          <w:szCs w:val="24"/>
        </w:rPr>
        <w:sectPr w:rsidR="003D47C1">
          <w:footerReference w:type="default" r:id="rId12"/>
          <w:footerReference w:type="first" r:id="rId13"/>
          <w:pgSz w:w="11907" w:h="16840"/>
          <w:pgMar w:top="1090" w:right="1678" w:bottom="935" w:left="1678" w:header="720" w:footer="720" w:gutter="0"/>
          <w:pgNumType w:start="1"/>
          <w:cols w:space="720"/>
          <w:titlePg/>
        </w:sectPr>
      </w:pPr>
      <w:r>
        <w:rPr>
          <w:rFonts w:ascii="宋体" w:hAnsi="宋体" w:hint="eastAsia"/>
          <w:sz w:val="24"/>
          <w:szCs w:val="24"/>
        </w:rPr>
        <w:t>（以下无正文）</w:t>
      </w:r>
    </w:p>
    <w:p w14:paraId="08696321" w14:textId="77777777" w:rsidR="003D47C1" w:rsidRDefault="00000000">
      <w:pPr>
        <w:pStyle w:val="20"/>
        <w:spacing w:before="0" w:after="0" w:line="520" w:lineRule="atLeast"/>
        <w:ind w:left="0"/>
        <w:rPr>
          <w:rFonts w:hAnsi="宋体" w:hint="eastAsia"/>
          <w:szCs w:val="24"/>
        </w:rPr>
      </w:pPr>
      <w:r>
        <w:rPr>
          <w:rFonts w:hAnsi="宋体" w:hint="eastAsia"/>
          <w:szCs w:val="24"/>
        </w:rPr>
        <w:lastRenderedPageBreak/>
        <w:t>（本页无正文，为《富国港股通成长精选混合型证券投资基金托管协议》的签署页）</w:t>
      </w:r>
    </w:p>
    <w:p w14:paraId="4E0CAF7F" w14:textId="77777777" w:rsidR="003D47C1" w:rsidRDefault="003D47C1">
      <w:pPr>
        <w:pStyle w:val="20"/>
        <w:spacing w:before="0" w:after="0" w:line="520" w:lineRule="atLeast"/>
        <w:ind w:left="0" w:firstLineChars="200" w:firstLine="480"/>
        <w:rPr>
          <w:rFonts w:hAnsi="宋体" w:hint="eastAsia"/>
          <w:szCs w:val="24"/>
        </w:rPr>
      </w:pPr>
    </w:p>
    <w:p w14:paraId="57B5720D" w14:textId="77777777" w:rsidR="003D47C1" w:rsidRDefault="003D47C1">
      <w:pPr>
        <w:pStyle w:val="20"/>
        <w:spacing w:before="0" w:after="0" w:line="520" w:lineRule="atLeast"/>
        <w:ind w:left="0" w:firstLineChars="200" w:firstLine="480"/>
        <w:rPr>
          <w:rFonts w:hAnsi="宋体" w:hint="eastAsia"/>
          <w:szCs w:val="24"/>
        </w:rPr>
      </w:pPr>
    </w:p>
    <w:p w14:paraId="66E55189" w14:textId="77777777" w:rsidR="003D47C1" w:rsidRDefault="00000000">
      <w:pPr>
        <w:pStyle w:val="20"/>
        <w:spacing w:before="0" w:after="0" w:line="520" w:lineRule="atLeast"/>
        <w:ind w:left="0"/>
        <w:rPr>
          <w:rFonts w:hAnsi="宋体" w:hint="eastAsia"/>
          <w:szCs w:val="24"/>
        </w:rPr>
      </w:pPr>
      <w:r>
        <w:rPr>
          <w:rFonts w:hAnsi="宋体" w:hint="eastAsia"/>
          <w:szCs w:val="24"/>
        </w:rPr>
        <w:t>基金管理人：富国基金管理有限公司（</w:t>
      </w:r>
      <w:r>
        <w:rPr>
          <w:rFonts w:hAnsi="宋体"/>
          <w:szCs w:val="24"/>
        </w:rPr>
        <w:t>公章或合同专用章</w:t>
      </w:r>
      <w:r>
        <w:rPr>
          <w:rFonts w:hAnsi="宋体" w:hint="eastAsia"/>
          <w:szCs w:val="24"/>
        </w:rPr>
        <w:t>）</w:t>
      </w:r>
    </w:p>
    <w:p w14:paraId="0675D56E" w14:textId="77777777" w:rsidR="003D47C1" w:rsidRDefault="003D47C1">
      <w:pPr>
        <w:pStyle w:val="20"/>
        <w:spacing w:before="0" w:after="0" w:line="520" w:lineRule="atLeast"/>
        <w:ind w:left="0"/>
        <w:rPr>
          <w:rFonts w:hAnsi="宋体" w:hint="eastAsia"/>
          <w:szCs w:val="24"/>
        </w:rPr>
      </w:pPr>
    </w:p>
    <w:p w14:paraId="71899C93" w14:textId="77777777" w:rsidR="003D47C1" w:rsidRDefault="00000000">
      <w:pPr>
        <w:pStyle w:val="20"/>
        <w:spacing w:before="0" w:after="0" w:line="520" w:lineRule="atLeast"/>
        <w:ind w:left="0"/>
        <w:rPr>
          <w:rFonts w:hAnsi="宋体" w:hint="eastAsia"/>
          <w:szCs w:val="24"/>
        </w:rPr>
      </w:pPr>
      <w:r>
        <w:rPr>
          <w:rFonts w:hAnsi="宋体" w:hint="eastAsia"/>
          <w:szCs w:val="24"/>
        </w:rPr>
        <w:t>法定代表人</w:t>
      </w:r>
    </w:p>
    <w:p w14:paraId="47489569"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（或授权代理人）：           </w:t>
      </w:r>
    </w:p>
    <w:p w14:paraId="4698A719" w14:textId="77777777" w:rsidR="003D47C1" w:rsidRDefault="003D47C1">
      <w:pPr>
        <w:pStyle w:val="20"/>
        <w:spacing w:before="0" w:after="0" w:line="520" w:lineRule="atLeast"/>
        <w:ind w:left="0" w:firstLineChars="200" w:firstLine="480"/>
        <w:rPr>
          <w:rFonts w:hAnsi="宋体" w:hint="eastAsia"/>
          <w:szCs w:val="24"/>
        </w:rPr>
      </w:pPr>
    </w:p>
    <w:p w14:paraId="694F4EA2" w14:textId="77777777" w:rsidR="003D47C1" w:rsidRDefault="00000000">
      <w:pPr>
        <w:pStyle w:val="20"/>
        <w:spacing w:before="0" w:after="0" w:line="520" w:lineRule="atLeast"/>
        <w:ind w:left="0"/>
        <w:rPr>
          <w:rFonts w:hAnsi="宋体" w:hint="eastAsia"/>
          <w:szCs w:val="24"/>
        </w:rPr>
      </w:pPr>
      <w:r>
        <w:rPr>
          <w:rFonts w:hAnsi="宋体" w:hint="eastAsia"/>
          <w:szCs w:val="24"/>
        </w:rPr>
        <w:t>签署日期：</w:t>
      </w:r>
    </w:p>
    <w:p w14:paraId="228893EA" w14:textId="77777777" w:rsidR="003D47C1" w:rsidRDefault="003D47C1">
      <w:pPr>
        <w:pStyle w:val="20"/>
        <w:spacing w:before="0" w:after="0" w:line="520" w:lineRule="atLeast"/>
        <w:ind w:left="0" w:firstLineChars="200" w:firstLine="480"/>
        <w:rPr>
          <w:rFonts w:hAnsi="宋体" w:hint="eastAsia"/>
          <w:szCs w:val="24"/>
        </w:rPr>
      </w:pPr>
    </w:p>
    <w:p w14:paraId="6C9F4388" w14:textId="77777777" w:rsidR="003D47C1" w:rsidRDefault="003D47C1">
      <w:pPr>
        <w:pStyle w:val="20"/>
        <w:spacing w:before="0" w:after="0" w:line="520" w:lineRule="atLeast"/>
        <w:ind w:left="0" w:firstLineChars="200" w:firstLine="480"/>
        <w:rPr>
          <w:rFonts w:hAnsi="宋体" w:hint="eastAsia"/>
          <w:szCs w:val="24"/>
        </w:rPr>
      </w:pPr>
    </w:p>
    <w:p w14:paraId="34EEBC35" w14:textId="77777777" w:rsidR="003D47C1" w:rsidRDefault="003D47C1">
      <w:pPr>
        <w:pStyle w:val="20"/>
        <w:spacing w:before="0" w:after="0" w:line="520" w:lineRule="atLeast"/>
        <w:ind w:left="0" w:firstLineChars="200" w:firstLine="480"/>
        <w:rPr>
          <w:rFonts w:hAnsi="宋体" w:hint="eastAsia"/>
          <w:szCs w:val="24"/>
        </w:rPr>
      </w:pPr>
    </w:p>
    <w:p w14:paraId="45B70436" w14:textId="77777777" w:rsidR="003D47C1" w:rsidRDefault="00000000">
      <w:pPr>
        <w:pStyle w:val="20"/>
        <w:spacing w:before="0" w:after="0" w:line="520" w:lineRule="atLeast"/>
        <w:ind w:left="0"/>
        <w:rPr>
          <w:rFonts w:hAnsi="宋体" w:hint="eastAsia"/>
          <w:szCs w:val="24"/>
        </w:rPr>
      </w:pPr>
      <w:r>
        <w:rPr>
          <w:rFonts w:hAnsi="宋体" w:hint="eastAsia"/>
          <w:szCs w:val="24"/>
        </w:rPr>
        <w:t>基金托管人：中信银行股份有限公司（</w:t>
      </w:r>
      <w:r>
        <w:rPr>
          <w:rFonts w:hAnsi="宋体"/>
          <w:szCs w:val="24"/>
        </w:rPr>
        <w:t>公章或合同专用章</w:t>
      </w:r>
      <w:r>
        <w:rPr>
          <w:rFonts w:hAnsi="宋体" w:hint="eastAsia"/>
          <w:szCs w:val="24"/>
        </w:rPr>
        <w:t>）</w:t>
      </w:r>
    </w:p>
    <w:p w14:paraId="192965FC" w14:textId="77777777" w:rsidR="003D47C1" w:rsidRDefault="003D47C1">
      <w:pPr>
        <w:pStyle w:val="20"/>
        <w:spacing w:before="0" w:after="0" w:line="520" w:lineRule="atLeast"/>
        <w:ind w:left="0"/>
        <w:rPr>
          <w:rFonts w:hAnsi="宋体" w:hint="eastAsia"/>
          <w:szCs w:val="24"/>
        </w:rPr>
      </w:pPr>
    </w:p>
    <w:p w14:paraId="643A2A45" w14:textId="77777777" w:rsidR="003D47C1" w:rsidRDefault="00000000">
      <w:pPr>
        <w:pStyle w:val="20"/>
        <w:spacing w:before="0" w:after="0" w:line="520" w:lineRule="atLeast"/>
        <w:ind w:left="0"/>
        <w:rPr>
          <w:rFonts w:hAnsi="宋体" w:hint="eastAsia"/>
          <w:szCs w:val="24"/>
        </w:rPr>
      </w:pPr>
      <w:r>
        <w:rPr>
          <w:rFonts w:hAnsi="宋体" w:hint="eastAsia"/>
          <w:szCs w:val="24"/>
        </w:rPr>
        <w:t>法定代表人</w:t>
      </w:r>
    </w:p>
    <w:p w14:paraId="26747BF9"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（或授权代理人）：  </w:t>
      </w:r>
    </w:p>
    <w:p w14:paraId="5DC4D04E" w14:textId="77777777" w:rsidR="003D47C1" w:rsidRDefault="003D47C1">
      <w:pPr>
        <w:pStyle w:val="20"/>
        <w:spacing w:before="0" w:after="0" w:line="520" w:lineRule="atLeast"/>
        <w:ind w:left="0"/>
        <w:rPr>
          <w:rFonts w:hAnsi="宋体" w:hint="eastAsia"/>
          <w:szCs w:val="24"/>
        </w:rPr>
      </w:pPr>
    </w:p>
    <w:p w14:paraId="627819CC" w14:textId="77777777" w:rsidR="003D47C1" w:rsidRDefault="00000000">
      <w:pPr>
        <w:pStyle w:val="20"/>
        <w:spacing w:before="0" w:after="0" w:line="520" w:lineRule="atLeast"/>
        <w:ind w:left="0"/>
        <w:rPr>
          <w:rFonts w:hAnsi="宋体" w:hint="eastAsia"/>
          <w:szCs w:val="24"/>
        </w:rPr>
      </w:pPr>
      <w:r>
        <w:rPr>
          <w:rFonts w:hAnsi="宋体" w:hint="eastAsia"/>
          <w:szCs w:val="24"/>
        </w:rPr>
        <w:t>签署日期：</w:t>
      </w:r>
    </w:p>
    <w:p w14:paraId="3482A2AB" w14:textId="77777777" w:rsidR="003D47C1" w:rsidRDefault="00000000">
      <w:pPr>
        <w:pStyle w:val="20"/>
        <w:spacing w:before="0" w:after="0" w:line="520" w:lineRule="atLeast"/>
        <w:ind w:left="0"/>
        <w:rPr>
          <w:rFonts w:hAnsi="宋体" w:hint="eastAsia"/>
          <w:sz w:val="28"/>
          <w:szCs w:val="28"/>
        </w:rPr>
      </w:pPr>
      <w:r>
        <w:rPr>
          <w:rFonts w:hAnsi="宋体" w:hint="eastAsia"/>
          <w:sz w:val="28"/>
          <w:szCs w:val="28"/>
        </w:rPr>
        <w:t xml:space="preserve">           </w:t>
      </w:r>
    </w:p>
    <w:p w14:paraId="12A741C1" w14:textId="77777777" w:rsidR="003D47C1" w:rsidRDefault="003D47C1">
      <w:pPr>
        <w:pStyle w:val="20"/>
        <w:spacing w:before="0" w:after="0" w:line="520" w:lineRule="atLeast"/>
        <w:ind w:left="0" w:firstLineChars="200" w:firstLine="560"/>
        <w:rPr>
          <w:rFonts w:hAnsi="宋体" w:hint="eastAsia"/>
          <w:sz w:val="28"/>
          <w:szCs w:val="28"/>
        </w:rPr>
      </w:pPr>
    </w:p>
    <w:p w14:paraId="35925577" w14:textId="77777777" w:rsidR="003D47C1" w:rsidRDefault="003D47C1">
      <w:pPr>
        <w:pStyle w:val="20"/>
        <w:spacing w:before="0" w:after="0" w:line="520" w:lineRule="atLeast"/>
        <w:ind w:left="0" w:firstLineChars="200" w:firstLine="560"/>
        <w:rPr>
          <w:rFonts w:hAnsi="宋体" w:hint="eastAsia"/>
          <w:sz w:val="28"/>
          <w:szCs w:val="28"/>
        </w:rPr>
      </w:pPr>
    </w:p>
    <w:p w14:paraId="49E59397" w14:textId="77777777" w:rsidR="003D47C1" w:rsidRDefault="003D47C1">
      <w:pPr>
        <w:pStyle w:val="20"/>
        <w:spacing w:before="0" w:after="0" w:line="520" w:lineRule="atLeast"/>
        <w:ind w:left="0" w:firstLineChars="200" w:firstLine="560"/>
        <w:rPr>
          <w:rFonts w:hAnsi="宋体" w:hint="eastAsia"/>
          <w:sz w:val="28"/>
          <w:szCs w:val="28"/>
        </w:rPr>
      </w:pPr>
    </w:p>
    <w:p w14:paraId="075BEE23" w14:textId="77777777" w:rsidR="003D47C1" w:rsidRDefault="003D47C1">
      <w:pPr>
        <w:pStyle w:val="20"/>
        <w:spacing w:before="0" w:after="0" w:line="520" w:lineRule="atLeast"/>
        <w:ind w:left="0"/>
        <w:rPr>
          <w:rFonts w:hAnsi="宋体" w:hint="eastAsia"/>
          <w:szCs w:val="24"/>
        </w:rPr>
      </w:pPr>
    </w:p>
    <w:p w14:paraId="6CCB65DE" w14:textId="77777777" w:rsidR="003D47C1" w:rsidRDefault="00000000">
      <w:pPr>
        <w:pStyle w:val="20"/>
        <w:spacing w:before="0" w:after="0" w:line="520" w:lineRule="atLeast"/>
        <w:ind w:left="0"/>
        <w:rPr>
          <w:rFonts w:hAnsi="宋体" w:hint="eastAsia"/>
          <w:szCs w:val="24"/>
        </w:rPr>
      </w:pPr>
      <w:r>
        <w:rPr>
          <w:rFonts w:hAnsi="宋体" w:hint="eastAsia"/>
          <w:szCs w:val="24"/>
        </w:rPr>
        <w:t xml:space="preserve">签订地： </w:t>
      </w:r>
    </w:p>
    <w:p w14:paraId="520FD57B" w14:textId="77777777" w:rsidR="003D47C1" w:rsidRDefault="003D47C1">
      <w:pPr>
        <w:pStyle w:val="20"/>
        <w:spacing w:before="0" w:after="0" w:line="520" w:lineRule="atLeast"/>
        <w:ind w:left="0" w:firstLineChars="200" w:firstLine="480"/>
        <w:rPr>
          <w:rFonts w:hAnsi="宋体" w:hint="eastAsia"/>
          <w:szCs w:val="24"/>
        </w:rPr>
      </w:pPr>
    </w:p>
    <w:p w14:paraId="447DB5D0" w14:textId="77777777" w:rsidR="003D47C1" w:rsidRDefault="00000000">
      <w:pPr>
        <w:pStyle w:val="20"/>
        <w:spacing w:before="0" w:after="0" w:line="520" w:lineRule="atLeast"/>
        <w:ind w:left="0"/>
        <w:rPr>
          <w:rFonts w:hAnsi="宋体" w:hint="eastAsia"/>
          <w:sz w:val="28"/>
          <w:szCs w:val="28"/>
        </w:rPr>
      </w:pPr>
      <w:r>
        <w:rPr>
          <w:rFonts w:hAnsi="宋体" w:hint="eastAsia"/>
          <w:szCs w:val="24"/>
        </w:rPr>
        <w:t xml:space="preserve"> </w:t>
      </w:r>
      <w:r>
        <w:rPr>
          <w:rFonts w:hAnsi="宋体" w:hint="eastAsia"/>
          <w:sz w:val="28"/>
          <w:szCs w:val="28"/>
        </w:rPr>
        <w:t xml:space="preserve">  </w:t>
      </w:r>
    </w:p>
    <w:bookmarkEnd w:id="0"/>
    <w:bookmarkEnd w:id="1"/>
    <w:p w14:paraId="25B4B625" w14:textId="77777777" w:rsidR="003D47C1" w:rsidRDefault="003D47C1">
      <w:pPr>
        <w:autoSpaceDE w:val="0"/>
        <w:autoSpaceDN w:val="0"/>
        <w:adjustRightInd w:val="0"/>
        <w:spacing w:line="520" w:lineRule="atLeast"/>
        <w:ind w:rightChars="11" w:right="23"/>
        <w:rPr>
          <w:rFonts w:ascii="宋体" w:hAnsi="宋体" w:hint="eastAsia"/>
          <w:sz w:val="28"/>
          <w:szCs w:val="28"/>
        </w:rPr>
      </w:pPr>
    </w:p>
    <w:sectPr w:rsidR="003D47C1">
      <w:pgSz w:w="11907" w:h="16840"/>
      <w:pgMar w:top="1090" w:right="1678" w:bottom="935" w:left="16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1E33" w14:textId="77777777" w:rsidR="0068292E" w:rsidRDefault="0068292E">
      <w:r>
        <w:separator/>
      </w:r>
    </w:p>
  </w:endnote>
  <w:endnote w:type="continuationSeparator" w:id="0">
    <w:p w14:paraId="30A9ECE9" w14:textId="77777777" w:rsidR="0068292E" w:rsidRDefault="0068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9B4E" w14:textId="77777777" w:rsidR="003D47C1" w:rsidRDefault="00000000">
    <w:pPr>
      <w:pStyle w:val="ad"/>
      <w:framePr w:wrap="around" w:vAnchor="text" w:hAnchor="margin" w:xAlign="center" w:y="1"/>
      <w:rPr>
        <w:rStyle w:val="af4"/>
      </w:rPr>
    </w:pPr>
    <w:r>
      <w:fldChar w:fldCharType="begin"/>
    </w:r>
    <w:r>
      <w:rPr>
        <w:rStyle w:val="af4"/>
      </w:rPr>
      <w:instrText xml:space="preserve">PAGE  </w:instrText>
    </w:r>
    <w:r>
      <w:fldChar w:fldCharType="end"/>
    </w:r>
  </w:p>
  <w:p w14:paraId="0F0CE9F6" w14:textId="77777777" w:rsidR="003D47C1" w:rsidRDefault="003D47C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F1B8" w14:textId="49AEE226" w:rsidR="003D47C1" w:rsidRDefault="003D47C1">
    <w:pPr>
      <w:pStyle w:val="ad"/>
      <w:framePr w:wrap="around" w:vAnchor="text" w:hAnchor="margin" w:xAlign="center" w:y="1"/>
      <w:rPr>
        <w:rStyle w:val="af4"/>
      </w:rPr>
    </w:pPr>
  </w:p>
  <w:p w14:paraId="29F5CEFA" w14:textId="77777777" w:rsidR="003D47C1" w:rsidRDefault="003D47C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49A" w14:textId="77777777" w:rsidR="003D47C1" w:rsidRDefault="00000000">
    <w:pPr>
      <w:pStyle w:val="ad"/>
      <w:rPr>
        <w:rStyle w:val="af4"/>
      </w:rPr>
    </w:pPr>
    <w:r>
      <w:rPr>
        <w:noProof/>
      </w:rPr>
      <mc:AlternateContent>
        <mc:Choice Requires="wps">
          <w:drawing>
            <wp:anchor distT="0" distB="0" distL="114300" distR="114300" simplePos="0" relativeHeight="251659264" behindDoc="0" locked="0" layoutInCell="1" allowOverlap="1" wp14:anchorId="1FB41AED" wp14:editId="5B79B78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C24270" w14:textId="77777777" w:rsidR="003D47C1" w:rsidRDefault="00000000">
                          <w:pPr>
                            <w:pStyle w:val="ad"/>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B41AED"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4C24270" w14:textId="77777777" w:rsidR="003D47C1" w:rsidRDefault="00000000">
                    <w:pPr>
                      <w:pStyle w:val="ad"/>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A5E4070" w14:textId="77777777" w:rsidR="003D47C1" w:rsidRDefault="003D47C1">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A76B" w14:textId="77777777" w:rsidR="003D47C1" w:rsidRDefault="00000000">
    <w:pPr>
      <w:pStyle w:val="ad"/>
    </w:pPr>
    <w:r>
      <w:rPr>
        <w:noProof/>
      </w:rPr>
      <mc:AlternateContent>
        <mc:Choice Requires="wps">
          <w:drawing>
            <wp:anchor distT="0" distB="0" distL="114300" distR="114300" simplePos="0" relativeHeight="251660288" behindDoc="0" locked="0" layoutInCell="1" allowOverlap="1" wp14:anchorId="6781E604" wp14:editId="7D6227F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A3A930" w14:textId="77777777" w:rsidR="003D47C1" w:rsidRDefault="00000000">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81E604"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9A3A930" w14:textId="77777777" w:rsidR="003D47C1"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5A69" w14:textId="77777777" w:rsidR="0068292E" w:rsidRDefault="0068292E">
      <w:r>
        <w:separator/>
      </w:r>
    </w:p>
  </w:footnote>
  <w:footnote w:type="continuationSeparator" w:id="0">
    <w:p w14:paraId="5BC7623B" w14:textId="77777777" w:rsidR="0068292E" w:rsidRDefault="00682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Y2I3OTRlNTA1NjUwZGY1NGI3NTM4NWZhMGI4N2IifQ=="/>
  </w:docVars>
  <w:rsids>
    <w:rsidRoot w:val="00A920BE"/>
    <w:rsid w:val="00012F22"/>
    <w:rsid w:val="000156FD"/>
    <w:rsid w:val="000257CB"/>
    <w:rsid w:val="00063BBA"/>
    <w:rsid w:val="00067577"/>
    <w:rsid w:val="00071687"/>
    <w:rsid w:val="0009405D"/>
    <w:rsid w:val="000A18BA"/>
    <w:rsid w:val="000A6A3A"/>
    <w:rsid w:val="000C7B23"/>
    <w:rsid w:val="000D3CC4"/>
    <w:rsid w:val="000F4FE6"/>
    <w:rsid w:val="0013287A"/>
    <w:rsid w:val="00144153"/>
    <w:rsid w:val="0018378E"/>
    <w:rsid w:val="001A5317"/>
    <w:rsid w:val="001D2EC8"/>
    <w:rsid w:val="001E7032"/>
    <w:rsid w:val="001F26A4"/>
    <w:rsid w:val="002010F1"/>
    <w:rsid w:val="00206DF4"/>
    <w:rsid w:val="0021033C"/>
    <w:rsid w:val="00225B6F"/>
    <w:rsid w:val="002642C6"/>
    <w:rsid w:val="00287961"/>
    <w:rsid w:val="00291192"/>
    <w:rsid w:val="00291F2D"/>
    <w:rsid w:val="002935D1"/>
    <w:rsid w:val="002B76B6"/>
    <w:rsid w:val="002D2D38"/>
    <w:rsid w:val="002E1340"/>
    <w:rsid w:val="002E537D"/>
    <w:rsid w:val="0030305E"/>
    <w:rsid w:val="0037400E"/>
    <w:rsid w:val="0038486B"/>
    <w:rsid w:val="003A0E4F"/>
    <w:rsid w:val="003A7E00"/>
    <w:rsid w:val="003C045F"/>
    <w:rsid w:val="003C2852"/>
    <w:rsid w:val="003D47C1"/>
    <w:rsid w:val="003E25BA"/>
    <w:rsid w:val="003F6B58"/>
    <w:rsid w:val="004038C5"/>
    <w:rsid w:val="00455824"/>
    <w:rsid w:val="004851C5"/>
    <w:rsid w:val="00485612"/>
    <w:rsid w:val="0049152B"/>
    <w:rsid w:val="004A3EEF"/>
    <w:rsid w:val="004C67F0"/>
    <w:rsid w:val="005272CE"/>
    <w:rsid w:val="005768AB"/>
    <w:rsid w:val="0059118F"/>
    <w:rsid w:val="005E6648"/>
    <w:rsid w:val="005F16D0"/>
    <w:rsid w:val="005F7B50"/>
    <w:rsid w:val="00617101"/>
    <w:rsid w:val="0068292E"/>
    <w:rsid w:val="006C47E9"/>
    <w:rsid w:val="006D699A"/>
    <w:rsid w:val="006E4D50"/>
    <w:rsid w:val="006F17D8"/>
    <w:rsid w:val="006F3573"/>
    <w:rsid w:val="00741B28"/>
    <w:rsid w:val="00762063"/>
    <w:rsid w:val="00765820"/>
    <w:rsid w:val="0077361D"/>
    <w:rsid w:val="00781BD3"/>
    <w:rsid w:val="007B194B"/>
    <w:rsid w:val="007E271C"/>
    <w:rsid w:val="007E4BC5"/>
    <w:rsid w:val="007E7386"/>
    <w:rsid w:val="008152CD"/>
    <w:rsid w:val="00837AE6"/>
    <w:rsid w:val="008458D7"/>
    <w:rsid w:val="0085738B"/>
    <w:rsid w:val="0086291B"/>
    <w:rsid w:val="008B222B"/>
    <w:rsid w:val="009135D2"/>
    <w:rsid w:val="009159B6"/>
    <w:rsid w:val="00935539"/>
    <w:rsid w:val="00935777"/>
    <w:rsid w:val="00940DF7"/>
    <w:rsid w:val="00943398"/>
    <w:rsid w:val="009776D4"/>
    <w:rsid w:val="009778CF"/>
    <w:rsid w:val="009837BB"/>
    <w:rsid w:val="0098467F"/>
    <w:rsid w:val="009946C9"/>
    <w:rsid w:val="009A542B"/>
    <w:rsid w:val="009B430C"/>
    <w:rsid w:val="00A549B3"/>
    <w:rsid w:val="00A57451"/>
    <w:rsid w:val="00A920BE"/>
    <w:rsid w:val="00A94945"/>
    <w:rsid w:val="00AA31C3"/>
    <w:rsid w:val="00AB6356"/>
    <w:rsid w:val="00B33689"/>
    <w:rsid w:val="00B4016E"/>
    <w:rsid w:val="00B44723"/>
    <w:rsid w:val="00B71862"/>
    <w:rsid w:val="00B73285"/>
    <w:rsid w:val="00B81738"/>
    <w:rsid w:val="00BA6DD8"/>
    <w:rsid w:val="00BB4019"/>
    <w:rsid w:val="00BB6065"/>
    <w:rsid w:val="00BC5940"/>
    <w:rsid w:val="00BE14B6"/>
    <w:rsid w:val="00BE33B0"/>
    <w:rsid w:val="00C63679"/>
    <w:rsid w:val="00C670EF"/>
    <w:rsid w:val="00CA1259"/>
    <w:rsid w:val="00CC6179"/>
    <w:rsid w:val="00D24C8B"/>
    <w:rsid w:val="00D41D73"/>
    <w:rsid w:val="00D456AD"/>
    <w:rsid w:val="00D54F35"/>
    <w:rsid w:val="00D80530"/>
    <w:rsid w:val="00D8745A"/>
    <w:rsid w:val="00D90E66"/>
    <w:rsid w:val="00DA27D0"/>
    <w:rsid w:val="00DA29A0"/>
    <w:rsid w:val="00DC1528"/>
    <w:rsid w:val="00E17F39"/>
    <w:rsid w:val="00E3595D"/>
    <w:rsid w:val="00E54686"/>
    <w:rsid w:val="00E54978"/>
    <w:rsid w:val="00E96E4B"/>
    <w:rsid w:val="00EC0E6A"/>
    <w:rsid w:val="00F01A22"/>
    <w:rsid w:val="00FC0C58"/>
    <w:rsid w:val="00FC53C3"/>
    <w:rsid w:val="00FD7220"/>
    <w:rsid w:val="06EB6F5B"/>
    <w:rsid w:val="1471660D"/>
    <w:rsid w:val="171E16BF"/>
    <w:rsid w:val="1FD10E80"/>
    <w:rsid w:val="29777CD6"/>
    <w:rsid w:val="2AC07888"/>
    <w:rsid w:val="360C131A"/>
    <w:rsid w:val="3B8B0284"/>
    <w:rsid w:val="40F67FAA"/>
    <w:rsid w:val="42594E52"/>
    <w:rsid w:val="4D3B7DD5"/>
    <w:rsid w:val="4DEB7CB1"/>
    <w:rsid w:val="59E35025"/>
    <w:rsid w:val="62AC1992"/>
    <w:rsid w:val="63201EAD"/>
    <w:rsid w:val="64A5381F"/>
    <w:rsid w:val="655C0B25"/>
    <w:rsid w:val="6944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FC9A83"/>
  <w15:docId w15:val="{7237795E-2FEB-4431-AD62-187B302D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2">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8">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customStyle="1" w:styleId="30">
    <w:name w:val="修订3"/>
    <w:hidden/>
    <w:uiPriority w:val="99"/>
    <w:unhideWhenUsed/>
    <w:qFormat/>
    <w:rPr>
      <w:kern w:val="2"/>
      <w:sz w:val="21"/>
    </w:rPr>
  </w:style>
  <w:style w:type="paragraph" w:customStyle="1" w:styleId="4">
    <w:name w:val="修订4"/>
    <w:hidden/>
    <w:uiPriority w:val="99"/>
    <w:unhideWhenUsed/>
    <w:qFormat/>
    <w:rPr>
      <w:kern w:val="2"/>
      <w:sz w:val="21"/>
    </w:rPr>
  </w:style>
  <w:style w:type="table" w:customStyle="1" w:styleId="13">
    <w:name w:val="网格型1"/>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修订5"/>
    <w:hidden/>
    <w:uiPriority w:val="99"/>
    <w:semiHidden/>
    <w:qFormat/>
    <w:rPr>
      <w:kern w:val="2"/>
      <w:sz w:val="21"/>
    </w:rPr>
  </w:style>
  <w:style w:type="paragraph" w:customStyle="1" w:styleId="6">
    <w:name w:val="修订6"/>
    <w:hidden/>
    <w:uiPriority w:val="99"/>
    <w:unhideWhenUsed/>
    <w:qFormat/>
    <w:rPr>
      <w:kern w:val="2"/>
      <w:sz w:val="21"/>
    </w:rPr>
  </w:style>
  <w:style w:type="paragraph" w:customStyle="1" w:styleId="7">
    <w:name w:val="修订7"/>
    <w:hidden/>
    <w:uiPriority w:val="99"/>
    <w:semiHidden/>
    <w:qFormat/>
    <w:rPr>
      <w:kern w:val="2"/>
      <w:sz w:val="21"/>
    </w:rPr>
  </w:style>
  <w:style w:type="paragraph" w:styleId="af9">
    <w:name w:val="Revision"/>
    <w:hidden/>
    <w:uiPriority w:val="99"/>
    <w:unhideWhenUsed/>
    <w:rsid w:val="003F6B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EC161-FEB6-40BA-ADF3-142E6C150F68}">
  <ds:schemaRefs>
    <ds:schemaRef ds:uri="http://schemas.openxmlformats.org/officeDocument/2006/bibliography"/>
  </ds:schemaRefs>
</ds:datastoreItem>
</file>

<file path=customXml/itemProps3.xml><?xml version="1.0" encoding="utf-8"?>
<ds:datastoreItem xmlns:ds="http://schemas.openxmlformats.org/officeDocument/2006/customXml" ds:itemID="{E2D5D212-8B5E-45CE-B94C-B54215EC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5518</Words>
  <Characters>31459</Characters>
  <Application>Microsoft Office Word</Application>
  <DocSecurity>0</DocSecurity>
  <Lines>262</Lines>
  <Paragraphs>73</Paragraphs>
  <ScaleCrop>false</ScaleCrop>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刘斓</dc:creator>
  <cp:lastModifiedBy>赵一源_0323</cp:lastModifiedBy>
  <cp:revision>42</cp:revision>
  <cp:lastPrinted>2025-12-29T01:42:00Z</cp:lastPrinted>
  <dcterms:created xsi:type="dcterms:W3CDTF">2024-11-13T07:25:00Z</dcterms:created>
  <dcterms:modified xsi:type="dcterms:W3CDTF">2026-03-26T08:18:00Z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F2B6EA7B2F644A1DB5E6F82F901187AB_13</vt:lpwstr>
  </property>
</Properties>
</file>