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sz w:val="24"/>
        </w:rPr>
      </w:pPr>
    </w:p>
    <w:p>
      <w:pPr>
        <w:adjustRightInd w:val="0"/>
        <w:snapToGrid w:val="0"/>
        <w:jc w:val="center"/>
        <w:rPr>
          <w:rFonts w:ascii="彩虹粗仿宋" w:hAnsi="宋体" w:eastAsia="彩虹粗仿宋" w:cs="Arial"/>
          <w:b/>
          <w:sz w:val="44"/>
        </w:rPr>
      </w:pPr>
      <w:r>
        <w:rPr>
          <w:rFonts w:hint="eastAsia" w:ascii="彩虹粗仿宋" w:hAnsi="宋体" w:eastAsia="彩虹粗仿宋" w:cs="Arial"/>
          <w:b/>
          <w:sz w:val="44"/>
        </w:rPr>
        <w:t>平安中证工业有色金属主题交易型开放式指数证券投资基金</w:t>
      </w:r>
    </w:p>
    <w:p>
      <w:pPr>
        <w:adjustRightInd w:val="0"/>
        <w:snapToGrid w:val="0"/>
        <w:jc w:val="center"/>
        <w:rPr>
          <w:rFonts w:ascii="彩虹粗仿宋" w:hAnsi="宋体" w:eastAsia="彩虹粗仿宋" w:cs="Arial"/>
          <w:b/>
          <w:sz w:val="44"/>
        </w:rPr>
      </w:pPr>
      <w:r>
        <w:rPr>
          <w:rFonts w:hint="eastAsia" w:ascii="彩虹粗仿宋" w:hAnsi="宋体" w:eastAsia="彩虹粗仿宋" w:cs="Arial"/>
          <w:b/>
          <w:sz w:val="44"/>
        </w:rPr>
        <w:t>托管协议</w:t>
      </w:r>
    </w:p>
    <w:p>
      <w:pPr>
        <w:adjustRightInd w:val="0"/>
        <w:snapToGrid w:val="0"/>
        <w:jc w:val="center"/>
        <w:outlineLvl w:val="0"/>
        <w:rPr>
          <w:rFonts w:ascii="彩虹粗仿宋" w:hAnsi="宋体" w:eastAsia="彩虹粗仿宋" w:cs="Arial"/>
          <w:sz w:val="24"/>
        </w:rPr>
      </w:pPr>
    </w:p>
    <w:p>
      <w:pPr>
        <w:adjustRightInd w:val="0"/>
        <w:snapToGrid w:val="0"/>
        <w:jc w:val="center"/>
        <w:outlineLvl w:val="0"/>
        <w:rPr>
          <w:rFonts w:ascii="彩虹粗仿宋" w:hAnsi="宋体" w:eastAsia="彩虹粗仿宋" w:cs="Arial"/>
          <w:sz w:val="24"/>
        </w:rPr>
      </w:pPr>
    </w:p>
    <w:p>
      <w:pPr>
        <w:adjustRightInd w:val="0"/>
        <w:snapToGrid w:val="0"/>
        <w:jc w:val="center"/>
        <w:outlineLvl w:val="0"/>
        <w:rPr>
          <w:rFonts w:ascii="彩虹粗仿宋" w:hAnsi="宋体" w:eastAsia="彩虹粗仿宋" w:cs="Arial"/>
          <w:sz w:val="24"/>
        </w:rPr>
      </w:pPr>
    </w:p>
    <w:p>
      <w:pPr>
        <w:adjustRightInd w:val="0"/>
        <w:snapToGrid w:val="0"/>
        <w:jc w:val="center"/>
        <w:outlineLvl w:val="0"/>
        <w:rPr>
          <w:rFonts w:ascii="彩虹粗仿宋" w:hAnsi="宋体" w:eastAsia="彩虹粗仿宋" w:cs="Arial"/>
          <w:sz w:val="24"/>
        </w:rPr>
      </w:pPr>
    </w:p>
    <w:p>
      <w:pPr>
        <w:adjustRightInd w:val="0"/>
        <w:snapToGrid w:val="0"/>
        <w:jc w:val="center"/>
        <w:outlineLvl w:val="0"/>
        <w:rPr>
          <w:rFonts w:ascii="彩虹粗仿宋" w:hAnsi="宋体" w:eastAsia="彩虹粗仿宋" w:cs="Arial"/>
          <w:sz w:val="24"/>
        </w:rPr>
      </w:pPr>
    </w:p>
    <w:p>
      <w:pPr>
        <w:adjustRightInd w:val="0"/>
        <w:snapToGrid w:val="0"/>
        <w:jc w:val="center"/>
        <w:outlineLvl w:val="0"/>
        <w:rPr>
          <w:rFonts w:ascii="彩虹粗仿宋" w:hAnsi="宋体" w:eastAsia="彩虹粗仿宋" w:cs="Arial"/>
          <w:b/>
          <w:bCs/>
          <w:sz w:val="28"/>
        </w:rPr>
      </w:pPr>
      <w:r>
        <w:rPr>
          <w:rFonts w:hint="eastAsia" w:ascii="彩虹粗仿宋" w:hAnsi="宋体" w:eastAsia="彩虹粗仿宋" w:cs="Arial"/>
          <w:b/>
          <w:bCs/>
          <w:sz w:val="28"/>
        </w:rPr>
        <w:t>基金管理人：平安基金管理有限公司</w:t>
      </w:r>
    </w:p>
    <w:p>
      <w:pPr>
        <w:adjustRightInd w:val="0"/>
        <w:snapToGrid w:val="0"/>
        <w:jc w:val="center"/>
        <w:outlineLvl w:val="0"/>
        <w:rPr>
          <w:rFonts w:ascii="彩虹粗仿宋" w:hAnsi="宋体" w:eastAsia="彩虹粗仿宋" w:cs="Arial"/>
          <w:b/>
          <w:bCs/>
          <w:sz w:val="28"/>
        </w:rPr>
      </w:pPr>
      <w:r>
        <w:rPr>
          <w:rFonts w:hint="eastAsia" w:ascii="彩虹粗仿宋" w:hAnsi="宋体" w:eastAsia="彩虹粗仿宋" w:cs="Arial"/>
          <w:b/>
          <w:bCs/>
          <w:sz w:val="28"/>
        </w:rPr>
        <w:t>基金托管人：中信银行股份有限公司</w:t>
      </w:r>
    </w:p>
    <w:p>
      <w:pPr>
        <w:adjustRightInd w:val="0"/>
        <w:snapToGrid w:val="0"/>
        <w:jc w:val="center"/>
        <w:outlineLvl w:val="0"/>
        <w:rPr>
          <w:rFonts w:ascii="彩虹粗仿宋" w:hAnsi="宋体" w:eastAsia="彩虹粗仿宋" w:cs="Arial"/>
          <w:sz w:val="24"/>
        </w:rPr>
      </w:pPr>
    </w:p>
    <w:p>
      <w:pPr>
        <w:adjustRightInd w:val="0"/>
        <w:snapToGrid w:val="0"/>
        <w:jc w:val="center"/>
        <w:outlineLvl w:val="0"/>
        <w:rPr>
          <w:rFonts w:ascii="彩虹粗仿宋" w:hAnsi="宋体" w:eastAsia="彩虹粗仿宋" w:cs="Arial"/>
          <w:sz w:val="24"/>
        </w:rPr>
      </w:pPr>
    </w:p>
    <w:p>
      <w:pPr>
        <w:adjustRightInd w:val="0"/>
        <w:snapToGrid w:val="0"/>
        <w:jc w:val="center"/>
        <w:outlineLvl w:val="0"/>
        <w:rPr>
          <w:rFonts w:ascii="彩虹粗仿宋" w:hAnsi="宋体" w:eastAsia="彩虹粗仿宋" w:cs="Arial"/>
          <w:sz w:val="24"/>
        </w:rPr>
      </w:pPr>
    </w:p>
    <w:p>
      <w:pPr>
        <w:adjustRightInd w:val="0"/>
        <w:snapToGrid w:val="0"/>
        <w:jc w:val="center"/>
        <w:outlineLvl w:val="0"/>
        <w:rPr>
          <w:rFonts w:ascii="彩虹粗仿宋" w:hAnsi="宋体" w:eastAsia="彩虹粗仿宋" w:cs="Arial"/>
          <w:sz w:val="24"/>
        </w:rPr>
      </w:pPr>
    </w:p>
    <w:p>
      <w:pPr>
        <w:adjustRightInd w:val="0"/>
        <w:snapToGrid w:val="0"/>
        <w:jc w:val="center"/>
        <w:outlineLvl w:val="0"/>
        <w:rPr>
          <w:rFonts w:ascii="彩虹粗仿宋" w:hAnsi="宋体" w:eastAsia="彩虹粗仿宋" w:cs="Arial"/>
          <w:sz w:val="24"/>
        </w:rPr>
      </w:pPr>
    </w:p>
    <w:p>
      <w:pPr>
        <w:adjustRightInd w:val="0"/>
        <w:snapToGrid w:val="0"/>
        <w:jc w:val="center"/>
        <w:outlineLvl w:val="0"/>
        <w:rPr>
          <w:rFonts w:ascii="彩虹粗仿宋" w:hAnsi="宋体" w:eastAsia="彩虹粗仿宋" w:cs="Arial"/>
          <w:sz w:val="24"/>
        </w:rPr>
      </w:pPr>
    </w:p>
    <w:p>
      <w:pPr>
        <w:adjustRightInd w:val="0"/>
        <w:snapToGrid w:val="0"/>
        <w:jc w:val="center"/>
        <w:outlineLvl w:val="0"/>
        <w:rPr>
          <w:rFonts w:ascii="彩虹粗仿宋" w:hAnsi="宋体" w:eastAsia="彩虹粗仿宋" w:cs="Arial"/>
          <w:sz w:val="24"/>
        </w:rPr>
      </w:pPr>
    </w:p>
    <w:p>
      <w:pPr>
        <w:adjustRightInd w:val="0"/>
        <w:snapToGrid w:val="0"/>
        <w:jc w:val="center"/>
        <w:outlineLvl w:val="0"/>
        <w:rPr>
          <w:rFonts w:ascii="彩虹粗仿宋" w:hAnsi="宋体" w:eastAsia="彩虹粗仿宋" w:cs="Arial"/>
          <w:sz w:val="24"/>
        </w:rPr>
      </w:pPr>
    </w:p>
    <w:p>
      <w:pPr>
        <w:adjustRightInd w:val="0"/>
        <w:snapToGrid w:val="0"/>
        <w:jc w:val="center"/>
        <w:outlineLvl w:val="0"/>
        <w:rPr>
          <w:rFonts w:ascii="彩虹粗仿宋" w:hAnsi="宋体" w:eastAsia="彩虹粗仿宋" w:cs="Arial"/>
          <w:sz w:val="24"/>
        </w:rPr>
      </w:pPr>
    </w:p>
    <w:p>
      <w:pPr>
        <w:adjustRightInd w:val="0"/>
        <w:snapToGrid w:val="0"/>
        <w:outlineLvl w:val="0"/>
        <w:rPr>
          <w:rFonts w:ascii="彩虹粗仿宋" w:hAnsi="宋体" w:eastAsia="彩虹粗仿宋" w:cs="Arial"/>
          <w:sz w:val="24"/>
        </w:rPr>
      </w:pPr>
      <w:r>
        <w:rPr>
          <w:rFonts w:hint="eastAsia" w:ascii="彩虹粗仿宋" w:hAnsi="宋体" w:eastAsia="彩虹粗仿宋" w:cs="Arial"/>
          <w:sz w:val="24"/>
        </w:rPr>
        <w:t xml:space="preserve">                            二零二六年</w:t>
      </w:r>
      <w:r>
        <w:rPr>
          <w:rFonts w:hint="eastAsia" w:ascii="彩虹粗仿宋" w:hAnsi="宋体" w:eastAsia="彩虹粗仿宋" w:cs="Arial"/>
          <w:sz w:val="24"/>
          <w:lang w:val="en-US" w:eastAsia="zh-CN"/>
        </w:rPr>
        <w:t>四</w:t>
      </w:r>
      <w:r>
        <w:rPr>
          <w:rFonts w:hint="eastAsia" w:ascii="彩虹粗仿宋" w:hAnsi="宋体" w:eastAsia="彩虹粗仿宋" w:cs="Arial"/>
          <w:sz w:val="24"/>
        </w:rPr>
        <w:t>月</w:t>
      </w:r>
    </w:p>
    <w:p>
      <w:pPr>
        <w:adjustRightInd w:val="0"/>
        <w:snapToGrid w:val="0"/>
        <w:jc w:val="center"/>
        <w:rPr>
          <w:rFonts w:ascii="彩虹粗仿宋" w:hAnsi="宋体" w:eastAsia="彩虹粗仿宋" w:cs="Arial"/>
          <w:bCs/>
          <w:sz w:val="24"/>
        </w:rPr>
      </w:pPr>
    </w:p>
    <w:p>
      <w:pPr>
        <w:adjustRightInd w:val="0"/>
        <w:snapToGrid w:val="0"/>
        <w:jc w:val="center"/>
        <w:rPr>
          <w:rFonts w:ascii="彩虹粗仿宋" w:hAnsi="宋体" w:eastAsia="彩虹粗仿宋" w:cs="Arial"/>
          <w:bCs/>
          <w:sz w:val="24"/>
        </w:rPr>
        <w:sectPr>
          <w:headerReference r:id="rId3" w:type="default"/>
          <w:footerReference r:id="rId4" w:type="default"/>
          <w:footerReference r:id="rId5" w:type="even"/>
          <w:pgSz w:w="11906" w:h="16838"/>
          <w:pgMar w:top="1418" w:right="1701" w:bottom="1418" w:left="1701" w:header="851" w:footer="992" w:gutter="0"/>
          <w:cols w:space="720" w:num="1"/>
          <w:docGrid w:type="lines" w:linePitch="312" w:charSpace="0"/>
        </w:sectPr>
      </w:pPr>
    </w:p>
    <w:p>
      <w:pPr>
        <w:jc w:val="center"/>
        <w:rPr>
          <w:rFonts w:ascii="彩虹粗仿宋" w:eastAsia="彩虹粗仿宋"/>
          <w:b/>
          <w:bCs/>
          <w:sz w:val="30"/>
        </w:rPr>
      </w:pPr>
      <w:r>
        <w:rPr>
          <w:rFonts w:hint="eastAsia" w:ascii="彩虹粗仿宋" w:eastAsia="彩虹粗仿宋"/>
          <w:b/>
          <w:bCs/>
          <w:sz w:val="30"/>
        </w:rPr>
        <w:t>目    录</w:t>
      </w:r>
    </w:p>
    <w:p>
      <w:pPr>
        <w:pStyle w:val="19"/>
        <w:tabs>
          <w:tab w:val="right" w:leader="dot" w:pos="8494"/>
        </w:tabs>
        <w:rPr>
          <w:rFonts w:ascii="彩虹粗仿宋" w:hAnsi="宋体" w:eastAsia="彩虹粗仿宋"/>
          <w:sz w:val="24"/>
        </w:rPr>
      </w:pPr>
      <w:r>
        <w:rPr>
          <w:rFonts w:hint="eastAsia" w:ascii="彩虹粗仿宋" w:hAnsi="宋体" w:eastAsia="彩虹粗仿宋"/>
          <w:sz w:val="24"/>
        </w:rPr>
        <w:fldChar w:fldCharType="begin"/>
      </w:r>
      <w:r>
        <w:rPr>
          <w:rFonts w:hint="eastAsia" w:ascii="彩虹粗仿宋" w:hAnsi="宋体" w:eastAsia="彩虹粗仿宋"/>
          <w:sz w:val="24"/>
        </w:rPr>
        <w:instrText xml:space="preserve"> TOC \o "1-2" \h \z </w:instrText>
      </w:r>
      <w:r>
        <w:rPr>
          <w:rFonts w:hint="eastAsia" w:ascii="彩虹粗仿宋" w:hAnsi="宋体" w:eastAsia="彩虹粗仿宋"/>
          <w:sz w:val="24"/>
        </w:rPr>
        <w:fldChar w:fldCharType="separate"/>
      </w:r>
      <w:r>
        <w:fldChar w:fldCharType="begin"/>
      </w:r>
      <w:r>
        <w:instrText xml:space="preserve"> HYPERLINK \l "_Toc124325885" </w:instrText>
      </w:r>
      <w:r>
        <w:fldChar w:fldCharType="separate"/>
      </w:r>
      <w:r>
        <w:rPr>
          <w:rStyle w:val="29"/>
          <w:rFonts w:hint="eastAsia" w:ascii="彩虹粗仿宋" w:hAnsi="宋体" w:eastAsia="彩虹粗仿宋"/>
          <w:sz w:val="24"/>
        </w:rPr>
        <w:t>一、基金托管协议当</w:t>
      </w:r>
      <w:bookmarkStart w:id="0" w:name="_Hlt498420681"/>
      <w:bookmarkStart w:id="1" w:name="_Hlt498420680"/>
      <w:r>
        <w:rPr>
          <w:rStyle w:val="29"/>
          <w:rFonts w:hint="eastAsia" w:ascii="彩虹粗仿宋" w:hAnsi="宋体" w:eastAsia="彩虹粗仿宋"/>
          <w:sz w:val="24"/>
        </w:rPr>
        <w:t>事</w:t>
      </w:r>
      <w:bookmarkEnd w:id="0"/>
      <w:bookmarkEnd w:id="1"/>
      <w:r>
        <w:rPr>
          <w:rStyle w:val="29"/>
          <w:rFonts w:hint="eastAsia" w:ascii="彩虹粗仿宋" w:hAnsi="宋体" w:eastAsia="彩虹粗仿宋"/>
          <w:sz w:val="24"/>
        </w:rPr>
        <w:t>人</w:t>
      </w:r>
      <w:r>
        <w:rPr>
          <w:rFonts w:hint="eastAsia" w:ascii="彩虹粗仿宋" w:hAnsi="宋体" w:eastAsia="彩虹粗仿宋"/>
          <w:sz w:val="24"/>
        </w:rPr>
        <w:tab/>
      </w:r>
      <w:r>
        <w:rPr>
          <w:rFonts w:hint="eastAsia" w:ascii="彩虹粗仿宋" w:hAnsi="宋体" w:eastAsia="彩虹粗仿宋"/>
          <w:sz w:val="24"/>
        </w:rPr>
        <w:fldChar w:fldCharType="begin"/>
      </w:r>
      <w:r>
        <w:rPr>
          <w:rFonts w:hint="eastAsia" w:ascii="彩虹粗仿宋" w:hAnsi="宋体" w:eastAsia="彩虹粗仿宋"/>
          <w:sz w:val="24"/>
        </w:rPr>
        <w:instrText xml:space="preserve"> PAGEREF _Toc124325885 \h </w:instrText>
      </w:r>
      <w:r>
        <w:rPr>
          <w:rFonts w:hint="eastAsia" w:ascii="彩虹粗仿宋" w:hAnsi="宋体" w:eastAsia="彩虹粗仿宋"/>
          <w:sz w:val="24"/>
        </w:rPr>
        <w:fldChar w:fldCharType="separate"/>
      </w:r>
      <w:r>
        <w:rPr>
          <w:rFonts w:hint="eastAsia" w:ascii="彩虹粗仿宋" w:hAnsi="宋体" w:eastAsia="彩虹粗仿宋"/>
          <w:sz w:val="24"/>
        </w:rPr>
        <w:t>4</w:t>
      </w:r>
      <w:r>
        <w:rPr>
          <w:rFonts w:hint="eastAsia" w:ascii="彩虹粗仿宋" w:hAnsi="宋体" w:eastAsia="彩虹粗仿宋"/>
          <w:sz w:val="24"/>
        </w:rPr>
        <w:fldChar w:fldCharType="end"/>
      </w:r>
      <w:r>
        <w:rPr>
          <w:rFonts w:hint="eastAsia" w:ascii="彩虹粗仿宋" w:hAnsi="宋体" w:eastAsia="彩虹粗仿宋"/>
          <w:sz w:val="24"/>
        </w:rPr>
        <w:fldChar w:fldCharType="end"/>
      </w:r>
    </w:p>
    <w:p>
      <w:pPr>
        <w:pStyle w:val="19"/>
        <w:tabs>
          <w:tab w:val="right" w:leader="dot" w:pos="8494"/>
        </w:tabs>
        <w:rPr>
          <w:rFonts w:ascii="彩虹粗仿宋" w:hAnsi="宋体" w:eastAsia="彩虹粗仿宋"/>
          <w:sz w:val="24"/>
        </w:rPr>
      </w:pPr>
      <w:r>
        <w:fldChar w:fldCharType="begin"/>
      </w:r>
      <w:r>
        <w:instrText xml:space="preserve"> HYPERLINK \l "_Toc124325886" </w:instrText>
      </w:r>
      <w:r>
        <w:fldChar w:fldCharType="separate"/>
      </w:r>
      <w:r>
        <w:rPr>
          <w:rStyle w:val="29"/>
          <w:rFonts w:hint="eastAsia" w:ascii="彩虹粗仿宋" w:hAnsi="宋体" w:eastAsia="彩虹粗仿宋"/>
          <w:sz w:val="24"/>
        </w:rPr>
        <w:t>二、基金托管协议的依据、目的和原则</w:t>
      </w:r>
      <w:r>
        <w:rPr>
          <w:rFonts w:hint="eastAsia" w:ascii="彩虹粗仿宋" w:hAnsi="宋体" w:eastAsia="彩虹粗仿宋"/>
          <w:sz w:val="24"/>
        </w:rPr>
        <w:tab/>
      </w:r>
      <w:r>
        <w:rPr>
          <w:rFonts w:hint="eastAsia" w:ascii="彩虹粗仿宋" w:hAnsi="宋体" w:eastAsia="彩虹粗仿宋"/>
          <w:sz w:val="24"/>
        </w:rPr>
        <w:fldChar w:fldCharType="begin"/>
      </w:r>
      <w:r>
        <w:rPr>
          <w:rFonts w:hint="eastAsia" w:ascii="彩虹粗仿宋" w:hAnsi="宋体" w:eastAsia="彩虹粗仿宋"/>
          <w:sz w:val="24"/>
        </w:rPr>
        <w:instrText xml:space="preserve"> PAGEREF _Toc124325886 \h </w:instrText>
      </w:r>
      <w:r>
        <w:rPr>
          <w:rFonts w:hint="eastAsia" w:ascii="彩虹粗仿宋" w:hAnsi="宋体" w:eastAsia="彩虹粗仿宋"/>
          <w:sz w:val="24"/>
        </w:rPr>
        <w:fldChar w:fldCharType="separate"/>
      </w:r>
      <w:r>
        <w:rPr>
          <w:rFonts w:hint="eastAsia" w:ascii="彩虹粗仿宋" w:hAnsi="宋体" w:eastAsia="彩虹粗仿宋"/>
          <w:sz w:val="24"/>
        </w:rPr>
        <w:t>4</w:t>
      </w:r>
      <w:r>
        <w:rPr>
          <w:rFonts w:hint="eastAsia" w:ascii="彩虹粗仿宋" w:hAnsi="宋体" w:eastAsia="彩虹粗仿宋"/>
          <w:sz w:val="24"/>
        </w:rPr>
        <w:fldChar w:fldCharType="end"/>
      </w:r>
      <w:r>
        <w:rPr>
          <w:rFonts w:hint="eastAsia" w:ascii="彩虹粗仿宋" w:hAnsi="宋体" w:eastAsia="彩虹粗仿宋"/>
          <w:sz w:val="24"/>
        </w:rPr>
        <w:fldChar w:fldCharType="end"/>
      </w:r>
    </w:p>
    <w:p>
      <w:pPr>
        <w:pStyle w:val="19"/>
        <w:tabs>
          <w:tab w:val="right" w:leader="dot" w:pos="8494"/>
        </w:tabs>
        <w:rPr>
          <w:rFonts w:ascii="彩虹粗仿宋" w:hAnsi="宋体" w:eastAsia="彩虹粗仿宋"/>
          <w:sz w:val="24"/>
        </w:rPr>
      </w:pPr>
      <w:r>
        <w:fldChar w:fldCharType="begin"/>
      </w:r>
      <w:r>
        <w:instrText xml:space="preserve"> HYPERLINK \l "_Toc124325887" </w:instrText>
      </w:r>
      <w:r>
        <w:fldChar w:fldCharType="separate"/>
      </w:r>
      <w:r>
        <w:rPr>
          <w:rStyle w:val="29"/>
          <w:rFonts w:hint="eastAsia" w:ascii="彩虹粗仿宋" w:hAnsi="宋体" w:eastAsia="彩虹粗仿宋"/>
          <w:sz w:val="24"/>
        </w:rPr>
        <w:t>三、基金托管人对基金管理人的业务监督和核查</w:t>
      </w:r>
      <w:r>
        <w:rPr>
          <w:rFonts w:hint="eastAsia" w:ascii="彩虹粗仿宋" w:hAnsi="宋体" w:eastAsia="彩虹粗仿宋"/>
          <w:sz w:val="24"/>
        </w:rPr>
        <w:tab/>
      </w:r>
      <w:r>
        <w:rPr>
          <w:rFonts w:hint="eastAsia" w:ascii="彩虹粗仿宋" w:hAnsi="宋体" w:eastAsia="彩虹粗仿宋"/>
          <w:sz w:val="24"/>
        </w:rPr>
        <w:fldChar w:fldCharType="begin"/>
      </w:r>
      <w:r>
        <w:rPr>
          <w:rFonts w:hint="eastAsia" w:ascii="彩虹粗仿宋" w:hAnsi="宋体" w:eastAsia="彩虹粗仿宋"/>
          <w:sz w:val="24"/>
        </w:rPr>
        <w:instrText xml:space="preserve"> PAGEREF _Toc124325887 \h </w:instrText>
      </w:r>
      <w:r>
        <w:rPr>
          <w:rFonts w:hint="eastAsia" w:ascii="彩虹粗仿宋" w:hAnsi="宋体" w:eastAsia="彩虹粗仿宋"/>
          <w:sz w:val="24"/>
        </w:rPr>
        <w:fldChar w:fldCharType="separate"/>
      </w:r>
      <w:r>
        <w:rPr>
          <w:rFonts w:hint="eastAsia" w:ascii="彩虹粗仿宋" w:hAnsi="宋体" w:eastAsia="彩虹粗仿宋"/>
          <w:sz w:val="24"/>
        </w:rPr>
        <w:t>6</w:t>
      </w:r>
      <w:r>
        <w:rPr>
          <w:rFonts w:hint="eastAsia" w:ascii="彩虹粗仿宋" w:hAnsi="宋体" w:eastAsia="彩虹粗仿宋"/>
          <w:sz w:val="24"/>
        </w:rPr>
        <w:fldChar w:fldCharType="end"/>
      </w:r>
      <w:r>
        <w:rPr>
          <w:rFonts w:hint="eastAsia" w:ascii="彩虹粗仿宋" w:hAnsi="宋体" w:eastAsia="彩虹粗仿宋"/>
          <w:sz w:val="24"/>
        </w:rPr>
        <w:fldChar w:fldCharType="end"/>
      </w:r>
    </w:p>
    <w:p>
      <w:pPr>
        <w:pStyle w:val="19"/>
        <w:tabs>
          <w:tab w:val="right" w:leader="dot" w:pos="8494"/>
        </w:tabs>
        <w:rPr>
          <w:rFonts w:ascii="彩虹粗仿宋" w:hAnsi="宋体" w:eastAsia="彩虹粗仿宋"/>
          <w:sz w:val="24"/>
        </w:rPr>
      </w:pPr>
      <w:r>
        <w:fldChar w:fldCharType="begin"/>
      </w:r>
      <w:r>
        <w:instrText xml:space="preserve"> HYPERLINK \l "_Toc124325888" </w:instrText>
      </w:r>
      <w:r>
        <w:fldChar w:fldCharType="separate"/>
      </w:r>
      <w:r>
        <w:rPr>
          <w:rStyle w:val="29"/>
          <w:rFonts w:hint="eastAsia" w:ascii="彩虹粗仿宋" w:hAnsi="宋体" w:eastAsia="彩虹粗仿宋"/>
          <w:sz w:val="24"/>
        </w:rPr>
        <w:t>四、基金管理人对基金托管人的业务核查</w:t>
      </w:r>
      <w:r>
        <w:rPr>
          <w:rFonts w:hint="eastAsia" w:ascii="彩虹粗仿宋" w:hAnsi="宋体" w:eastAsia="彩虹粗仿宋"/>
          <w:sz w:val="24"/>
        </w:rPr>
        <w:tab/>
      </w:r>
      <w:r>
        <w:rPr>
          <w:rFonts w:hint="eastAsia" w:ascii="彩虹粗仿宋" w:hAnsi="宋体" w:eastAsia="彩虹粗仿宋"/>
          <w:sz w:val="24"/>
        </w:rPr>
        <w:fldChar w:fldCharType="begin"/>
      </w:r>
      <w:r>
        <w:rPr>
          <w:rFonts w:hint="eastAsia" w:ascii="彩虹粗仿宋" w:hAnsi="宋体" w:eastAsia="彩虹粗仿宋"/>
          <w:sz w:val="24"/>
        </w:rPr>
        <w:instrText xml:space="preserve"> PAGEREF _Toc124325888 \h </w:instrText>
      </w:r>
      <w:r>
        <w:rPr>
          <w:rFonts w:hint="eastAsia" w:ascii="彩虹粗仿宋" w:hAnsi="宋体" w:eastAsia="彩虹粗仿宋"/>
          <w:sz w:val="24"/>
        </w:rPr>
        <w:fldChar w:fldCharType="separate"/>
      </w:r>
      <w:r>
        <w:rPr>
          <w:rFonts w:hint="eastAsia" w:ascii="彩虹粗仿宋" w:hAnsi="宋体" w:eastAsia="彩虹粗仿宋"/>
          <w:sz w:val="24"/>
        </w:rPr>
        <w:t>12</w:t>
      </w:r>
      <w:r>
        <w:rPr>
          <w:rFonts w:hint="eastAsia" w:ascii="彩虹粗仿宋" w:hAnsi="宋体" w:eastAsia="彩虹粗仿宋"/>
          <w:sz w:val="24"/>
        </w:rPr>
        <w:fldChar w:fldCharType="end"/>
      </w:r>
      <w:r>
        <w:rPr>
          <w:rFonts w:hint="eastAsia" w:ascii="彩虹粗仿宋" w:hAnsi="宋体" w:eastAsia="彩虹粗仿宋"/>
          <w:sz w:val="24"/>
        </w:rPr>
        <w:fldChar w:fldCharType="end"/>
      </w:r>
    </w:p>
    <w:p>
      <w:pPr>
        <w:pStyle w:val="19"/>
        <w:tabs>
          <w:tab w:val="right" w:leader="dot" w:pos="8494"/>
        </w:tabs>
        <w:rPr>
          <w:rFonts w:ascii="彩虹粗仿宋" w:hAnsi="宋体" w:eastAsia="彩虹粗仿宋"/>
          <w:sz w:val="24"/>
        </w:rPr>
      </w:pPr>
      <w:r>
        <w:fldChar w:fldCharType="begin"/>
      </w:r>
      <w:r>
        <w:instrText xml:space="preserve"> HYPERLINK \l "_Toc124325889" </w:instrText>
      </w:r>
      <w:r>
        <w:fldChar w:fldCharType="separate"/>
      </w:r>
      <w:r>
        <w:rPr>
          <w:rStyle w:val="29"/>
          <w:rFonts w:hint="eastAsia" w:ascii="彩虹粗仿宋" w:hAnsi="宋体" w:eastAsia="彩虹粗仿宋"/>
          <w:sz w:val="24"/>
        </w:rPr>
        <w:t>五、基金财产的保管</w:t>
      </w:r>
      <w:bookmarkStart w:id="2" w:name="_Hlt130398332"/>
      <w:bookmarkStart w:id="3" w:name="_Hlt130398333"/>
      <w:r>
        <w:rPr>
          <w:rFonts w:hint="eastAsia" w:ascii="彩虹粗仿宋" w:hAnsi="宋体" w:eastAsia="彩虹粗仿宋"/>
          <w:sz w:val="24"/>
        </w:rPr>
        <w:tab/>
      </w:r>
      <w:bookmarkEnd w:id="2"/>
      <w:bookmarkEnd w:id="3"/>
      <w:r>
        <w:rPr>
          <w:rFonts w:hint="eastAsia" w:ascii="彩虹粗仿宋" w:hAnsi="宋体" w:eastAsia="彩虹粗仿宋"/>
          <w:sz w:val="24"/>
        </w:rPr>
        <w:fldChar w:fldCharType="begin"/>
      </w:r>
      <w:r>
        <w:rPr>
          <w:rFonts w:hint="eastAsia" w:ascii="彩虹粗仿宋" w:hAnsi="宋体" w:eastAsia="彩虹粗仿宋"/>
          <w:sz w:val="24"/>
        </w:rPr>
        <w:instrText xml:space="preserve"> PAGEREF _Toc124325889 \h </w:instrText>
      </w:r>
      <w:r>
        <w:rPr>
          <w:rFonts w:hint="eastAsia" w:ascii="彩虹粗仿宋" w:hAnsi="宋体" w:eastAsia="彩虹粗仿宋"/>
          <w:sz w:val="24"/>
        </w:rPr>
        <w:fldChar w:fldCharType="separate"/>
      </w:r>
      <w:r>
        <w:rPr>
          <w:rFonts w:hint="eastAsia" w:ascii="彩虹粗仿宋" w:hAnsi="宋体" w:eastAsia="彩虹粗仿宋"/>
          <w:sz w:val="24"/>
        </w:rPr>
        <w:t>13</w:t>
      </w:r>
      <w:r>
        <w:rPr>
          <w:rFonts w:hint="eastAsia" w:ascii="彩虹粗仿宋" w:hAnsi="宋体" w:eastAsia="彩虹粗仿宋"/>
          <w:sz w:val="24"/>
        </w:rPr>
        <w:fldChar w:fldCharType="end"/>
      </w:r>
      <w:r>
        <w:rPr>
          <w:rFonts w:hint="eastAsia" w:ascii="彩虹粗仿宋" w:hAnsi="宋体" w:eastAsia="彩虹粗仿宋"/>
          <w:sz w:val="24"/>
        </w:rPr>
        <w:fldChar w:fldCharType="end"/>
      </w:r>
    </w:p>
    <w:p>
      <w:pPr>
        <w:pStyle w:val="19"/>
        <w:tabs>
          <w:tab w:val="right" w:leader="dot" w:pos="8494"/>
        </w:tabs>
        <w:rPr>
          <w:rFonts w:ascii="彩虹粗仿宋" w:hAnsi="宋体" w:eastAsia="彩虹粗仿宋"/>
          <w:sz w:val="24"/>
        </w:rPr>
      </w:pPr>
      <w:r>
        <w:fldChar w:fldCharType="begin"/>
      </w:r>
      <w:r>
        <w:instrText xml:space="preserve"> HYPERLINK \l "_Toc124325890" </w:instrText>
      </w:r>
      <w:r>
        <w:fldChar w:fldCharType="separate"/>
      </w:r>
      <w:r>
        <w:rPr>
          <w:rStyle w:val="29"/>
          <w:rFonts w:hint="eastAsia" w:ascii="彩虹粗仿宋" w:hAnsi="宋体" w:eastAsia="彩虹粗仿宋"/>
          <w:sz w:val="24"/>
        </w:rPr>
        <w:t>六、指令的发送、确认及执行</w:t>
      </w:r>
      <w:r>
        <w:rPr>
          <w:rFonts w:hint="eastAsia" w:ascii="彩虹粗仿宋" w:hAnsi="宋体" w:eastAsia="彩虹粗仿宋"/>
          <w:sz w:val="24"/>
        </w:rPr>
        <w:tab/>
      </w:r>
      <w:r>
        <w:rPr>
          <w:rFonts w:hint="eastAsia" w:ascii="彩虹粗仿宋" w:hAnsi="宋体" w:eastAsia="彩虹粗仿宋"/>
          <w:sz w:val="24"/>
        </w:rPr>
        <w:fldChar w:fldCharType="begin"/>
      </w:r>
      <w:r>
        <w:rPr>
          <w:rFonts w:hint="eastAsia" w:ascii="彩虹粗仿宋" w:hAnsi="宋体" w:eastAsia="彩虹粗仿宋"/>
          <w:sz w:val="24"/>
        </w:rPr>
        <w:instrText xml:space="preserve"> PAGEREF _Toc124325890 \h </w:instrText>
      </w:r>
      <w:r>
        <w:rPr>
          <w:rFonts w:hint="eastAsia" w:ascii="彩虹粗仿宋" w:hAnsi="宋体" w:eastAsia="彩虹粗仿宋"/>
          <w:sz w:val="24"/>
        </w:rPr>
        <w:fldChar w:fldCharType="separate"/>
      </w:r>
      <w:r>
        <w:rPr>
          <w:rFonts w:hint="eastAsia" w:ascii="彩虹粗仿宋" w:hAnsi="宋体" w:eastAsia="彩虹粗仿宋"/>
          <w:sz w:val="24"/>
        </w:rPr>
        <w:t>17</w:t>
      </w:r>
      <w:r>
        <w:rPr>
          <w:rFonts w:hint="eastAsia" w:ascii="彩虹粗仿宋" w:hAnsi="宋体" w:eastAsia="彩虹粗仿宋"/>
          <w:sz w:val="24"/>
        </w:rPr>
        <w:fldChar w:fldCharType="end"/>
      </w:r>
      <w:r>
        <w:rPr>
          <w:rFonts w:hint="eastAsia" w:ascii="彩虹粗仿宋" w:hAnsi="宋体" w:eastAsia="彩虹粗仿宋"/>
          <w:sz w:val="24"/>
        </w:rPr>
        <w:fldChar w:fldCharType="end"/>
      </w:r>
    </w:p>
    <w:p>
      <w:pPr>
        <w:pStyle w:val="19"/>
        <w:tabs>
          <w:tab w:val="right" w:leader="dot" w:pos="8494"/>
        </w:tabs>
        <w:rPr>
          <w:rFonts w:ascii="彩虹粗仿宋" w:hAnsi="宋体" w:eastAsia="彩虹粗仿宋"/>
          <w:sz w:val="24"/>
        </w:rPr>
      </w:pPr>
      <w:r>
        <w:fldChar w:fldCharType="begin"/>
      </w:r>
      <w:r>
        <w:instrText xml:space="preserve"> HYPERLINK \l "_Toc124325891" </w:instrText>
      </w:r>
      <w:r>
        <w:fldChar w:fldCharType="separate"/>
      </w:r>
      <w:r>
        <w:rPr>
          <w:rStyle w:val="29"/>
          <w:rFonts w:hint="eastAsia" w:ascii="彩虹粗仿宋" w:hAnsi="宋体" w:eastAsia="彩虹粗仿宋"/>
          <w:sz w:val="24"/>
        </w:rPr>
        <w:t>七、交易及清算</w:t>
      </w:r>
      <w:bookmarkStart w:id="4" w:name="_Hlt497143548"/>
      <w:bookmarkStart w:id="5" w:name="_Hlt497143549"/>
      <w:r>
        <w:rPr>
          <w:rStyle w:val="29"/>
          <w:rFonts w:hint="eastAsia" w:ascii="彩虹粗仿宋" w:hAnsi="宋体" w:eastAsia="彩虹粗仿宋"/>
          <w:sz w:val="24"/>
        </w:rPr>
        <w:t>交</w:t>
      </w:r>
      <w:bookmarkEnd w:id="4"/>
      <w:bookmarkEnd w:id="5"/>
      <w:r>
        <w:rPr>
          <w:rStyle w:val="29"/>
          <w:rFonts w:hint="eastAsia" w:ascii="彩虹粗仿宋" w:hAnsi="宋体" w:eastAsia="彩虹粗仿宋"/>
          <w:sz w:val="24"/>
        </w:rPr>
        <w:t>收安</w:t>
      </w:r>
      <w:bookmarkStart w:id="6" w:name="_Hlt419449173"/>
      <w:r>
        <w:rPr>
          <w:rStyle w:val="29"/>
          <w:rFonts w:hint="eastAsia" w:ascii="彩虹粗仿宋" w:hAnsi="宋体" w:eastAsia="彩虹粗仿宋"/>
          <w:sz w:val="24"/>
        </w:rPr>
        <w:t>排</w:t>
      </w:r>
      <w:bookmarkEnd w:id="6"/>
      <w:r>
        <w:rPr>
          <w:rFonts w:hint="eastAsia" w:ascii="彩虹粗仿宋" w:hAnsi="宋体" w:eastAsia="彩虹粗仿宋"/>
          <w:sz w:val="24"/>
        </w:rPr>
        <w:tab/>
      </w:r>
      <w:r>
        <w:rPr>
          <w:rFonts w:hint="eastAsia" w:ascii="彩虹粗仿宋" w:hAnsi="宋体" w:eastAsia="彩虹粗仿宋"/>
          <w:sz w:val="24"/>
        </w:rPr>
        <w:fldChar w:fldCharType="begin"/>
      </w:r>
      <w:r>
        <w:rPr>
          <w:rFonts w:hint="eastAsia" w:ascii="彩虹粗仿宋" w:hAnsi="宋体" w:eastAsia="彩虹粗仿宋"/>
          <w:sz w:val="24"/>
        </w:rPr>
        <w:instrText xml:space="preserve"> PAGEREF _Toc124325891 \h </w:instrText>
      </w:r>
      <w:r>
        <w:rPr>
          <w:rFonts w:hint="eastAsia" w:ascii="彩虹粗仿宋" w:hAnsi="宋体" w:eastAsia="彩虹粗仿宋"/>
          <w:sz w:val="24"/>
        </w:rPr>
        <w:fldChar w:fldCharType="separate"/>
      </w:r>
      <w:r>
        <w:rPr>
          <w:rFonts w:hint="eastAsia" w:ascii="彩虹粗仿宋" w:hAnsi="宋体" w:eastAsia="彩虹粗仿宋"/>
          <w:sz w:val="24"/>
        </w:rPr>
        <w:t>20</w:t>
      </w:r>
      <w:r>
        <w:rPr>
          <w:rFonts w:hint="eastAsia" w:ascii="彩虹粗仿宋" w:hAnsi="宋体" w:eastAsia="彩虹粗仿宋"/>
          <w:sz w:val="24"/>
        </w:rPr>
        <w:fldChar w:fldCharType="end"/>
      </w:r>
      <w:r>
        <w:rPr>
          <w:rFonts w:hint="eastAsia" w:ascii="彩虹粗仿宋" w:hAnsi="宋体" w:eastAsia="彩虹粗仿宋"/>
          <w:sz w:val="24"/>
        </w:rPr>
        <w:fldChar w:fldCharType="end"/>
      </w:r>
    </w:p>
    <w:p>
      <w:pPr>
        <w:pStyle w:val="19"/>
        <w:tabs>
          <w:tab w:val="right" w:leader="dot" w:pos="8494"/>
        </w:tabs>
        <w:rPr>
          <w:rFonts w:ascii="彩虹粗仿宋" w:hAnsi="宋体" w:eastAsia="彩虹粗仿宋"/>
          <w:sz w:val="24"/>
        </w:rPr>
      </w:pPr>
      <w:r>
        <w:fldChar w:fldCharType="begin"/>
      </w:r>
      <w:r>
        <w:instrText xml:space="preserve"> HYPERLINK \l "_Toc124325892" </w:instrText>
      </w:r>
      <w:r>
        <w:fldChar w:fldCharType="separate"/>
      </w:r>
      <w:r>
        <w:rPr>
          <w:rStyle w:val="29"/>
          <w:rFonts w:hint="eastAsia" w:ascii="彩虹粗仿宋" w:hAnsi="宋体" w:eastAsia="彩虹粗仿宋"/>
          <w:sz w:val="24"/>
        </w:rPr>
        <w:t>八、基金资产净值</w:t>
      </w:r>
      <w:bookmarkStart w:id="7" w:name="_Hlt419449178"/>
      <w:r>
        <w:rPr>
          <w:rStyle w:val="29"/>
          <w:rFonts w:hint="eastAsia" w:ascii="彩虹粗仿宋" w:hAnsi="宋体" w:eastAsia="彩虹粗仿宋"/>
          <w:sz w:val="24"/>
        </w:rPr>
        <w:t>计</w:t>
      </w:r>
      <w:bookmarkEnd w:id="7"/>
      <w:r>
        <w:rPr>
          <w:rStyle w:val="29"/>
          <w:rFonts w:hint="eastAsia" w:ascii="彩虹粗仿宋" w:hAnsi="宋体" w:eastAsia="彩虹粗仿宋"/>
          <w:sz w:val="24"/>
        </w:rPr>
        <w:t>算和会计核算</w:t>
      </w:r>
      <w:r>
        <w:rPr>
          <w:rFonts w:hint="eastAsia" w:ascii="彩虹粗仿宋" w:hAnsi="宋体" w:eastAsia="彩虹粗仿宋"/>
          <w:sz w:val="24"/>
        </w:rPr>
        <w:tab/>
      </w:r>
      <w:r>
        <w:rPr>
          <w:rFonts w:hint="eastAsia" w:ascii="彩虹粗仿宋" w:hAnsi="宋体" w:eastAsia="彩虹粗仿宋"/>
          <w:sz w:val="24"/>
        </w:rPr>
        <w:fldChar w:fldCharType="begin"/>
      </w:r>
      <w:r>
        <w:rPr>
          <w:rFonts w:hint="eastAsia" w:ascii="彩虹粗仿宋" w:hAnsi="宋体" w:eastAsia="彩虹粗仿宋"/>
          <w:sz w:val="24"/>
        </w:rPr>
        <w:instrText xml:space="preserve"> PAGEREF _Toc124325892 \h </w:instrText>
      </w:r>
      <w:r>
        <w:rPr>
          <w:rFonts w:hint="eastAsia" w:ascii="彩虹粗仿宋" w:hAnsi="宋体" w:eastAsia="彩虹粗仿宋"/>
          <w:sz w:val="24"/>
        </w:rPr>
        <w:fldChar w:fldCharType="separate"/>
      </w:r>
      <w:r>
        <w:rPr>
          <w:rFonts w:hint="eastAsia" w:ascii="彩虹粗仿宋" w:hAnsi="宋体" w:eastAsia="彩虹粗仿宋"/>
          <w:sz w:val="24"/>
        </w:rPr>
        <w:t>23</w:t>
      </w:r>
      <w:r>
        <w:rPr>
          <w:rFonts w:hint="eastAsia" w:ascii="彩虹粗仿宋" w:hAnsi="宋体" w:eastAsia="彩虹粗仿宋"/>
          <w:sz w:val="24"/>
        </w:rPr>
        <w:fldChar w:fldCharType="end"/>
      </w:r>
      <w:r>
        <w:rPr>
          <w:rFonts w:hint="eastAsia" w:ascii="彩虹粗仿宋" w:hAnsi="宋体" w:eastAsia="彩虹粗仿宋"/>
          <w:sz w:val="24"/>
        </w:rPr>
        <w:fldChar w:fldCharType="end"/>
      </w:r>
    </w:p>
    <w:p>
      <w:pPr>
        <w:pStyle w:val="19"/>
        <w:tabs>
          <w:tab w:val="right" w:leader="dot" w:pos="8494"/>
        </w:tabs>
        <w:rPr>
          <w:rFonts w:ascii="彩虹粗仿宋" w:hAnsi="宋体" w:eastAsia="彩虹粗仿宋"/>
          <w:sz w:val="24"/>
        </w:rPr>
      </w:pPr>
      <w:r>
        <w:fldChar w:fldCharType="begin"/>
      </w:r>
      <w:r>
        <w:instrText xml:space="preserve"> HYPERLINK \l "_Toc124325893" </w:instrText>
      </w:r>
      <w:r>
        <w:fldChar w:fldCharType="separate"/>
      </w:r>
      <w:r>
        <w:rPr>
          <w:rStyle w:val="29"/>
          <w:rFonts w:hint="eastAsia" w:ascii="彩虹粗仿宋" w:hAnsi="宋体" w:eastAsia="彩虹粗仿宋"/>
          <w:sz w:val="24"/>
        </w:rPr>
        <w:t>九、基金收益分配</w:t>
      </w:r>
      <w:r>
        <w:rPr>
          <w:rFonts w:hint="eastAsia" w:ascii="彩虹粗仿宋" w:hAnsi="宋体" w:eastAsia="彩虹粗仿宋"/>
          <w:sz w:val="24"/>
        </w:rPr>
        <w:tab/>
      </w:r>
      <w:r>
        <w:rPr>
          <w:rFonts w:hint="eastAsia" w:ascii="彩虹粗仿宋" w:hAnsi="宋体" w:eastAsia="彩虹粗仿宋"/>
          <w:sz w:val="24"/>
        </w:rPr>
        <w:fldChar w:fldCharType="begin"/>
      </w:r>
      <w:r>
        <w:rPr>
          <w:rFonts w:hint="eastAsia" w:ascii="彩虹粗仿宋" w:hAnsi="宋体" w:eastAsia="彩虹粗仿宋"/>
          <w:sz w:val="24"/>
        </w:rPr>
        <w:instrText xml:space="preserve"> PAGEREF _Toc124325893 \h </w:instrText>
      </w:r>
      <w:r>
        <w:rPr>
          <w:rFonts w:hint="eastAsia" w:ascii="彩虹粗仿宋" w:hAnsi="宋体" w:eastAsia="彩虹粗仿宋"/>
          <w:sz w:val="24"/>
        </w:rPr>
        <w:fldChar w:fldCharType="separate"/>
      </w:r>
      <w:r>
        <w:rPr>
          <w:rFonts w:hint="eastAsia" w:ascii="彩虹粗仿宋" w:hAnsi="宋体" w:eastAsia="彩虹粗仿宋"/>
          <w:sz w:val="24"/>
        </w:rPr>
        <w:t>29</w:t>
      </w:r>
      <w:r>
        <w:rPr>
          <w:rFonts w:hint="eastAsia" w:ascii="彩虹粗仿宋" w:hAnsi="宋体" w:eastAsia="彩虹粗仿宋"/>
          <w:sz w:val="24"/>
        </w:rPr>
        <w:fldChar w:fldCharType="end"/>
      </w:r>
      <w:r>
        <w:rPr>
          <w:rFonts w:hint="eastAsia" w:ascii="彩虹粗仿宋" w:hAnsi="宋体" w:eastAsia="彩虹粗仿宋"/>
          <w:sz w:val="24"/>
        </w:rPr>
        <w:fldChar w:fldCharType="end"/>
      </w:r>
    </w:p>
    <w:p>
      <w:pPr>
        <w:pStyle w:val="19"/>
        <w:tabs>
          <w:tab w:val="right" w:leader="dot" w:pos="8494"/>
        </w:tabs>
        <w:rPr>
          <w:rFonts w:ascii="彩虹粗仿宋" w:hAnsi="宋体" w:eastAsia="彩虹粗仿宋"/>
          <w:sz w:val="24"/>
        </w:rPr>
      </w:pPr>
      <w:r>
        <w:fldChar w:fldCharType="begin"/>
      </w:r>
      <w:r>
        <w:instrText xml:space="preserve"> HYPERLINK \l "_Toc124325894" </w:instrText>
      </w:r>
      <w:r>
        <w:fldChar w:fldCharType="separate"/>
      </w:r>
      <w:r>
        <w:rPr>
          <w:rStyle w:val="29"/>
          <w:rFonts w:hint="eastAsia" w:ascii="彩虹粗仿宋" w:hAnsi="宋体" w:eastAsia="彩虹粗仿宋"/>
          <w:sz w:val="24"/>
        </w:rPr>
        <w:t>十、基金信息披露</w:t>
      </w:r>
      <w:r>
        <w:rPr>
          <w:rFonts w:hint="eastAsia" w:ascii="彩虹粗仿宋" w:hAnsi="宋体" w:eastAsia="彩虹粗仿宋"/>
          <w:sz w:val="24"/>
        </w:rPr>
        <w:tab/>
      </w:r>
      <w:r>
        <w:rPr>
          <w:rFonts w:hint="eastAsia" w:ascii="彩虹粗仿宋" w:hAnsi="宋体" w:eastAsia="彩虹粗仿宋"/>
          <w:sz w:val="24"/>
        </w:rPr>
        <w:fldChar w:fldCharType="begin"/>
      </w:r>
      <w:r>
        <w:rPr>
          <w:rFonts w:hint="eastAsia" w:ascii="彩虹粗仿宋" w:hAnsi="宋体" w:eastAsia="彩虹粗仿宋"/>
          <w:sz w:val="24"/>
        </w:rPr>
        <w:instrText xml:space="preserve"> PAGEREF _Toc124325894 \h </w:instrText>
      </w:r>
      <w:r>
        <w:rPr>
          <w:rFonts w:hint="eastAsia" w:ascii="彩虹粗仿宋" w:hAnsi="宋体" w:eastAsia="彩虹粗仿宋"/>
          <w:sz w:val="24"/>
        </w:rPr>
        <w:fldChar w:fldCharType="separate"/>
      </w:r>
      <w:r>
        <w:rPr>
          <w:rFonts w:hint="eastAsia" w:ascii="彩虹粗仿宋" w:hAnsi="宋体" w:eastAsia="彩虹粗仿宋"/>
          <w:sz w:val="24"/>
        </w:rPr>
        <w:t>31</w:t>
      </w:r>
      <w:r>
        <w:rPr>
          <w:rFonts w:hint="eastAsia" w:ascii="彩虹粗仿宋" w:hAnsi="宋体" w:eastAsia="彩虹粗仿宋"/>
          <w:sz w:val="24"/>
        </w:rPr>
        <w:fldChar w:fldCharType="end"/>
      </w:r>
      <w:r>
        <w:rPr>
          <w:rFonts w:hint="eastAsia" w:ascii="彩虹粗仿宋" w:hAnsi="宋体" w:eastAsia="彩虹粗仿宋"/>
          <w:sz w:val="24"/>
        </w:rPr>
        <w:fldChar w:fldCharType="end"/>
      </w:r>
    </w:p>
    <w:p>
      <w:pPr>
        <w:pStyle w:val="19"/>
        <w:tabs>
          <w:tab w:val="right" w:leader="dot" w:pos="8494"/>
        </w:tabs>
        <w:rPr>
          <w:rFonts w:ascii="彩虹粗仿宋" w:hAnsi="宋体" w:eastAsia="彩虹粗仿宋"/>
          <w:sz w:val="24"/>
        </w:rPr>
      </w:pPr>
      <w:r>
        <w:fldChar w:fldCharType="begin"/>
      </w:r>
      <w:r>
        <w:instrText xml:space="preserve"> HYPERLINK \l "_Toc124325895" </w:instrText>
      </w:r>
      <w:r>
        <w:fldChar w:fldCharType="separate"/>
      </w:r>
      <w:r>
        <w:rPr>
          <w:rStyle w:val="29"/>
          <w:rFonts w:hint="eastAsia" w:ascii="彩虹粗仿宋" w:hAnsi="宋体" w:eastAsia="彩虹粗仿宋"/>
          <w:sz w:val="24"/>
        </w:rPr>
        <w:t>十一、基金费用</w:t>
      </w:r>
      <w:r>
        <w:rPr>
          <w:rFonts w:hint="eastAsia" w:ascii="彩虹粗仿宋" w:hAnsi="宋体" w:eastAsia="彩虹粗仿宋"/>
          <w:sz w:val="24"/>
        </w:rPr>
        <w:tab/>
      </w:r>
      <w:r>
        <w:rPr>
          <w:rFonts w:hint="eastAsia" w:ascii="彩虹粗仿宋" w:hAnsi="宋体" w:eastAsia="彩虹粗仿宋"/>
          <w:sz w:val="24"/>
        </w:rPr>
        <w:fldChar w:fldCharType="begin"/>
      </w:r>
      <w:r>
        <w:rPr>
          <w:rFonts w:hint="eastAsia" w:ascii="彩虹粗仿宋" w:hAnsi="宋体" w:eastAsia="彩虹粗仿宋"/>
          <w:sz w:val="24"/>
        </w:rPr>
        <w:instrText xml:space="preserve"> PAGEREF _Toc124325895 \h </w:instrText>
      </w:r>
      <w:r>
        <w:rPr>
          <w:rFonts w:hint="eastAsia" w:ascii="彩虹粗仿宋" w:hAnsi="宋体" w:eastAsia="彩虹粗仿宋"/>
          <w:sz w:val="24"/>
        </w:rPr>
        <w:fldChar w:fldCharType="separate"/>
      </w:r>
      <w:r>
        <w:rPr>
          <w:rFonts w:hint="eastAsia" w:ascii="彩虹粗仿宋" w:hAnsi="宋体" w:eastAsia="彩虹粗仿宋"/>
          <w:sz w:val="24"/>
        </w:rPr>
        <w:t>33</w:t>
      </w:r>
      <w:r>
        <w:rPr>
          <w:rFonts w:hint="eastAsia" w:ascii="彩虹粗仿宋" w:hAnsi="宋体" w:eastAsia="彩虹粗仿宋"/>
          <w:sz w:val="24"/>
        </w:rPr>
        <w:fldChar w:fldCharType="end"/>
      </w:r>
      <w:r>
        <w:rPr>
          <w:rFonts w:hint="eastAsia" w:ascii="彩虹粗仿宋" w:hAnsi="宋体" w:eastAsia="彩虹粗仿宋"/>
          <w:sz w:val="24"/>
        </w:rPr>
        <w:fldChar w:fldCharType="end"/>
      </w:r>
    </w:p>
    <w:p>
      <w:pPr>
        <w:pStyle w:val="19"/>
        <w:tabs>
          <w:tab w:val="right" w:leader="dot" w:pos="8494"/>
        </w:tabs>
        <w:rPr>
          <w:rFonts w:ascii="彩虹粗仿宋" w:hAnsi="宋体" w:eastAsia="彩虹粗仿宋"/>
          <w:sz w:val="24"/>
        </w:rPr>
      </w:pPr>
      <w:r>
        <w:fldChar w:fldCharType="begin"/>
      </w:r>
      <w:r>
        <w:instrText xml:space="preserve"> HYPERLINK \l "_Toc124325896" </w:instrText>
      </w:r>
      <w:r>
        <w:fldChar w:fldCharType="separate"/>
      </w:r>
      <w:r>
        <w:rPr>
          <w:rStyle w:val="29"/>
          <w:rFonts w:hint="eastAsia" w:ascii="彩虹粗仿宋" w:hAnsi="宋体" w:eastAsia="彩虹粗仿宋"/>
          <w:sz w:val="24"/>
        </w:rPr>
        <w:t>十二、基金份额持有人名册的保管</w:t>
      </w:r>
      <w:r>
        <w:rPr>
          <w:rFonts w:hint="eastAsia" w:ascii="彩虹粗仿宋" w:hAnsi="宋体" w:eastAsia="彩虹粗仿宋"/>
          <w:sz w:val="24"/>
        </w:rPr>
        <w:tab/>
      </w:r>
      <w:r>
        <w:rPr>
          <w:rFonts w:hint="eastAsia" w:ascii="彩虹粗仿宋" w:hAnsi="宋体" w:eastAsia="彩虹粗仿宋"/>
          <w:sz w:val="24"/>
        </w:rPr>
        <w:fldChar w:fldCharType="begin"/>
      </w:r>
      <w:r>
        <w:rPr>
          <w:rFonts w:hint="eastAsia" w:ascii="彩虹粗仿宋" w:hAnsi="宋体" w:eastAsia="彩虹粗仿宋"/>
          <w:sz w:val="24"/>
        </w:rPr>
        <w:instrText xml:space="preserve"> PAGEREF _Toc124325896 \h </w:instrText>
      </w:r>
      <w:r>
        <w:rPr>
          <w:rFonts w:hint="eastAsia" w:ascii="彩虹粗仿宋" w:hAnsi="宋体" w:eastAsia="彩虹粗仿宋"/>
          <w:sz w:val="24"/>
        </w:rPr>
        <w:fldChar w:fldCharType="separate"/>
      </w:r>
      <w:r>
        <w:rPr>
          <w:rFonts w:hint="eastAsia" w:ascii="彩虹粗仿宋" w:hAnsi="宋体" w:eastAsia="彩虹粗仿宋"/>
          <w:sz w:val="24"/>
        </w:rPr>
        <w:t>35</w:t>
      </w:r>
      <w:r>
        <w:rPr>
          <w:rFonts w:hint="eastAsia" w:ascii="彩虹粗仿宋" w:hAnsi="宋体" w:eastAsia="彩虹粗仿宋"/>
          <w:sz w:val="24"/>
        </w:rPr>
        <w:fldChar w:fldCharType="end"/>
      </w:r>
      <w:r>
        <w:rPr>
          <w:rFonts w:hint="eastAsia" w:ascii="彩虹粗仿宋" w:hAnsi="宋体" w:eastAsia="彩虹粗仿宋"/>
          <w:sz w:val="24"/>
        </w:rPr>
        <w:fldChar w:fldCharType="end"/>
      </w:r>
    </w:p>
    <w:p>
      <w:pPr>
        <w:pStyle w:val="19"/>
        <w:tabs>
          <w:tab w:val="right" w:leader="dot" w:pos="8494"/>
        </w:tabs>
        <w:rPr>
          <w:rFonts w:ascii="彩虹粗仿宋" w:hAnsi="宋体" w:eastAsia="彩虹粗仿宋"/>
          <w:sz w:val="24"/>
        </w:rPr>
      </w:pPr>
      <w:r>
        <w:fldChar w:fldCharType="begin"/>
      </w:r>
      <w:r>
        <w:instrText xml:space="preserve"> HYPERLINK \l "_Toc124325897" </w:instrText>
      </w:r>
      <w:r>
        <w:fldChar w:fldCharType="separate"/>
      </w:r>
      <w:r>
        <w:rPr>
          <w:rStyle w:val="29"/>
          <w:rFonts w:hint="eastAsia" w:ascii="彩虹粗仿宋" w:hAnsi="宋体" w:eastAsia="彩虹粗仿宋"/>
          <w:sz w:val="24"/>
        </w:rPr>
        <w:t>十三、基金有关文件档案的保存</w:t>
      </w:r>
      <w:r>
        <w:rPr>
          <w:rFonts w:hint="eastAsia" w:ascii="彩虹粗仿宋" w:hAnsi="宋体" w:eastAsia="彩虹粗仿宋"/>
          <w:sz w:val="24"/>
        </w:rPr>
        <w:tab/>
      </w:r>
      <w:r>
        <w:rPr>
          <w:rFonts w:hint="eastAsia" w:ascii="彩虹粗仿宋" w:hAnsi="宋体" w:eastAsia="彩虹粗仿宋"/>
          <w:sz w:val="24"/>
        </w:rPr>
        <w:fldChar w:fldCharType="begin"/>
      </w:r>
      <w:r>
        <w:rPr>
          <w:rFonts w:hint="eastAsia" w:ascii="彩虹粗仿宋" w:hAnsi="宋体" w:eastAsia="彩虹粗仿宋"/>
          <w:sz w:val="24"/>
        </w:rPr>
        <w:instrText xml:space="preserve"> PAGEREF _Toc124325897 \h </w:instrText>
      </w:r>
      <w:r>
        <w:rPr>
          <w:rFonts w:hint="eastAsia" w:ascii="彩虹粗仿宋" w:hAnsi="宋体" w:eastAsia="彩虹粗仿宋"/>
          <w:sz w:val="24"/>
        </w:rPr>
        <w:fldChar w:fldCharType="separate"/>
      </w:r>
      <w:r>
        <w:rPr>
          <w:rFonts w:hint="eastAsia" w:ascii="彩虹粗仿宋" w:hAnsi="宋体" w:eastAsia="彩虹粗仿宋"/>
          <w:sz w:val="24"/>
        </w:rPr>
        <w:t>36</w:t>
      </w:r>
      <w:r>
        <w:rPr>
          <w:rFonts w:hint="eastAsia" w:ascii="彩虹粗仿宋" w:hAnsi="宋体" w:eastAsia="彩虹粗仿宋"/>
          <w:sz w:val="24"/>
        </w:rPr>
        <w:fldChar w:fldCharType="end"/>
      </w:r>
      <w:r>
        <w:rPr>
          <w:rFonts w:hint="eastAsia" w:ascii="彩虹粗仿宋" w:hAnsi="宋体" w:eastAsia="彩虹粗仿宋"/>
          <w:sz w:val="24"/>
        </w:rPr>
        <w:fldChar w:fldCharType="end"/>
      </w:r>
    </w:p>
    <w:p>
      <w:pPr>
        <w:pStyle w:val="19"/>
        <w:tabs>
          <w:tab w:val="right" w:leader="dot" w:pos="8494"/>
        </w:tabs>
        <w:rPr>
          <w:rFonts w:ascii="彩虹粗仿宋" w:hAnsi="宋体" w:eastAsia="彩虹粗仿宋"/>
          <w:sz w:val="24"/>
        </w:rPr>
      </w:pPr>
      <w:r>
        <w:fldChar w:fldCharType="begin"/>
      </w:r>
      <w:r>
        <w:instrText xml:space="preserve"> HYPERLINK \l "_Toc124325898" </w:instrText>
      </w:r>
      <w:r>
        <w:fldChar w:fldCharType="separate"/>
      </w:r>
      <w:r>
        <w:rPr>
          <w:rStyle w:val="29"/>
          <w:rFonts w:hint="eastAsia" w:ascii="彩虹粗仿宋" w:hAnsi="宋体" w:eastAsia="彩虹粗仿宋"/>
          <w:sz w:val="24"/>
        </w:rPr>
        <w:t>十四、基金管理人和基金托管人的更换</w:t>
      </w:r>
      <w:r>
        <w:rPr>
          <w:rFonts w:hint="eastAsia" w:ascii="彩虹粗仿宋" w:hAnsi="宋体" w:eastAsia="彩虹粗仿宋"/>
          <w:sz w:val="24"/>
        </w:rPr>
        <w:tab/>
      </w:r>
      <w:r>
        <w:rPr>
          <w:rFonts w:hint="eastAsia" w:ascii="彩虹粗仿宋" w:hAnsi="宋体" w:eastAsia="彩虹粗仿宋"/>
          <w:sz w:val="24"/>
        </w:rPr>
        <w:fldChar w:fldCharType="begin"/>
      </w:r>
      <w:r>
        <w:rPr>
          <w:rFonts w:hint="eastAsia" w:ascii="彩虹粗仿宋" w:hAnsi="宋体" w:eastAsia="彩虹粗仿宋"/>
          <w:sz w:val="24"/>
        </w:rPr>
        <w:instrText xml:space="preserve"> PAGEREF _Toc124325898 \h </w:instrText>
      </w:r>
      <w:r>
        <w:rPr>
          <w:rFonts w:hint="eastAsia" w:ascii="彩虹粗仿宋" w:hAnsi="宋体" w:eastAsia="彩虹粗仿宋"/>
          <w:sz w:val="24"/>
        </w:rPr>
        <w:fldChar w:fldCharType="separate"/>
      </w:r>
      <w:r>
        <w:rPr>
          <w:rFonts w:hint="eastAsia" w:ascii="彩虹粗仿宋" w:hAnsi="宋体" w:eastAsia="彩虹粗仿宋"/>
          <w:sz w:val="24"/>
        </w:rPr>
        <w:t>37</w:t>
      </w:r>
      <w:r>
        <w:rPr>
          <w:rFonts w:hint="eastAsia" w:ascii="彩虹粗仿宋" w:hAnsi="宋体" w:eastAsia="彩虹粗仿宋"/>
          <w:sz w:val="24"/>
        </w:rPr>
        <w:fldChar w:fldCharType="end"/>
      </w:r>
      <w:r>
        <w:rPr>
          <w:rFonts w:hint="eastAsia" w:ascii="彩虹粗仿宋" w:hAnsi="宋体" w:eastAsia="彩虹粗仿宋"/>
          <w:sz w:val="24"/>
        </w:rPr>
        <w:fldChar w:fldCharType="end"/>
      </w:r>
    </w:p>
    <w:p>
      <w:pPr>
        <w:pStyle w:val="19"/>
        <w:tabs>
          <w:tab w:val="right" w:leader="dot" w:pos="8494"/>
        </w:tabs>
        <w:rPr>
          <w:rFonts w:ascii="彩虹粗仿宋" w:hAnsi="宋体" w:eastAsia="彩虹粗仿宋"/>
          <w:sz w:val="24"/>
        </w:rPr>
      </w:pPr>
      <w:r>
        <w:fldChar w:fldCharType="begin"/>
      </w:r>
      <w:r>
        <w:instrText xml:space="preserve"> HYPERLINK \l "_Toc124325899" </w:instrText>
      </w:r>
      <w:r>
        <w:fldChar w:fldCharType="separate"/>
      </w:r>
      <w:r>
        <w:rPr>
          <w:rStyle w:val="29"/>
          <w:rFonts w:hint="eastAsia" w:ascii="彩虹粗仿宋" w:hAnsi="宋体" w:eastAsia="彩虹粗仿宋"/>
          <w:sz w:val="24"/>
        </w:rPr>
        <w:t>十五、禁止</w:t>
      </w:r>
      <w:bookmarkStart w:id="8" w:name="_Hlt133480885"/>
      <w:bookmarkStart w:id="9" w:name="_Hlt133480886"/>
      <w:r>
        <w:rPr>
          <w:rStyle w:val="29"/>
          <w:rFonts w:hint="eastAsia" w:ascii="彩虹粗仿宋" w:hAnsi="宋体" w:eastAsia="彩虹粗仿宋"/>
          <w:sz w:val="24"/>
        </w:rPr>
        <w:t>行</w:t>
      </w:r>
      <w:bookmarkEnd w:id="8"/>
      <w:bookmarkEnd w:id="9"/>
      <w:r>
        <w:rPr>
          <w:rStyle w:val="29"/>
          <w:rFonts w:hint="eastAsia" w:ascii="彩虹粗仿宋" w:hAnsi="宋体" w:eastAsia="彩虹粗仿宋"/>
          <w:sz w:val="24"/>
        </w:rPr>
        <w:t>为</w:t>
      </w:r>
      <w:r>
        <w:rPr>
          <w:rFonts w:hint="eastAsia" w:ascii="彩虹粗仿宋" w:hAnsi="宋体" w:eastAsia="彩虹粗仿宋"/>
          <w:sz w:val="24"/>
        </w:rPr>
        <w:tab/>
      </w:r>
      <w:r>
        <w:rPr>
          <w:rFonts w:hint="eastAsia" w:ascii="彩虹粗仿宋" w:hAnsi="宋体" w:eastAsia="彩虹粗仿宋"/>
          <w:sz w:val="24"/>
        </w:rPr>
        <w:fldChar w:fldCharType="begin"/>
      </w:r>
      <w:r>
        <w:rPr>
          <w:rFonts w:hint="eastAsia" w:ascii="彩虹粗仿宋" w:hAnsi="宋体" w:eastAsia="彩虹粗仿宋"/>
          <w:sz w:val="24"/>
        </w:rPr>
        <w:instrText xml:space="preserve"> PAGEREF _Toc124325899 \h </w:instrText>
      </w:r>
      <w:r>
        <w:rPr>
          <w:rFonts w:hint="eastAsia" w:ascii="彩虹粗仿宋" w:hAnsi="宋体" w:eastAsia="彩虹粗仿宋"/>
          <w:sz w:val="24"/>
        </w:rPr>
        <w:fldChar w:fldCharType="separate"/>
      </w:r>
      <w:r>
        <w:rPr>
          <w:rFonts w:hint="eastAsia" w:ascii="彩虹粗仿宋" w:hAnsi="宋体" w:eastAsia="彩虹粗仿宋"/>
          <w:sz w:val="24"/>
        </w:rPr>
        <w:t>40</w:t>
      </w:r>
      <w:r>
        <w:rPr>
          <w:rFonts w:hint="eastAsia" w:ascii="彩虹粗仿宋" w:hAnsi="宋体" w:eastAsia="彩虹粗仿宋"/>
          <w:sz w:val="24"/>
        </w:rPr>
        <w:fldChar w:fldCharType="end"/>
      </w:r>
      <w:r>
        <w:rPr>
          <w:rFonts w:hint="eastAsia" w:ascii="彩虹粗仿宋" w:hAnsi="宋体" w:eastAsia="彩虹粗仿宋"/>
          <w:sz w:val="24"/>
        </w:rPr>
        <w:fldChar w:fldCharType="end"/>
      </w:r>
    </w:p>
    <w:p>
      <w:pPr>
        <w:pStyle w:val="19"/>
        <w:tabs>
          <w:tab w:val="right" w:leader="dot" w:pos="8494"/>
        </w:tabs>
        <w:rPr>
          <w:rFonts w:ascii="彩虹粗仿宋" w:hAnsi="宋体" w:eastAsia="彩虹粗仿宋"/>
          <w:sz w:val="24"/>
        </w:rPr>
      </w:pPr>
      <w:r>
        <w:fldChar w:fldCharType="begin"/>
      </w:r>
      <w:r>
        <w:instrText xml:space="preserve"> HYPERLINK \l "_Toc124325900" </w:instrText>
      </w:r>
      <w:r>
        <w:fldChar w:fldCharType="separate"/>
      </w:r>
      <w:r>
        <w:rPr>
          <w:rStyle w:val="29"/>
          <w:rFonts w:hint="eastAsia" w:ascii="彩虹粗仿宋" w:hAnsi="宋体" w:eastAsia="彩虹粗仿宋"/>
          <w:sz w:val="24"/>
        </w:rPr>
        <w:t>十六、托管协议的变更、终止与基金财产的清算</w:t>
      </w:r>
      <w:r>
        <w:rPr>
          <w:rFonts w:hint="eastAsia" w:ascii="彩虹粗仿宋" w:hAnsi="宋体" w:eastAsia="彩虹粗仿宋"/>
          <w:sz w:val="24"/>
        </w:rPr>
        <w:tab/>
      </w:r>
      <w:r>
        <w:rPr>
          <w:rFonts w:hint="eastAsia" w:ascii="彩虹粗仿宋" w:hAnsi="宋体" w:eastAsia="彩虹粗仿宋"/>
          <w:sz w:val="24"/>
        </w:rPr>
        <w:fldChar w:fldCharType="begin"/>
      </w:r>
      <w:r>
        <w:rPr>
          <w:rFonts w:hint="eastAsia" w:ascii="彩虹粗仿宋" w:hAnsi="宋体" w:eastAsia="彩虹粗仿宋"/>
          <w:sz w:val="24"/>
        </w:rPr>
        <w:instrText xml:space="preserve"> PAGEREF _Toc124325900 \h </w:instrText>
      </w:r>
      <w:r>
        <w:rPr>
          <w:rFonts w:hint="eastAsia" w:ascii="彩虹粗仿宋" w:hAnsi="宋体" w:eastAsia="彩虹粗仿宋"/>
          <w:sz w:val="24"/>
        </w:rPr>
        <w:fldChar w:fldCharType="separate"/>
      </w:r>
      <w:r>
        <w:rPr>
          <w:rFonts w:hint="eastAsia" w:ascii="彩虹粗仿宋" w:hAnsi="宋体" w:eastAsia="彩虹粗仿宋"/>
          <w:sz w:val="24"/>
        </w:rPr>
        <w:t>42</w:t>
      </w:r>
      <w:r>
        <w:rPr>
          <w:rFonts w:hint="eastAsia" w:ascii="彩虹粗仿宋" w:hAnsi="宋体" w:eastAsia="彩虹粗仿宋"/>
          <w:sz w:val="24"/>
        </w:rPr>
        <w:fldChar w:fldCharType="end"/>
      </w:r>
      <w:r>
        <w:rPr>
          <w:rFonts w:hint="eastAsia" w:ascii="彩虹粗仿宋" w:hAnsi="宋体" w:eastAsia="彩虹粗仿宋"/>
          <w:sz w:val="24"/>
        </w:rPr>
        <w:fldChar w:fldCharType="end"/>
      </w:r>
    </w:p>
    <w:p>
      <w:pPr>
        <w:pStyle w:val="19"/>
        <w:tabs>
          <w:tab w:val="right" w:leader="dot" w:pos="8494"/>
        </w:tabs>
        <w:rPr>
          <w:rFonts w:ascii="彩虹粗仿宋" w:hAnsi="宋体" w:eastAsia="彩虹粗仿宋"/>
          <w:sz w:val="24"/>
        </w:rPr>
      </w:pPr>
      <w:r>
        <w:fldChar w:fldCharType="begin"/>
      </w:r>
      <w:r>
        <w:instrText xml:space="preserve"> HYPERLINK \l "_Toc124325901" </w:instrText>
      </w:r>
      <w:r>
        <w:fldChar w:fldCharType="separate"/>
      </w:r>
      <w:r>
        <w:rPr>
          <w:rStyle w:val="29"/>
          <w:rFonts w:hint="eastAsia" w:ascii="彩虹粗仿宋" w:hAnsi="宋体" w:eastAsia="彩虹粗仿宋"/>
          <w:sz w:val="24"/>
        </w:rPr>
        <w:t>十七、违约责任</w:t>
      </w:r>
      <w:r>
        <w:rPr>
          <w:rFonts w:hint="eastAsia" w:ascii="彩虹粗仿宋" w:hAnsi="宋体" w:eastAsia="彩虹粗仿宋"/>
          <w:sz w:val="24"/>
        </w:rPr>
        <w:tab/>
      </w:r>
      <w:r>
        <w:rPr>
          <w:rFonts w:hint="eastAsia" w:ascii="彩虹粗仿宋" w:hAnsi="宋体" w:eastAsia="彩虹粗仿宋"/>
          <w:sz w:val="24"/>
        </w:rPr>
        <w:fldChar w:fldCharType="begin"/>
      </w:r>
      <w:r>
        <w:rPr>
          <w:rFonts w:hint="eastAsia" w:ascii="彩虹粗仿宋" w:hAnsi="宋体" w:eastAsia="彩虹粗仿宋"/>
          <w:sz w:val="24"/>
        </w:rPr>
        <w:instrText xml:space="preserve"> PAGEREF _Toc124325901 \h </w:instrText>
      </w:r>
      <w:r>
        <w:rPr>
          <w:rFonts w:hint="eastAsia" w:ascii="彩虹粗仿宋" w:hAnsi="宋体" w:eastAsia="彩虹粗仿宋"/>
          <w:sz w:val="24"/>
        </w:rPr>
        <w:fldChar w:fldCharType="separate"/>
      </w:r>
      <w:r>
        <w:rPr>
          <w:rFonts w:hint="eastAsia" w:ascii="彩虹粗仿宋" w:hAnsi="宋体" w:eastAsia="彩虹粗仿宋"/>
          <w:sz w:val="24"/>
        </w:rPr>
        <w:t>44</w:t>
      </w:r>
      <w:r>
        <w:rPr>
          <w:rFonts w:hint="eastAsia" w:ascii="彩虹粗仿宋" w:hAnsi="宋体" w:eastAsia="彩虹粗仿宋"/>
          <w:sz w:val="24"/>
        </w:rPr>
        <w:fldChar w:fldCharType="end"/>
      </w:r>
      <w:r>
        <w:rPr>
          <w:rFonts w:hint="eastAsia" w:ascii="彩虹粗仿宋" w:hAnsi="宋体" w:eastAsia="彩虹粗仿宋"/>
          <w:sz w:val="24"/>
        </w:rPr>
        <w:fldChar w:fldCharType="end"/>
      </w:r>
    </w:p>
    <w:p>
      <w:pPr>
        <w:pStyle w:val="19"/>
        <w:tabs>
          <w:tab w:val="right" w:leader="dot" w:pos="8494"/>
        </w:tabs>
        <w:rPr>
          <w:rFonts w:ascii="彩虹粗仿宋" w:hAnsi="宋体" w:eastAsia="彩虹粗仿宋"/>
          <w:sz w:val="24"/>
        </w:rPr>
      </w:pPr>
      <w:r>
        <w:fldChar w:fldCharType="begin"/>
      </w:r>
      <w:r>
        <w:instrText xml:space="preserve"> HYPERLINK \l "_Toc124325902" </w:instrText>
      </w:r>
      <w:r>
        <w:fldChar w:fldCharType="separate"/>
      </w:r>
      <w:r>
        <w:rPr>
          <w:rStyle w:val="29"/>
          <w:rFonts w:hint="eastAsia" w:ascii="彩虹粗仿宋" w:hAnsi="宋体" w:eastAsia="彩虹粗仿宋"/>
          <w:sz w:val="24"/>
        </w:rPr>
        <w:t>十八、争议解决方式</w:t>
      </w:r>
      <w:r>
        <w:rPr>
          <w:rFonts w:hint="eastAsia" w:ascii="彩虹粗仿宋" w:hAnsi="宋体" w:eastAsia="彩虹粗仿宋"/>
          <w:sz w:val="24"/>
        </w:rPr>
        <w:tab/>
      </w:r>
      <w:r>
        <w:rPr>
          <w:rFonts w:hint="eastAsia" w:ascii="彩虹粗仿宋" w:hAnsi="宋体" w:eastAsia="彩虹粗仿宋"/>
          <w:sz w:val="24"/>
        </w:rPr>
        <w:fldChar w:fldCharType="begin"/>
      </w:r>
      <w:r>
        <w:rPr>
          <w:rFonts w:hint="eastAsia" w:ascii="彩虹粗仿宋" w:hAnsi="宋体" w:eastAsia="彩虹粗仿宋"/>
          <w:sz w:val="24"/>
        </w:rPr>
        <w:instrText xml:space="preserve"> PAGEREF _Toc124325902 \h </w:instrText>
      </w:r>
      <w:r>
        <w:rPr>
          <w:rFonts w:hint="eastAsia" w:ascii="彩虹粗仿宋" w:hAnsi="宋体" w:eastAsia="彩虹粗仿宋"/>
          <w:sz w:val="24"/>
        </w:rPr>
        <w:fldChar w:fldCharType="separate"/>
      </w:r>
      <w:r>
        <w:rPr>
          <w:rFonts w:hint="eastAsia" w:ascii="彩虹粗仿宋" w:hAnsi="宋体" w:eastAsia="彩虹粗仿宋"/>
          <w:sz w:val="24"/>
        </w:rPr>
        <w:t>45</w:t>
      </w:r>
      <w:r>
        <w:rPr>
          <w:rFonts w:hint="eastAsia" w:ascii="彩虹粗仿宋" w:hAnsi="宋体" w:eastAsia="彩虹粗仿宋"/>
          <w:sz w:val="24"/>
        </w:rPr>
        <w:fldChar w:fldCharType="end"/>
      </w:r>
      <w:r>
        <w:rPr>
          <w:rFonts w:hint="eastAsia" w:ascii="彩虹粗仿宋" w:hAnsi="宋体" w:eastAsia="彩虹粗仿宋"/>
          <w:sz w:val="24"/>
        </w:rPr>
        <w:fldChar w:fldCharType="end"/>
      </w:r>
    </w:p>
    <w:p>
      <w:pPr>
        <w:pStyle w:val="19"/>
        <w:tabs>
          <w:tab w:val="right" w:leader="dot" w:pos="8494"/>
        </w:tabs>
        <w:rPr>
          <w:rFonts w:ascii="彩虹粗仿宋" w:hAnsi="宋体" w:eastAsia="彩虹粗仿宋"/>
          <w:sz w:val="24"/>
        </w:rPr>
      </w:pPr>
      <w:r>
        <w:fldChar w:fldCharType="begin"/>
      </w:r>
      <w:r>
        <w:instrText xml:space="preserve"> HYPERLINK \l "_Toc124325903" </w:instrText>
      </w:r>
      <w:r>
        <w:fldChar w:fldCharType="separate"/>
      </w:r>
      <w:r>
        <w:rPr>
          <w:rStyle w:val="29"/>
          <w:rFonts w:hint="eastAsia" w:ascii="彩虹粗仿宋" w:hAnsi="宋体" w:eastAsia="彩虹粗仿宋"/>
          <w:sz w:val="24"/>
        </w:rPr>
        <w:t>十九、托管协议的效力</w:t>
      </w:r>
      <w:r>
        <w:rPr>
          <w:rFonts w:hint="eastAsia" w:ascii="彩虹粗仿宋" w:hAnsi="宋体" w:eastAsia="彩虹粗仿宋"/>
          <w:sz w:val="24"/>
        </w:rPr>
        <w:tab/>
      </w:r>
      <w:r>
        <w:rPr>
          <w:rFonts w:hint="eastAsia" w:ascii="彩虹粗仿宋" w:hAnsi="宋体" w:eastAsia="彩虹粗仿宋"/>
          <w:sz w:val="24"/>
        </w:rPr>
        <w:fldChar w:fldCharType="begin"/>
      </w:r>
      <w:r>
        <w:rPr>
          <w:rFonts w:hint="eastAsia" w:ascii="彩虹粗仿宋" w:hAnsi="宋体" w:eastAsia="彩虹粗仿宋"/>
          <w:sz w:val="24"/>
        </w:rPr>
        <w:instrText xml:space="preserve"> PAGEREF _Toc124325903 \h </w:instrText>
      </w:r>
      <w:r>
        <w:rPr>
          <w:rFonts w:hint="eastAsia" w:ascii="彩虹粗仿宋" w:hAnsi="宋体" w:eastAsia="彩虹粗仿宋"/>
          <w:sz w:val="24"/>
        </w:rPr>
        <w:fldChar w:fldCharType="separate"/>
      </w:r>
      <w:r>
        <w:rPr>
          <w:rFonts w:hint="eastAsia" w:ascii="彩虹粗仿宋" w:hAnsi="宋体" w:eastAsia="彩虹粗仿宋"/>
          <w:sz w:val="24"/>
        </w:rPr>
        <w:t>46</w:t>
      </w:r>
      <w:r>
        <w:rPr>
          <w:rFonts w:hint="eastAsia" w:ascii="彩虹粗仿宋" w:hAnsi="宋体" w:eastAsia="彩虹粗仿宋"/>
          <w:sz w:val="24"/>
        </w:rPr>
        <w:fldChar w:fldCharType="end"/>
      </w:r>
      <w:r>
        <w:rPr>
          <w:rFonts w:hint="eastAsia" w:ascii="彩虹粗仿宋" w:hAnsi="宋体" w:eastAsia="彩虹粗仿宋"/>
          <w:sz w:val="24"/>
        </w:rPr>
        <w:fldChar w:fldCharType="end"/>
      </w:r>
    </w:p>
    <w:p>
      <w:pPr>
        <w:pStyle w:val="19"/>
        <w:tabs>
          <w:tab w:val="right" w:leader="dot" w:pos="8494"/>
        </w:tabs>
        <w:rPr>
          <w:rFonts w:ascii="彩虹粗仿宋" w:hAnsi="宋体" w:eastAsia="彩虹粗仿宋"/>
          <w:sz w:val="24"/>
        </w:rPr>
      </w:pPr>
      <w:r>
        <w:fldChar w:fldCharType="begin"/>
      </w:r>
      <w:r>
        <w:instrText xml:space="preserve"> HYPERLINK \l "_Toc124325904" </w:instrText>
      </w:r>
      <w:r>
        <w:fldChar w:fldCharType="separate"/>
      </w:r>
      <w:r>
        <w:rPr>
          <w:rStyle w:val="29"/>
          <w:rFonts w:hint="eastAsia" w:ascii="彩虹粗仿宋" w:hAnsi="宋体" w:eastAsia="彩虹粗仿宋"/>
          <w:sz w:val="24"/>
        </w:rPr>
        <w:t>二十、其他事项</w:t>
      </w:r>
      <w:r>
        <w:rPr>
          <w:rFonts w:hint="eastAsia" w:ascii="彩虹粗仿宋" w:hAnsi="宋体" w:eastAsia="彩虹粗仿宋"/>
          <w:sz w:val="24"/>
        </w:rPr>
        <w:tab/>
      </w:r>
      <w:r>
        <w:rPr>
          <w:rFonts w:hint="eastAsia" w:ascii="彩虹粗仿宋" w:hAnsi="宋体" w:eastAsia="彩虹粗仿宋"/>
          <w:sz w:val="24"/>
        </w:rPr>
        <w:fldChar w:fldCharType="begin"/>
      </w:r>
      <w:r>
        <w:rPr>
          <w:rFonts w:hint="eastAsia" w:ascii="彩虹粗仿宋" w:hAnsi="宋体" w:eastAsia="彩虹粗仿宋"/>
          <w:sz w:val="24"/>
        </w:rPr>
        <w:instrText xml:space="preserve"> PAGEREF _Toc124325904 \h </w:instrText>
      </w:r>
      <w:r>
        <w:rPr>
          <w:rFonts w:hint="eastAsia" w:ascii="彩虹粗仿宋" w:hAnsi="宋体" w:eastAsia="彩虹粗仿宋"/>
          <w:sz w:val="24"/>
        </w:rPr>
        <w:fldChar w:fldCharType="separate"/>
      </w:r>
      <w:r>
        <w:rPr>
          <w:rFonts w:hint="eastAsia" w:ascii="彩虹粗仿宋" w:hAnsi="宋体" w:eastAsia="彩虹粗仿宋"/>
          <w:sz w:val="24"/>
        </w:rPr>
        <w:t>47</w:t>
      </w:r>
      <w:r>
        <w:rPr>
          <w:rFonts w:hint="eastAsia" w:ascii="彩虹粗仿宋" w:hAnsi="宋体" w:eastAsia="彩虹粗仿宋"/>
          <w:sz w:val="24"/>
        </w:rPr>
        <w:fldChar w:fldCharType="end"/>
      </w:r>
      <w:r>
        <w:rPr>
          <w:rFonts w:hint="eastAsia" w:ascii="彩虹粗仿宋" w:hAnsi="宋体" w:eastAsia="彩虹粗仿宋"/>
          <w:sz w:val="24"/>
        </w:rPr>
        <w:fldChar w:fldCharType="end"/>
      </w:r>
    </w:p>
    <w:p>
      <w:pPr>
        <w:pStyle w:val="19"/>
        <w:tabs>
          <w:tab w:val="right" w:leader="dot" w:pos="8494"/>
        </w:tabs>
        <w:rPr>
          <w:rFonts w:ascii="彩虹粗仿宋" w:eastAsia="彩虹粗仿宋"/>
          <w:sz w:val="24"/>
        </w:rPr>
      </w:pPr>
      <w:r>
        <w:fldChar w:fldCharType="begin"/>
      </w:r>
      <w:r>
        <w:instrText xml:space="preserve"> HYPERLINK \l "_Toc124325905" </w:instrText>
      </w:r>
      <w:r>
        <w:fldChar w:fldCharType="separate"/>
      </w:r>
      <w:r>
        <w:rPr>
          <w:rStyle w:val="29"/>
          <w:rFonts w:hint="eastAsia" w:ascii="彩虹粗仿宋" w:hAnsi="宋体" w:eastAsia="彩虹粗仿宋"/>
          <w:sz w:val="24"/>
        </w:rPr>
        <w:t>二十一、托管协议的签订</w:t>
      </w:r>
      <w:r>
        <w:rPr>
          <w:rFonts w:hint="eastAsia" w:ascii="彩虹粗仿宋" w:hAnsi="宋体" w:eastAsia="彩虹粗仿宋"/>
          <w:sz w:val="24"/>
        </w:rPr>
        <w:tab/>
      </w:r>
      <w:r>
        <w:rPr>
          <w:rFonts w:hint="eastAsia" w:ascii="彩虹粗仿宋" w:hAnsi="宋体" w:eastAsia="彩虹粗仿宋"/>
          <w:sz w:val="24"/>
        </w:rPr>
        <w:fldChar w:fldCharType="begin"/>
      </w:r>
      <w:r>
        <w:rPr>
          <w:rFonts w:hint="eastAsia" w:ascii="彩虹粗仿宋" w:hAnsi="宋体" w:eastAsia="彩虹粗仿宋"/>
          <w:sz w:val="24"/>
        </w:rPr>
        <w:instrText xml:space="preserve"> PAGEREF _Toc124325905 \h </w:instrText>
      </w:r>
      <w:r>
        <w:rPr>
          <w:rFonts w:hint="eastAsia" w:ascii="彩虹粗仿宋" w:hAnsi="宋体" w:eastAsia="彩虹粗仿宋"/>
          <w:sz w:val="24"/>
        </w:rPr>
        <w:fldChar w:fldCharType="separate"/>
      </w:r>
      <w:r>
        <w:rPr>
          <w:rFonts w:hint="eastAsia" w:ascii="彩虹粗仿宋" w:hAnsi="宋体" w:eastAsia="彩虹粗仿宋"/>
          <w:sz w:val="24"/>
        </w:rPr>
        <w:t>48</w:t>
      </w:r>
      <w:r>
        <w:rPr>
          <w:rFonts w:hint="eastAsia" w:ascii="彩虹粗仿宋" w:hAnsi="宋体" w:eastAsia="彩虹粗仿宋"/>
          <w:sz w:val="24"/>
        </w:rPr>
        <w:fldChar w:fldCharType="end"/>
      </w:r>
      <w:r>
        <w:rPr>
          <w:rFonts w:hint="eastAsia" w:ascii="彩虹粗仿宋" w:hAnsi="宋体" w:eastAsia="彩虹粗仿宋"/>
          <w:sz w:val="24"/>
        </w:rPr>
        <w:fldChar w:fldCharType="end"/>
      </w:r>
      <w:r>
        <w:rPr>
          <w:sz w:val="24"/>
        </w:rPr>
        <w:br w:type="page"/>
      </w:r>
      <w:r>
        <w:rPr>
          <w:rFonts w:hint="eastAsia" w:ascii="彩虹粗仿宋" w:hAnsi="宋体" w:eastAsia="彩虹粗仿宋"/>
          <w:sz w:val="24"/>
        </w:rPr>
        <w:fldChar w:fldCharType="end"/>
      </w:r>
    </w:p>
    <w:p>
      <w:pPr>
        <w:widowControl/>
        <w:adjustRightInd w:val="0"/>
        <w:snapToGrid w:val="0"/>
        <w:ind w:firstLine="480" w:firstLineChars="200"/>
        <w:rPr>
          <w:rFonts w:ascii="彩虹粗仿宋" w:hAnsi="宋体" w:eastAsia="彩虹粗仿宋" w:cs="Arial"/>
          <w:kern w:val="0"/>
          <w:sz w:val="24"/>
        </w:rPr>
      </w:pPr>
      <w:r>
        <w:rPr>
          <w:rFonts w:hint="eastAsia" w:ascii="彩虹粗仿宋" w:hAnsi="宋体" w:eastAsia="彩虹粗仿宋" w:cs="Arial"/>
          <w:kern w:val="0"/>
          <w:sz w:val="24"/>
        </w:rPr>
        <w:t>鉴于平安基金管理有限公司系一家依照中国法律合法成立并有效存续的有限责任公司，按照相关法律法规的规定具备担任基金管理人的资格和能力，拟募集发行平安中证工业有色金属主题交易型开放式指数证券投资基金；</w:t>
      </w:r>
    </w:p>
    <w:p>
      <w:pPr>
        <w:widowControl/>
        <w:adjustRightInd w:val="0"/>
        <w:snapToGrid w:val="0"/>
        <w:ind w:firstLine="480" w:firstLineChars="200"/>
        <w:rPr>
          <w:rFonts w:ascii="彩虹粗仿宋" w:hAnsi="宋体" w:eastAsia="彩虹粗仿宋" w:cs="Arial"/>
          <w:kern w:val="0"/>
          <w:sz w:val="24"/>
        </w:rPr>
      </w:pPr>
      <w:r>
        <w:rPr>
          <w:rFonts w:hint="eastAsia" w:ascii="彩虹粗仿宋" w:hAnsi="宋体" w:eastAsia="彩虹粗仿宋" w:cs="Arial"/>
          <w:kern w:val="0"/>
          <w:sz w:val="24"/>
        </w:rPr>
        <w:t>鉴于中信银行股份有限公司系一家依照中国法律合法成立并有效存续的银行，按照相关法律法规的规定具备担任基金托管人的资格和能力；</w:t>
      </w:r>
    </w:p>
    <w:p>
      <w:pPr>
        <w:widowControl/>
        <w:adjustRightInd w:val="0"/>
        <w:snapToGrid w:val="0"/>
        <w:ind w:firstLine="480" w:firstLineChars="200"/>
        <w:rPr>
          <w:rFonts w:ascii="彩虹粗仿宋" w:hAnsi="宋体" w:eastAsia="彩虹粗仿宋" w:cs="Arial"/>
          <w:kern w:val="0"/>
          <w:sz w:val="24"/>
        </w:rPr>
      </w:pPr>
      <w:r>
        <w:rPr>
          <w:rFonts w:hint="eastAsia" w:ascii="彩虹粗仿宋" w:hAnsi="宋体" w:eastAsia="彩虹粗仿宋" w:cs="Arial"/>
          <w:kern w:val="0"/>
          <w:sz w:val="24"/>
        </w:rPr>
        <w:t>鉴于平安基金管理有限公司拟担任平安中证工业有色金属主题交易型开放式指数证券投资基金的基金管理人，中信银行股份有限公司拟担任平安中证工业有色金属主题交易型开放式指数证券投资基金的基金托管人；</w:t>
      </w:r>
    </w:p>
    <w:p>
      <w:pPr>
        <w:widowControl/>
        <w:adjustRightInd w:val="0"/>
        <w:snapToGrid w:val="0"/>
        <w:ind w:firstLine="480" w:firstLineChars="200"/>
        <w:rPr>
          <w:rFonts w:ascii="彩虹粗仿宋" w:hAnsi="宋体" w:eastAsia="彩虹粗仿宋" w:cs="Arial"/>
          <w:kern w:val="0"/>
          <w:sz w:val="24"/>
        </w:rPr>
      </w:pPr>
      <w:r>
        <w:rPr>
          <w:rFonts w:hint="eastAsia" w:ascii="彩虹粗仿宋" w:hAnsi="宋体" w:eastAsia="彩虹粗仿宋" w:cs="Arial"/>
          <w:kern w:val="0"/>
          <w:sz w:val="24"/>
        </w:rPr>
        <w:t>为明确平安中证工业有色金属主题交易型开放式指数证券投资基金的基金管理人和基金托管人之间的权利义务关系，特制订本托管协议；</w:t>
      </w:r>
    </w:p>
    <w:p>
      <w:pPr>
        <w:widowControl/>
        <w:adjustRightInd w:val="0"/>
        <w:snapToGrid w:val="0"/>
        <w:ind w:firstLine="480" w:firstLineChars="200"/>
        <w:rPr>
          <w:rFonts w:ascii="彩虹粗仿宋" w:hAnsi="宋体" w:eastAsia="彩虹粗仿宋" w:cs="Arial"/>
          <w:kern w:val="0"/>
          <w:sz w:val="24"/>
          <w:lang w:val="en-GB"/>
        </w:rPr>
      </w:pPr>
      <w:r>
        <w:rPr>
          <w:rFonts w:hint="eastAsia" w:ascii="彩虹粗仿宋" w:hAnsi="宋体" w:eastAsia="彩虹粗仿宋" w:cs="Arial"/>
          <w:kern w:val="0"/>
          <w:sz w:val="24"/>
          <w:lang w:val="en-GB"/>
        </w:rPr>
        <w:t>除非另有约定，《平安中证工业有色金属主题交易型开放式指数证券投资基金基金合同》(以下简称“基金合同”或“《基金合同》”)中定义的术语在用于本托管协议时应具有相同的含义；若有抵触应以《基金合同》为准，并依其</w:t>
      </w:r>
      <w:r>
        <w:rPr>
          <w:rFonts w:hint="eastAsia" w:ascii="彩虹粗仿宋" w:hAnsi="宋体" w:eastAsia="彩虹粗仿宋" w:cs="Arial"/>
          <w:kern w:val="0"/>
          <w:sz w:val="24"/>
        </w:rPr>
        <w:t>条款</w:t>
      </w:r>
      <w:r>
        <w:rPr>
          <w:rFonts w:hint="eastAsia" w:ascii="彩虹粗仿宋" w:hAnsi="宋体" w:eastAsia="彩虹粗仿宋" w:cs="Arial"/>
          <w:kern w:val="0"/>
          <w:sz w:val="24"/>
          <w:lang w:val="en-GB"/>
        </w:rPr>
        <w:t>解释。</w:t>
      </w:r>
    </w:p>
    <w:p>
      <w:pPr>
        <w:pStyle w:val="2"/>
        <w:jc w:val="center"/>
        <w:rPr>
          <w:rFonts w:ascii="彩虹粗仿宋" w:eastAsia="彩虹粗仿宋"/>
          <w:sz w:val="30"/>
        </w:rPr>
      </w:pPr>
      <w:r>
        <w:rPr>
          <w:rFonts w:ascii="彩虹粗仿宋" w:eastAsia="彩虹粗仿宋"/>
          <w:sz w:val="24"/>
          <w:lang w:val="en-GB"/>
        </w:rPr>
        <w:br w:type="page"/>
      </w:r>
      <w:bookmarkStart w:id="10" w:name="_Toc124325885"/>
      <w:r>
        <w:rPr>
          <w:rFonts w:hint="eastAsia" w:ascii="彩虹粗仿宋" w:eastAsia="彩虹粗仿宋"/>
          <w:sz w:val="30"/>
        </w:rPr>
        <w:t>一、基金托管协议当事人</w:t>
      </w:r>
      <w:bookmarkEnd w:id="10"/>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（一）基金管理人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名称：平安基金管理有限公司</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办公地址：深圳市福田区福田街道益田路5033号平安金融中心34层</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法定代表人：罗春风</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成立时间：2011年1月7日</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批准设立机关：中国证券监督管理委员会</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批准设立文号：证监许可【2010】1917号</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组织形式：有限责任公司（中外合资）</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注册资本：130,000万元人民币</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存续期间：持续经营</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经营范围：基金募集；基金销售；资产管理以及中国证监会许可的其它业务。（二）基金托管人</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名称：中信银行股份有限公司</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住所：北京市朝阳区光华路10号院1号楼6-30层、32-42层</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法定代表人：方合英</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成立时间：1987 年 4 月 20 日</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批准设立机关和批准设立文号：国办函[1987]14 号</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组织形式：股份有限公司</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注册资本：4893479.6573 万元人民币</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存续期间：持续经营</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基金托管资格批文及文号：证监基金字[2004]125 号</w:t>
      </w:r>
    </w:p>
    <w:p>
      <w:pPr>
        <w:rPr>
          <w:rFonts w:ascii="彩虹粗仿宋" w:eastAsia="彩虹粗仿宋"/>
          <w:sz w:val="24"/>
        </w:rPr>
      </w:pPr>
    </w:p>
    <w:p>
      <w:pPr>
        <w:pStyle w:val="2"/>
        <w:jc w:val="center"/>
        <w:rPr>
          <w:rFonts w:ascii="彩虹粗仿宋" w:eastAsia="彩虹粗仿宋"/>
          <w:sz w:val="30"/>
        </w:rPr>
      </w:pPr>
      <w:bookmarkStart w:id="11" w:name="_Toc124325886"/>
      <w:r>
        <w:rPr>
          <w:rFonts w:hint="eastAsia" w:ascii="彩虹粗仿宋" w:eastAsia="彩虹粗仿宋"/>
          <w:sz w:val="30"/>
        </w:rPr>
        <w:t>二、基金托管协议的依据、目的和原则</w:t>
      </w:r>
      <w:bookmarkEnd w:id="11"/>
    </w:p>
    <w:p>
      <w:pPr>
        <w:adjustRightInd w:val="0"/>
        <w:snapToGrid w:val="0"/>
        <w:ind w:firstLine="480" w:firstLineChars="200"/>
        <w:rPr>
          <w:rFonts w:ascii="彩虹粗仿宋" w:eastAsia="彩虹粗仿宋"/>
          <w:sz w:val="24"/>
          <w:szCs w:val="30"/>
        </w:rPr>
      </w:pPr>
      <w:r>
        <w:rPr>
          <w:rFonts w:hint="eastAsia" w:ascii="彩虹粗仿宋" w:hAnsi="宋体" w:eastAsia="彩虹粗仿宋" w:cs="Arial"/>
          <w:sz w:val="24"/>
        </w:rPr>
        <w:t>（一）订立托管协议的依据</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协议依据《中华人民共和国证券投资基金法》(以下简称“《基金法》”)、《公开募集证券投资基金运作管理办法》（以下简称“《运作办法》”）、《公开募集开放式证券投资基金流动性风险管理规定》（以下简称“《流动性风险管理规定》”）、《公开募集证券投资基金信息披露管理办法》（以下简称“《信息披露办法》”）、《证券投资基金信息披露内容与格式准则第7号〈托管协议的内容与格式〉》、《公开募集证券投资基金运作指引第3号——指数基金指引》等有关法律法规、《平安中证工业有色金属主题交易型开放式指数证券投资基金基金合同》及其他有关规定制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（二）订立托管协议的目的</w:t>
      </w:r>
    </w:p>
    <w:p>
      <w:pPr>
        <w:adjustRightInd w:val="0"/>
        <w:snapToGrid w:val="0"/>
        <w:ind w:firstLine="480" w:firstLineChars="200"/>
        <w:rPr>
          <w:rFonts w:ascii="彩虹粗仿宋" w:eastAsia="彩虹粗仿宋"/>
          <w:sz w:val="24"/>
          <w:szCs w:val="30"/>
        </w:rPr>
      </w:pPr>
      <w:r>
        <w:rPr>
          <w:rFonts w:hint="eastAsia" w:ascii="彩虹粗仿宋" w:hAnsi="宋体" w:eastAsia="彩虹粗仿宋" w:cs="Arial"/>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（三）订立托管协议的原则</w:t>
      </w:r>
    </w:p>
    <w:p>
      <w:pPr>
        <w:adjustRightInd w:val="0"/>
        <w:snapToGrid w:val="0"/>
        <w:ind w:firstLine="480" w:firstLineChars="200"/>
        <w:rPr>
          <w:rFonts w:ascii="彩虹粗仿宋" w:eastAsia="彩虹粗仿宋"/>
          <w:sz w:val="24"/>
        </w:rPr>
      </w:pPr>
      <w:r>
        <w:rPr>
          <w:rFonts w:hint="eastAsia" w:ascii="彩虹粗仿宋" w:hAnsi="宋体" w:eastAsia="彩虹粗仿宋" w:cs="Arial"/>
          <w:sz w:val="24"/>
        </w:rPr>
        <w:t>基金管理人和基金托管人本着平等自愿、诚实信用、充分保护基金份额持有人合法权益的原则，经协商一致，签订本协议。</w:t>
      </w:r>
      <w:r>
        <w:rPr>
          <w:rFonts w:hint="eastAsia" w:ascii="彩虹粗仿宋" w:hAnsi="宋体" w:eastAsia="彩虹粗仿宋" w:cs="Arial"/>
          <w:sz w:val="24"/>
        </w:rPr>
        <w:br w:type="page"/>
      </w:r>
    </w:p>
    <w:p>
      <w:pPr>
        <w:pStyle w:val="2"/>
        <w:jc w:val="center"/>
        <w:rPr>
          <w:rFonts w:ascii="彩虹粗仿宋" w:eastAsia="彩虹粗仿宋"/>
          <w:sz w:val="30"/>
        </w:rPr>
      </w:pPr>
      <w:bookmarkStart w:id="12" w:name="_Toc124325887"/>
      <w:r>
        <w:rPr>
          <w:rFonts w:hint="eastAsia" w:ascii="彩虹粗仿宋" w:eastAsia="彩虹粗仿宋"/>
          <w:sz w:val="30"/>
        </w:rPr>
        <w:t>三、基金托管人对基金管理人的业务监督和核查</w:t>
      </w:r>
      <w:bookmarkEnd w:id="12"/>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本基金主要投资于标的指数成份股和备选成份股（含存托凭证）。</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为更好地实现投资目标，本基金还可投资于非成份股（包括主板、科创板、创业板及其他中国证监会允许基金投资的股票、存托凭证）、衍生工具（股指期货、国债期货、股票期权）、债券（包括国债、央行票据、金融债券、企业债券、公司债券、次级债券、可转换债券、分离交易可转换债券、可交换债券、中期票据、短期融资券、超短期融资券、地方政府债券、政府支持机构债券、政府支持债券）、资产支持证券、信用衍生品、债券回购、银行存款（包括协议存款、定期存款及其他银行存款）、同业存单、货币市场工具、现金等，以及法律法规或中国证监会允许基金投资的其他金融工具，但须符合中国证监会的相关规定。</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本基金将根据法律法规的规定参与融资及转融通证券出借业务。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如法律法规或监管机构以后允许基金投资其他品种，基金管理人在履行适当程序后，可以将其纳入投资范围。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的投资组合比例为：本基金投资于标的指数的成份股及其备选成份股的比例不低于基金资产净值的90%，且不低于非现金基金资产的80%。每个交易日日终在扣除股指期货、国债期货和股票期权合约需缴纳的交易保证金后，应当保持不低于交易保证金一倍的现金。现金不包括结算备付金、存出保证金、应收申购款等。股指期货、国债期货、股票期权合约的投资比例遵循国家相关法律法规。</w:t>
      </w:r>
    </w:p>
    <w:p>
      <w:pPr>
        <w:adjustRightInd w:val="0"/>
        <w:snapToGrid w:val="0"/>
        <w:ind w:firstLine="480" w:firstLineChars="200"/>
        <w:rPr>
          <w:rFonts w:ascii="彩虹粗仿宋" w:eastAsia="彩虹粗仿宋"/>
          <w:sz w:val="24"/>
          <w:szCs w:val="30"/>
        </w:rPr>
      </w:pPr>
      <w:r>
        <w:rPr>
          <w:rFonts w:hint="eastAsia" w:ascii="彩虹粗仿宋" w:hAnsi="宋体" w:eastAsia="彩虹粗仿宋" w:cs="Arial"/>
          <w:sz w:val="24"/>
        </w:rPr>
        <w:t>如果法律法规或中国证监会允许基金变更投资品种的投资比例限制，基金管理人在履行适当程序后，可以调整上述投资品种的投资比例。</w:t>
      </w:r>
    </w:p>
    <w:p>
      <w:pPr>
        <w:adjustRightInd w:val="0"/>
        <w:snapToGrid w:val="0"/>
        <w:ind w:firstLine="480" w:firstLineChars="200"/>
        <w:rPr>
          <w:rFonts w:ascii="彩虹粗仿宋" w:eastAsia="彩虹粗仿宋"/>
          <w:sz w:val="24"/>
        </w:rPr>
      </w:pPr>
      <w:r>
        <w:rPr>
          <w:rFonts w:hint="eastAsia" w:ascii="彩虹粗仿宋" w:eastAsia="彩虹粗仿宋"/>
          <w:sz w:val="24"/>
        </w:rPr>
        <w:t>（二）基金托管人根据有关法律法规的规定及《基金合同》的约定，对基金投资、融资比例进行监督。基金托管人按下述比例和调整期限进行监督：</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（1）本基金投资于标的指数成份股和备选成份股的比例不低于基金资产净值的90%，且不低于非现金基金资产的80%；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（2）本基金投资于同一原始权益人的各类资产支持证券的比例，不得超过基金资产净值的10%；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（3）本基金持有的全部资产支持证券，其市值不得超过基金资产净值的20%；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（4）本基金持有的同一（指同一信用级别）资产支持证券的比例，不得超过该资产支持证券规模的10%；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（5）本基金管理人管理的且在本基金托管人处托管的全部基金投资于同一原始权益人的各类资产支持证券，不得超过其各类资产支持证券合计规模的10%；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（6）本基金应投资于信用级别评级为BBB以上(含BBB)的资产支持证券。基金持有资产支持证券期间，如果其信用等级下降、不再符合投资标准，应在评级报告发布之日起3个月内予以全部卖出；</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（7）基金财产参与股票发行申购，本基金所申报的金额不超过本基金的总资产，本基金所申报的股票数量不超过拟发行股票公司本次发行股票的总量；</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（8）本基金若参与股指期货交易，依据下列标准建构组合：</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1）本基金在任何交易日日终，持有的买入股指期货合约价值，不得超过基金资产净值的10%；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2）本基金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3）本基金在任何交易日日终，持有的卖出股指期货合约价值不得超过本基金持有的股票总市值的20%；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4）本基金所持有的股票市值和买入、卖出股指期货合约价值，合计（轧差计算）应当符合基金合同关于股票投资比例的有关约定；</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5）本基金在任何交易日内交易（不包括平仓）的股指期货合约的成交金额不得超过上一交易日基金资产净值的20%；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（9）本基金若参与国债期货交易，应当符合下列投资限制：</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1）本基金在任何交易日日终，持有的买入国债期货合约价值，不得超过基金资产净值的15%；</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2）本基金在任何交易日日终，持有的卖出国债期货合约价值不得超过基金持有的债券总市值的30%；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3）本基金在任何交易日内交易（不包括平仓）的国债期货合约的成交金额不得超过上一交易日基金资产净值的30%；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4）本基金所持有的债券（不含到期日在一年以内的政府债券）市值和买入、卖出国债期货合约价值，合计（轧差计算）应当符合基金合同关于债券投资比例的有关约定；</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5）本基金在任何交易日日终，持有的买入国债期货和股指期货合约价值与有价证券市值之和不得超过基金资产净值的100%，其中，有价证券指股票、债券（不含到期日在一年以内的政府债券）、资产支持证券、买入返售金融资产（不含质押式回购）等；</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（10）每个交易日日终在扣除股指期货、国债期货、股票期权合约需缴纳的交易保证金后，应当保持不低于交易保证金一倍的现金。其中，现金不包括结算备付金、存出保证金、应收申购款等；</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（11）本基金的基金资产总值不得超过基金资产净值的140%；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（12）本基金参与融资的，每个交易日日终，本基金持有的融资买入股票与其他有价证券市值之和，不得超过基金资产净值的95%；</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（13）本基金参与转融通证券出借业务，应当符合以下要求：</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1）出借证券资产不得超过基金资产净值的30%，出借期限在10个交易日以上的出借证券应纳入《流动性风险管理规定》所述流动性受限证券的范围；</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2）参与转融通证券出借业务的单只证券不得超过基金持有该证券总量的30%；</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3）最近6个月内日均基金资产净值不得低于2亿元；</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4）证券出借的平均剩余期限不得超过30天，平均剩余期限按照市值加权平均计算；</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14）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（15）本基金不持有具有信用保护卖方属性的信用衍生品；不持有合约类信用衍生品；本基金持有的信用衍生品名义本金不得超过本基金中所对应受保护债券面值的 100%；本基金投资于同一信用保护卖方的各类信用衍生品名义本金合计不得超过基金资产净值的 10%；因证券市场波动、期货市场波动、证券发行人合并、基金规模变动等基金管理人之外的因素致使基金投资比例不符合上述规定投资比例的，基金管理人应当在3个月内进行调整；</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（16）本基金与私募类证券资管产品及中国证监会认定的其他主体为交易对手开展逆回购交易的，可接受质押品的资质要求应当与基金合同约定的投资范围保持一致；</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17）基金因未平仓的股票期权合约支付和收取的权利金总额不得超过基金资产净值的10%；开仓卖出认购股票期权的，应持有足额标的证券；开仓卖出认沽期权的，应持有合约行权所需的全额现金或交易所规则认可的可冲抵期权保证金的现金等价物；未平仓的股票期权合约面值不得超过基金资产净值的20%。其中，合约面值按照行权价乘以合约乘数计算；</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（18）本基金投资存托凭证的比例限制依照境内上市交易的股票执行；</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（19）法律法规及中国证监会规定的和《基金合同》约定的其他投资限制。</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 xml:space="preserve">除上述第（6）、（13）、（14）、（15）、（16）项情形之外，因证券市场波动、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 </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因证券、期货市场波动、证券发行人合并、基金规模变动等基金管理人之外的因素致使基金投资不符合第（13）项规定的，基金管理人不得新增转融通证券出借业务。</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 xml:space="preserve">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 </w:t>
      </w:r>
    </w:p>
    <w:p>
      <w:pPr>
        <w:adjustRightInd w:val="0"/>
        <w:snapToGrid w:val="0"/>
        <w:ind w:firstLine="480" w:firstLineChars="200"/>
        <w:rPr>
          <w:rFonts w:ascii="彩虹粗仿宋" w:eastAsia="彩虹粗仿宋"/>
          <w:iCs/>
          <w:sz w:val="24"/>
        </w:rPr>
      </w:pPr>
      <w:r>
        <w:rPr>
          <w:rFonts w:hint="eastAsia" w:ascii="彩虹粗仿宋" w:eastAsia="彩虹粗仿宋"/>
          <w:iCs/>
          <w:sz w:val="24"/>
        </w:rPr>
        <w:t>如果法律法规对上述投资组合比例限制进行变更的，以变更后的规定为准。法律法规或监管部门取消上述限制，如适用于本基金，基金管理人在履行适当程序后，则本基金投资不再受相关限制。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（三）基金托管人</w:t>
      </w:r>
      <w:bookmarkStart w:id="13" w:name="OLE_LINK1"/>
      <w:r>
        <w:rPr>
          <w:rFonts w:hint="eastAsia" w:ascii="彩虹粗仿宋" w:hAnsi="宋体" w:eastAsia="彩虹粗仿宋" w:cs="Arial"/>
          <w:sz w:val="24"/>
        </w:rPr>
        <w:t>根据有关法律法规的规定及《基金合同》的约定，</w:t>
      </w:r>
      <w:bookmarkEnd w:id="13"/>
      <w:r>
        <w:rPr>
          <w:rFonts w:hint="eastAsia" w:ascii="彩虹粗仿宋" w:hAnsi="宋体" w:eastAsia="彩虹粗仿宋" w:cs="Arial"/>
          <w:sz w:val="24"/>
        </w:rPr>
        <w:t>对本托管协议第十五条第（九）款基金投资禁止行为通过事后监督方式进行监督。</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（四）基金托管人根据有关法律法规的规定及《基金合同》的约定，对基金管理人投资流通受限证券进行监督。</w:t>
      </w:r>
    </w:p>
    <w:p>
      <w:pPr>
        <w:adjustRightInd w:val="0"/>
        <w:snapToGrid w:val="0"/>
        <w:ind w:firstLine="480" w:firstLineChars="200"/>
        <w:rPr>
          <w:rFonts w:ascii="彩虹粗仿宋" w:hAnsi="宋体" w:eastAsia="彩虹粗仿宋" w:cs="Arial"/>
          <w:sz w:val="24"/>
        </w:rPr>
      </w:pPr>
      <w:r>
        <w:rPr>
          <w:rFonts w:hint="eastAsia" w:ascii="彩虹粗仿宋" w:eastAsia="彩虹粗仿宋"/>
          <w:sz w:val="24"/>
        </w:rPr>
        <w:t>基金管理人投资流通受限证券，应事先根据中国证监会相关规定，明确基金投资流通受限证券的比例，</w:t>
      </w:r>
      <w:r>
        <w:rPr>
          <w:rFonts w:hint="eastAsia" w:ascii="彩虹粗仿宋" w:hAnsi="宋体" w:eastAsia="彩虹粗仿宋" w:cs="Arial"/>
          <w:sz w:val="24"/>
        </w:rPr>
        <w:t>制订严格的投资决策流程和风险控制制度，防范流动性风险、法律风险和操作风险等各种风险。</w:t>
      </w:r>
    </w:p>
    <w:p>
      <w:pPr>
        <w:adjustRightInd w:val="0"/>
        <w:snapToGrid w:val="0"/>
        <w:ind w:firstLine="480" w:firstLineChars="200"/>
        <w:rPr>
          <w:rFonts w:ascii="彩虹粗仿宋" w:eastAsia="彩虹粗仿宋"/>
          <w:sz w:val="24"/>
        </w:rPr>
      </w:pPr>
      <w:r>
        <w:rPr>
          <w:rFonts w:hint="eastAsia" w:ascii="彩虹粗仿宋" w:eastAsia="彩虹粗仿宋"/>
          <w:sz w:val="24"/>
        </w:rPr>
        <w:t>1.本基金投资的流通受限证券与上文流动性受限资产并不完全相同，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w:t>
      </w:r>
    </w:p>
    <w:p>
      <w:pPr>
        <w:adjustRightInd w:val="0"/>
        <w:snapToGrid w:val="0"/>
        <w:ind w:firstLine="480" w:firstLineChars="200"/>
        <w:rPr>
          <w:rFonts w:ascii="彩虹粗仿宋" w:eastAsia="彩虹粗仿宋"/>
          <w:sz w:val="24"/>
        </w:rPr>
      </w:pPr>
      <w:r>
        <w:rPr>
          <w:rFonts w:hint="eastAsia" w:ascii="彩虹粗仿宋" w:eastAsia="彩虹粗仿宋"/>
          <w:sz w:val="24"/>
        </w:rPr>
        <w:t>本基金投资的流通受限证券限于可由中国证券登记结算有限责任公司或中央国债登记结算有限责任公司负责登记和存管，并可在证券交易所或全国银行间债券市场交易的证券。</w:t>
      </w:r>
    </w:p>
    <w:p>
      <w:pPr>
        <w:adjustRightInd w:val="0"/>
        <w:snapToGrid w:val="0"/>
        <w:ind w:firstLine="480" w:firstLineChars="200"/>
        <w:rPr>
          <w:rFonts w:ascii="彩虹粗仿宋" w:eastAsia="彩虹粗仿宋"/>
          <w:sz w:val="24"/>
        </w:rPr>
      </w:pPr>
      <w:r>
        <w:rPr>
          <w:rFonts w:hint="eastAsia" w:ascii="彩虹粗仿宋" w:eastAsia="彩虹粗仿宋"/>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pPr>
        <w:adjustRightInd w:val="0"/>
        <w:snapToGrid w:val="0"/>
        <w:ind w:firstLine="480" w:firstLineChars="200"/>
        <w:rPr>
          <w:rFonts w:ascii="彩虹粗仿宋" w:eastAsia="彩虹粗仿宋"/>
          <w:sz w:val="24"/>
        </w:rPr>
      </w:pPr>
      <w:r>
        <w:rPr>
          <w:rFonts w:hint="eastAsia" w:ascii="彩虹粗仿宋" w:eastAsia="彩虹粗仿宋"/>
          <w:sz w:val="24"/>
        </w:rPr>
        <w:t>本基金投资流通受限证券，不得预付任何形式的保证金。若有最新法律法规、监管政策变更规定的，根据最新法律法规、监管政策执行。</w:t>
      </w:r>
    </w:p>
    <w:p>
      <w:pPr>
        <w:adjustRightInd w:val="0"/>
        <w:snapToGrid w:val="0"/>
        <w:ind w:firstLine="480" w:firstLineChars="200"/>
        <w:rPr>
          <w:rFonts w:ascii="彩虹粗仿宋" w:eastAsia="彩虹粗仿宋"/>
          <w:sz w:val="24"/>
        </w:rPr>
      </w:pPr>
      <w:r>
        <w:rPr>
          <w:rFonts w:hint="eastAsia" w:ascii="彩虹粗仿宋" w:eastAsia="彩虹粗仿宋"/>
          <w:sz w:val="24"/>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pPr>
        <w:adjustRightInd w:val="0"/>
        <w:snapToGrid w:val="0"/>
        <w:ind w:firstLine="480" w:firstLineChars="200"/>
        <w:rPr>
          <w:rFonts w:ascii="彩虹粗仿宋" w:eastAsia="彩虹粗仿宋"/>
          <w:sz w:val="24"/>
        </w:rPr>
      </w:pPr>
      <w:r>
        <w:rPr>
          <w:rFonts w:hint="eastAsia" w:ascii="彩虹粗仿宋" w:eastAsia="彩虹粗仿宋"/>
          <w:sz w:val="24"/>
        </w:rPr>
        <w:t>基金管理人对本基金投资流通受限证券的流动性风险负责，确保对相关风险采取积极有效的措施，在合理的时间内有效解决基金运作的流动性问题。对本基金</w:t>
      </w:r>
      <w:bookmarkStart w:id="14" w:name="_Hlk216708949"/>
      <w:r>
        <w:rPr>
          <w:rFonts w:hint="eastAsia" w:ascii="彩虹粗仿宋" w:eastAsia="彩虹粗仿宋"/>
          <w:sz w:val="24"/>
        </w:rPr>
        <w:t>因投资流通受限证券导致的流动性风险</w:t>
      </w:r>
      <w:bookmarkEnd w:id="14"/>
      <w:r>
        <w:rPr>
          <w:rFonts w:hint="eastAsia" w:ascii="彩虹粗仿宋" w:eastAsia="彩虹粗仿宋"/>
          <w:sz w:val="24"/>
        </w:rPr>
        <w:t>，基金托管人不承担相应责任。如因基金管理人原因导致本基金出现损失致使基金托管人承担连带赔偿责任的，基金管理人应赔偿基金托管人由此遭受的损失。</w:t>
      </w:r>
    </w:p>
    <w:p>
      <w:pPr>
        <w:adjustRightInd w:val="0"/>
        <w:snapToGrid w:val="0"/>
        <w:ind w:firstLine="480" w:firstLineChars="200"/>
        <w:rPr>
          <w:rFonts w:ascii="彩虹粗仿宋" w:eastAsia="彩虹粗仿宋"/>
          <w:sz w:val="24"/>
        </w:rPr>
      </w:pPr>
      <w:r>
        <w:rPr>
          <w:rFonts w:hint="eastAsia" w:ascii="彩虹粗仿宋" w:eastAsia="彩虹粗仿宋"/>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pPr>
        <w:adjustRightInd w:val="0"/>
        <w:snapToGrid w:val="0"/>
        <w:ind w:firstLine="480" w:firstLineChars="200"/>
        <w:rPr>
          <w:rFonts w:ascii="彩虹粗仿宋" w:eastAsia="彩虹粗仿宋"/>
          <w:sz w:val="24"/>
        </w:rPr>
      </w:pPr>
      <w:r>
        <w:rPr>
          <w:rFonts w:hint="eastAsia" w:ascii="彩虹粗仿宋" w:eastAsia="彩虹粗仿宋"/>
          <w:sz w:val="24"/>
        </w:rPr>
        <w:t>（1）中国证监会批准发行非公开发行股票的批准文件。</w:t>
      </w:r>
    </w:p>
    <w:p>
      <w:pPr>
        <w:adjustRightInd w:val="0"/>
        <w:snapToGrid w:val="0"/>
        <w:ind w:firstLine="480" w:firstLineChars="200"/>
        <w:rPr>
          <w:rFonts w:ascii="彩虹粗仿宋" w:eastAsia="彩虹粗仿宋"/>
          <w:sz w:val="24"/>
        </w:rPr>
      </w:pPr>
      <w:r>
        <w:rPr>
          <w:rFonts w:hint="eastAsia" w:ascii="彩虹粗仿宋" w:eastAsia="彩虹粗仿宋"/>
          <w:sz w:val="24"/>
        </w:rPr>
        <w:t>（2）非公开发行股票有关发行数量、发行价格、锁定期等发行资料。</w:t>
      </w:r>
    </w:p>
    <w:p>
      <w:pPr>
        <w:adjustRightInd w:val="0"/>
        <w:snapToGrid w:val="0"/>
        <w:ind w:firstLine="480" w:firstLineChars="200"/>
        <w:rPr>
          <w:rFonts w:ascii="彩虹粗仿宋" w:eastAsia="彩虹粗仿宋"/>
          <w:sz w:val="24"/>
        </w:rPr>
      </w:pPr>
      <w:r>
        <w:rPr>
          <w:rFonts w:hint="eastAsia" w:ascii="彩虹粗仿宋" w:eastAsia="彩虹粗仿宋"/>
          <w:sz w:val="24"/>
        </w:rPr>
        <w:t>（3）基金拟认购的数量、价格、总成本、账面价值。</w:t>
      </w:r>
    </w:p>
    <w:p>
      <w:pPr>
        <w:adjustRightInd w:val="0"/>
        <w:snapToGrid w:val="0"/>
        <w:ind w:firstLine="480" w:firstLineChars="200"/>
        <w:rPr>
          <w:rFonts w:ascii="彩虹粗仿宋" w:eastAsia="彩虹粗仿宋"/>
          <w:sz w:val="24"/>
        </w:rPr>
      </w:pPr>
      <w:r>
        <w:rPr>
          <w:rFonts w:hint="eastAsia" w:ascii="彩虹粗仿宋" w:eastAsia="彩虹粗仿宋"/>
          <w:sz w:val="24"/>
        </w:rPr>
        <w:t>4.相关法律法规对基金投资流通受限证券有新规定的，从其规定。</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合理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八）若基金托管人发现基金管理人依据交易程序已经生效的指令违反法律、行政法规和其他有关规定，或者违反基金合同约定的，应当立即通知基金管理人及时纠正，由此造成的损失由基金管理人承担，基金托管人在履行其通知义务后，予以免责。</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r>
        <w:rPr>
          <w:rFonts w:hint="eastAsia" w:ascii="彩虹粗仿宋" w:hAnsi="宋体" w:eastAsia="彩虹粗仿宋" w:cs="Arial"/>
          <w:sz w:val="24"/>
        </w:rPr>
        <w:br w:type="page"/>
      </w:r>
    </w:p>
    <w:p>
      <w:pPr>
        <w:pStyle w:val="2"/>
        <w:jc w:val="center"/>
        <w:rPr>
          <w:rFonts w:ascii="彩虹粗仿宋" w:eastAsia="彩虹粗仿宋"/>
          <w:sz w:val="30"/>
        </w:rPr>
      </w:pPr>
      <w:bookmarkStart w:id="15" w:name="_Toc86727355"/>
      <w:bookmarkStart w:id="16" w:name="_Toc86737929"/>
      <w:bookmarkStart w:id="17" w:name="_Toc86223242"/>
      <w:bookmarkStart w:id="18" w:name="_Toc118972648"/>
      <w:bookmarkStart w:id="19" w:name="_Toc124325888"/>
      <w:bookmarkStart w:id="20" w:name="_Toc89163368"/>
      <w:bookmarkStart w:id="21" w:name="_Toc86225291"/>
      <w:bookmarkStart w:id="22" w:name="_Toc86726439"/>
      <w:bookmarkStart w:id="23" w:name="_Toc118212950"/>
      <w:bookmarkStart w:id="24" w:name="_Toc120435783"/>
      <w:bookmarkStart w:id="25" w:name="_Toc118774803"/>
      <w:bookmarkStart w:id="26" w:name="_Toc108512358"/>
      <w:bookmarkStart w:id="27" w:name="_Toc110830492"/>
      <w:bookmarkStart w:id="28" w:name="_Toc110761796"/>
      <w:bookmarkStart w:id="29" w:name="_Toc119402710"/>
      <w:bookmarkStart w:id="30" w:name="_Toc110765660"/>
      <w:bookmarkStart w:id="31" w:name="_Toc86649722"/>
      <w:r>
        <w:rPr>
          <w:rFonts w:hint="eastAsia" w:ascii="彩虹粗仿宋" w:eastAsia="彩虹粗仿宋"/>
          <w:sz w:val="30"/>
        </w:rPr>
        <w:t>四、基金管理人对基金托管人的业务核查</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pPr>
        <w:rPr>
          <w:rFonts w:ascii="彩虹粗仿宋" w:eastAsia="彩虹粗仿宋"/>
          <w:sz w:val="24"/>
        </w:rPr>
      </w:pPr>
      <w:r>
        <w:rPr>
          <w:rFonts w:ascii="彩虹粗仿宋" w:eastAsia="彩虹粗仿宋"/>
          <w:sz w:val="24"/>
        </w:rPr>
        <w:br w:type="page"/>
      </w:r>
    </w:p>
    <w:p>
      <w:pPr>
        <w:pStyle w:val="2"/>
        <w:jc w:val="center"/>
        <w:rPr>
          <w:rFonts w:ascii="彩虹粗仿宋" w:eastAsia="彩虹粗仿宋"/>
          <w:sz w:val="30"/>
        </w:rPr>
      </w:pPr>
      <w:bookmarkStart w:id="32" w:name="_Toc118972649"/>
      <w:bookmarkStart w:id="33" w:name="_Toc120435784"/>
      <w:bookmarkStart w:id="34" w:name="_Toc118774804"/>
      <w:bookmarkStart w:id="35" w:name="_Toc84133786"/>
      <w:bookmarkStart w:id="36" w:name="_Toc86223243"/>
      <w:bookmarkStart w:id="37" w:name="_Toc86727356"/>
      <w:bookmarkStart w:id="38" w:name="_Toc86649723"/>
      <w:bookmarkStart w:id="39" w:name="_Toc86204789"/>
      <w:bookmarkStart w:id="40" w:name="_Toc86225292"/>
      <w:bookmarkStart w:id="41" w:name="_Toc89163369"/>
      <w:bookmarkStart w:id="42" w:name="_Toc118212951"/>
      <w:bookmarkStart w:id="43" w:name="_Toc110761797"/>
      <w:bookmarkStart w:id="44" w:name="_Toc84234435"/>
      <w:bookmarkStart w:id="45" w:name="_Toc86737930"/>
      <w:bookmarkStart w:id="46" w:name="_Toc86726440"/>
      <w:bookmarkStart w:id="47" w:name="_Toc84234388"/>
      <w:bookmarkStart w:id="48" w:name="_Toc119402711"/>
      <w:bookmarkStart w:id="49" w:name="_Toc110765661"/>
      <w:bookmarkStart w:id="50" w:name="_Toc110830493"/>
      <w:bookmarkStart w:id="51" w:name="_Toc108512359"/>
      <w:bookmarkStart w:id="52" w:name="_Toc124325889"/>
      <w:r>
        <w:rPr>
          <w:rFonts w:hint="eastAsia" w:ascii="彩虹粗仿宋" w:eastAsia="彩虹粗仿宋"/>
          <w:sz w:val="30"/>
        </w:rPr>
        <w:t>五、基金财产的保管</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（一）基金财产保管的原则</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1.基金财产应独立于基金管理人、基金托管人和证券经纪机构的固有财产。</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2.基金托管人应安全保管基金财产。</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3.基金托管人按照规定开设基金财产的资金账户和证券账户等投资所需账户。</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4.基金托管人对所托管的不同基金财产分别设置账户，独立核算、分账管理，确保基金财产的完整与独立。</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5.基金托管人按照《基金合同》和本协议的约定保管基金财产，如有特殊情况双方可另行协商解决。基金</w:t>
      </w:r>
      <w:r>
        <w:rPr>
          <w:rFonts w:hint="eastAsia" w:ascii="彩虹粗仿宋" w:eastAsia="彩虹粗仿宋"/>
          <w:sz w:val="24"/>
        </w:rPr>
        <w:t>托管人未经基金管理人的指令，不得自行运用、处分、分配本基金的任何资产（不包含基金托管人开户银行或交易/登记结算机构扣收交易费、结算费和账户维护费等费用）。</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相应责任，但应给予积极的配合和协助。</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7.除依据法律法规和《基金合同》的规定外，基金托管人不得委托第三人托管基金财产。</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（二）基金募集期间及募集资金的验资</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1.基金募集期间募集的资金应存于基金管理人在具有托管资格的银行开立的“基金募集专户”。该账户由基金管理人开立并管理。</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募集期满或基金停止募集时，募集的基金份额总额、基金募集金额（含网下股票认购所募集的股票按基金合同约定的估值方法计算的价值）、基金份额持有人人数符合《基金法》、《运作办法》等有关规定后，基金管理人应将属于基金财产的全部资金划入基金托管人开立的基金托管资金账户，同时在规定时间内，聘请符合《中华人民共和国证券法》规定的会计师事务所进行验资，出具验资报告。出具的验资报告由参加验资的2名或2名以上中国注册会计师签字方为有效。</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3.若基金募集期限届满，未能达到《基金合同》生效的条件，由基金管理人按规定办理退款等事宜。</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（三）基金托管资金账户的开立和管理</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1.基金托管人可以基金的名义在其营业机构开立基金的托管资金账户，并根据基金管理人合法合规的指令办理资金收付。本基金的银行预留印鉴由基金托管人保管和使用。</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3.基金托管资金账户的开立和管理应符合《人民币银行结算账户管理办法》、《人民币利率管理规定》、《支付结算办法》以及银行业监督管理机构的其他规定。</w:t>
      </w:r>
    </w:p>
    <w:p>
      <w:pPr>
        <w:adjustRightInd w:val="0"/>
        <w:snapToGrid w:val="0"/>
        <w:ind w:firstLine="480"/>
        <w:rPr>
          <w:rFonts w:ascii="彩虹粗仿宋" w:hAnsi="宋体" w:eastAsia="彩虹粗仿宋" w:cs="Arial"/>
          <w:sz w:val="24"/>
        </w:rPr>
      </w:pPr>
      <w:r>
        <w:rPr>
          <w:rFonts w:ascii="彩虹粗仿宋" w:hAnsi="宋体" w:eastAsia="彩虹粗仿宋" w:cs="Arial"/>
          <w:sz w:val="24"/>
        </w:rPr>
        <w:t>4</w:t>
      </w:r>
      <w:r>
        <w:rPr>
          <w:rFonts w:hint="eastAsia" w:ascii="彩虹粗仿宋" w:hAnsi="宋体" w:eastAsia="彩虹粗仿宋" w:cs="Arial"/>
          <w:sz w:val="24"/>
        </w:rPr>
        <w:t>．基金管理人应于本基金终止后及时完成收益兑付、费用结清及其他应收应付款项资金划转，在确保后续不再发生款项进出后的</w:t>
      </w:r>
      <w:r>
        <w:rPr>
          <w:rFonts w:ascii="彩虹粗仿宋" w:hAnsi="宋体" w:eastAsia="彩虹粗仿宋" w:cs="Arial"/>
          <w:sz w:val="24"/>
        </w:rPr>
        <w:t>10</w:t>
      </w:r>
      <w:r>
        <w:rPr>
          <w:rFonts w:hint="eastAsia" w:ascii="彩虹粗仿宋" w:hAnsi="宋体" w:eastAsia="彩虹粗仿宋" w:cs="Arial"/>
          <w:sz w:val="24"/>
        </w:rPr>
        <w:t>个工作日内向基金托管人发出销户申请。</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（四）基金证券账户和证券资金账户的开立和管理</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1.基金托管人在中国证券登记结算有限责任公司为基金开立基金托管人与基金联名的证券账户。</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3.基金证券账户的开立和证券账户卡的保管由基金托管人负责，账户资产的管理和运用由基金管理人负责。</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证券账户开户费由基金管理人先行垫付,待本基金启始运营后,基金管理人可向基金托管人发送划款指令，将代垫开户费从本基金托管资金账户中扣还基金管理人。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基金管理人为基金财产在证券经纪机构开立证券资金账户，用于基金财产证券交易结算资金的存管、记载交易结算资金的变动明细以及场内证券交易清算，并与基金托管人开立的基金托管资金账户建立第三方存管关系。</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交易所证券交易资金采用第三方存管模式，即用于证券交易结算资金全额存放在基金管理人为基金开立的证券资金账户中，场内的证券交易资金清算由基金管理人所选择的证券经纪机构负责，证券资金账户内的资金，只能通过证银转账方式将资金划转至基金托管资金账户，不得将资金划转至任何其他银行账户。第三方存管对应关系一经确定，不得更改，如果必须更改，应由基金管理人发起，经过基金托管人书面确认后，重新建立第三方存管对应关系。基金托管人和基金管理人不得出借或转让证券账户、证券资金账户，亦不得使用证券账户或证券资金账户进行本基金业务以外的活动。基金管理人承诺证券资金账户为主资金账户，不开立任何辅助资金账户；不为证券资金账户另行开立托管资金账户以外的其他银行账户。基金托管人不负责办理场内的证券交易资金清算，也不负责保管证券资金账户内存放的资金。</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5．账户注销时，在遵守中国证券登记结算有限责任公司的相关规定下，由基金管理人和基金托管人协商确认主要办理人。账户注销期间，主要办理人如需另一方提供配合的，另一方应予以配合。</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6.若中国证监会或其他监管机构在本托管协议订立日之后允许基金从事其他投资品种的投资业务，涉及相关账户的开立、使用的，若无相关规定，则基金托管人比照上述关于账户开立、使用的规定执行。</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（五）银行间账户的开设和管理</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（六）其他账户的开立和管理</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2.法律法规等有关规定对相关账户的开立和管理另有规定的，从其规定办理。</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（七）基金财产投资的有关有价凭证等的保管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基金财产投资的有关实物证券、银行</w:t>
      </w:r>
      <w:r>
        <w:rPr>
          <w:rFonts w:hint="eastAsia" w:ascii="彩虹粗仿宋" w:eastAsia="彩虹粗仿宋"/>
          <w:sz w:val="24"/>
        </w:rPr>
        <w:t>存款开户证实书</w:t>
      </w:r>
      <w:r>
        <w:rPr>
          <w:rFonts w:hint="eastAsia" w:ascii="彩虹粗仿宋" w:hAnsi="宋体" w:eastAsia="彩虹粗仿宋" w:cs="Arial"/>
          <w:sz w:val="24"/>
        </w:rPr>
        <w:t>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相应责任。</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（八）与基金财产有关的重大合同的保管</w:t>
      </w:r>
    </w:p>
    <w:p>
      <w:pPr>
        <w:adjustRightInd w:val="0"/>
        <w:snapToGrid w:val="0"/>
        <w:ind w:firstLine="480" w:firstLineChars="200"/>
        <w:rPr>
          <w:rFonts w:ascii="彩虹粗仿宋" w:eastAsia="彩虹粗仿宋"/>
          <w:sz w:val="30"/>
          <w:szCs w:val="30"/>
        </w:rPr>
      </w:pPr>
      <w:r>
        <w:rPr>
          <w:rFonts w:hint="eastAsia" w:ascii="彩虹粗仿宋" w:hAnsi="宋体" w:eastAsia="彩虹粗仿宋" w:cs="Arial"/>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有关的重大合同包括但不限于基金年度审计合同、基金信息披露协议及基金投资业务中产生的重大合同，基金管理人应尽量保证基金管理人和基金托管人至少各持有一份正本的原件。基金管理人应在重大合同签署后及时以加密方式将重大合同传真给基金托管人，并在三十个工作日内将正本送达基金托管人处。重大合同的保管期限不低于法定法律法规规定的最低期限。</w:t>
      </w:r>
    </w:p>
    <w:p>
      <w:pPr>
        <w:adjustRightInd w:val="0"/>
        <w:snapToGrid w:val="0"/>
        <w:ind w:firstLine="480" w:firstLineChars="200"/>
        <w:rPr>
          <w:rFonts w:ascii="彩虹粗仿宋" w:eastAsia="彩虹粗仿宋"/>
          <w:sz w:val="24"/>
        </w:rPr>
      </w:pPr>
      <w:r>
        <w:rPr>
          <w:rFonts w:hint="eastAsia" w:ascii="彩虹粗仿宋" w:hAnsi="宋体" w:eastAsia="彩虹粗仿宋" w:cs="Arial"/>
          <w:sz w:val="24"/>
        </w:rPr>
        <w:t>对于无法取得二份以上的正本的，基金管理人应向基金托管人提供加盖公章的合同复印件或传真件，未经双方协商一致，合同原件不得转移。</w:t>
      </w:r>
    </w:p>
    <w:p>
      <w:pPr>
        <w:rPr>
          <w:rFonts w:ascii="彩虹粗仿宋" w:eastAsia="彩虹粗仿宋"/>
          <w:sz w:val="24"/>
        </w:rPr>
      </w:pPr>
      <w:r>
        <w:rPr>
          <w:rFonts w:ascii="彩虹粗仿宋" w:eastAsia="彩虹粗仿宋"/>
          <w:sz w:val="24"/>
        </w:rPr>
        <w:br w:type="page"/>
      </w:r>
    </w:p>
    <w:p>
      <w:pPr>
        <w:pStyle w:val="2"/>
        <w:jc w:val="center"/>
        <w:rPr>
          <w:rFonts w:ascii="彩虹粗仿宋" w:eastAsia="彩虹粗仿宋"/>
          <w:sz w:val="30"/>
        </w:rPr>
      </w:pPr>
      <w:bookmarkStart w:id="53" w:name="_Toc86225293"/>
      <w:bookmarkStart w:id="54" w:name="_Toc118774805"/>
      <w:bookmarkStart w:id="55" w:name="_Toc86204790"/>
      <w:bookmarkStart w:id="56" w:name="_Toc86726441"/>
      <w:bookmarkStart w:id="57" w:name="_Toc86223244"/>
      <w:bookmarkStart w:id="58" w:name="_Toc86649724"/>
      <w:bookmarkStart w:id="59" w:name="_Toc84133787"/>
      <w:bookmarkStart w:id="60" w:name="_Toc84234436"/>
      <w:bookmarkStart w:id="61" w:name="_Toc119402712"/>
      <w:bookmarkStart w:id="62" w:name="_Toc86727357"/>
      <w:bookmarkStart w:id="63" w:name="_Toc120435785"/>
      <w:bookmarkStart w:id="64" w:name="_Toc84234389"/>
      <w:bookmarkStart w:id="65" w:name="_Toc110765662"/>
      <w:bookmarkStart w:id="66" w:name="_Toc110761798"/>
      <w:bookmarkStart w:id="67" w:name="_Toc110830494"/>
      <w:bookmarkStart w:id="68" w:name="_Toc86737931"/>
      <w:bookmarkStart w:id="69" w:name="_Toc89163370"/>
      <w:bookmarkStart w:id="70" w:name="_Toc118212952"/>
      <w:bookmarkStart w:id="71" w:name="_Toc124325890"/>
      <w:bookmarkStart w:id="72" w:name="_Toc118972650"/>
      <w:bookmarkStart w:id="73" w:name="_Toc108512360"/>
      <w:r>
        <w:rPr>
          <w:rFonts w:hint="eastAsia" w:ascii="彩虹粗仿宋" w:eastAsia="彩虹粗仿宋"/>
          <w:sz w:val="30"/>
        </w:rPr>
        <w:t>六、指令的发送、确认及执行</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基金管理人在运用基金财产时向基金托管人发送资金划拨及其他款项付款指令，基金托管人执行基金管理人的指令、办理基金名下的资金往来等有关事项。</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（一）基金管理人对发送指令人员的书面授权</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1.基金管理人应指定专人向基金托管人发送指令。</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2.基金管理人应向基金托管人提供书面授权文件原件，内容包括被授权人名单、预留印鉴及被授权人签章样本，授权文件应注明被授权人相应的权限，并加盖单位公章。</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基金托管人在收到授权文件原件并经电话确认后，授权文件即生效。如果授权文件中载明具体生效时间的，该生效时间不得早于基金托管人收到授权文件并经电话确认的时点。如早于上述时间，则以基金托管人收到授权文件并经电话确认的时点为授权文件的生效时间。</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4.基金管理人和基金托管人对授权文件负有保密义务，其内容不得向被授权人及相关操作人员以外的任何人泄露。但法律法规规定或有权机关要求的除外。</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（二）指令的内容</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1.指令包括付款指令以及其他资金划拨指令等。</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2.基金管理人发给基金托管人的指令应写明款项事由、支付时间、到账时间、金额、收付款账户等，加盖预留印鉴并由被授权人签章。</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（三）指令的发送、确认及执行的时间和程序</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1.指令的发送</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基金管理人发送指令应采用传真方式</w:t>
      </w:r>
      <w:r>
        <w:rPr>
          <w:rFonts w:ascii="彩虹粗仿宋" w:hAnsi="宋体" w:eastAsia="彩虹粗仿宋" w:cs="Arial"/>
          <w:sz w:val="24"/>
        </w:rPr>
        <w:t>或电子指令或电子邮件</w:t>
      </w:r>
      <w:r>
        <w:rPr>
          <w:rFonts w:hint="eastAsia" w:ascii="彩虹粗仿宋" w:hAnsi="宋体" w:eastAsia="彩虹粗仿宋" w:cs="Arial"/>
          <w:sz w:val="24"/>
        </w:rPr>
        <w:t>或双方协商一致的其他方式。</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指令发出后，基金管理人应及时以电话方式向基金托管人确认。</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2.指令的确认</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章和印鉴与授权文件进行表面真实性及权限范围核对，复核无误后应在规定期限内执行，不得延误，如有疑问必须及时通知基金管理人。</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3.指令的时间和执行</w:t>
      </w:r>
    </w:p>
    <w:p>
      <w:pPr>
        <w:pStyle w:val="7"/>
        <w:spacing w:line="240" w:lineRule="auto"/>
        <w:ind w:firstLineChars="0"/>
        <w:rPr>
          <w:rFonts w:ascii="彩虹粗仿宋" w:hAnsi="宋体" w:eastAsia="彩虹粗仿宋" w:cs="Arial"/>
          <w:szCs w:val="24"/>
          <w:shd w:val="pct10" w:color="auto" w:fill="FFFFFF"/>
        </w:rPr>
      </w:pPr>
      <w:r>
        <w:rPr>
          <w:rFonts w:hint="eastAsia" w:ascii="彩虹粗仿宋" w:hAnsi="宋体" w:eastAsia="彩虹粗仿宋" w:cs="Arial"/>
        </w:rPr>
        <w:t>基金管理人尽量于划款前1小时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确保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hint="eastAsia" w:ascii="彩虹粗仿宋" w:hAnsi="宋体" w:eastAsia="彩虹粗仿宋" w:cs="Arial"/>
          <w:szCs w:val="24"/>
        </w:rPr>
        <w:t>基金管理人应确保基金托管人在执行指令时，基金托管资金账户有足够的资金余额，</w:t>
      </w:r>
      <w:r>
        <w:rPr>
          <w:rFonts w:hint="eastAsia" w:ascii="彩虹粗仿宋" w:hAnsi="宋体" w:eastAsia="彩虹粗仿宋" w:cs="Arial"/>
        </w:rPr>
        <w:t>在基金资金头寸充足的情况下，基金托管人对基金管理人符合法律法规、《基金合同》、本协议的指令不得拖延或拒绝执行。</w:t>
      </w:r>
    </w:p>
    <w:p>
      <w:pPr>
        <w:pStyle w:val="7"/>
        <w:spacing w:line="240" w:lineRule="auto"/>
        <w:ind w:firstLineChars="0"/>
        <w:rPr>
          <w:rFonts w:ascii="彩虹粗仿宋" w:hAnsi="宋体" w:eastAsia="彩虹粗仿宋" w:cs="Arial"/>
        </w:rPr>
      </w:pPr>
      <w:r>
        <w:rPr>
          <w:rFonts w:hint="eastAsia" w:ascii="彩虹粗仿宋" w:hAnsi="宋体" w:eastAsia="彩虹粗仿宋" w:cs="Arial"/>
        </w:rPr>
        <w:t>（四）基金管理人发送错误指令的情形和处理程序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基金管理人发送错误指令的情形包括指令违反法律法规、监管规定、《基金合同》或本协议的约定，或指令发送人员无权或超越权限发送指令。</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基金托管人发现基金管理人的指令错误时，有权拒绝执行，并及时通知基金管理人改正。如需托管人撤销尚未执行的指令，基金管理人应出具作废指令或作废说明，并电话通知托管人。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（五）基金托管人未按照基金管理人指令执行的处理方法</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基金托管人由于自身过错，未按照基金管理人发送的符合法律法规、监管规定、《基金合同》和本协议约定的指令执行并对基金财产或投资人造成的直接损失，由基金托管人</w:t>
      </w:r>
      <w:r>
        <w:rPr>
          <w:rFonts w:hint="eastAsia" w:ascii="彩虹粗仿宋" w:eastAsia="彩虹粗仿宋"/>
          <w:sz w:val="24"/>
        </w:rPr>
        <w:t>赔偿由此造成的直接损失。</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（六）更换被授权人员及授权权限的程序</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基金管理人更换被授权人、更改或终止对被授权人的授权，应立即将加盖公章的新的授权文件以传真或邮件发送扫描件的方式通知基金托管人，并经电话确认后生效，原授权文件同时废止。</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新的授权文件应当在传真或邮件发出后七个工作日内送达基金托管人文件正本。新的授权文件生效之后，正本送达之前，基金托管人按照新的授权文件传真件或邮件扫描件内容执行有关业务，如果新的授权文件正本与传真件或邮件扫描件内容不同，由此产生的责任由基金管理人承担</w:t>
      </w:r>
      <w:r>
        <w:rPr>
          <w:rFonts w:hint="eastAsia" w:ascii="彩虹粗仿宋" w:eastAsia="彩虹粗仿宋"/>
          <w:sz w:val="24"/>
        </w:rPr>
        <w:t>。</w:t>
      </w:r>
      <w:r>
        <w:rPr>
          <w:rFonts w:hint="eastAsia" w:ascii="彩虹粗仿宋" w:hAnsi="宋体" w:eastAsia="彩虹粗仿宋" w:cs="Arial"/>
          <w:sz w:val="24"/>
        </w:rPr>
        <w:t>基金托管人更换接收基金管理人指令的传真号或邮箱地址，应提前通知基金管理人。</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（七）其他事项</w:t>
      </w:r>
    </w:p>
    <w:p>
      <w:pPr>
        <w:adjustRightInd w:val="0"/>
        <w:snapToGrid w:val="0"/>
        <w:ind w:firstLine="480"/>
        <w:rPr>
          <w:rFonts w:ascii="彩虹粗仿宋" w:hAnsi="宋体" w:eastAsia="彩虹粗仿宋" w:cs="Arial"/>
          <w:sz w:val="24"/>
        </w:rPr>
      </w:pPr>
      <w:r>
        <w:rPr>
          <w:rFonts w:ascii="彩虹粗仿宋" w:hAnsi="宋体" w:eastAsia="彩虹粗仿宋" w:cs="Arial"/>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基金托管人未执行或未及时执行基金管理人的合法指令，导致基金财产遭受损失的，由基金托管人赔偿由此造成的直接损失。</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基金参与认购未上市债券时，基金管理人应代表本基金与对手方签署相关合同或协议，明确约定债券过户具体事宜。否则，基金管理人需对所认购债券的过户事宜承担相应责任。</w:t>
      </w:r>
    </w:p>
    <w:p>
      <w:pPr>
        <w:adjustRightInd w:val="0"/>
        <w:snapToGrid w:val="0"/>
        <w:rPr>
          <w:rFonts w:ascii="彩虹粗仿宋" w:hAnsi="宋体" w:eastAsia="彩虹粗仿宋" w:cs="Arial"/>
          <w:sz w:val="24"/>
        </w:rPr>
      </w:pPr>
      <w:r>
        <w:rPr>
          <w:rFonts w:hint="eastAsia" w:ascii="彩虹粗仿宋" w:hAnsi="宋体" w:eastAsia="彩虹粗仿宋" w:cs="Arial"/>
          <w:sz w:val="24"/>
        </w:rPr>
        <w:br w:type="page"/>
      </w:r>
    </w:p>
    <w:p>
      <w:pPr>
        <w:pStyle w:val="2"/>
        <w:jc w:val="center"/>
        <w:rPr>
          <w:rFonts w:ascii="彩虹粗仿宋" w:eastAsia="彩虹粗仿宋"/>
          <w:sz w:val="30"/>
        </w:rPr>
      </w:pPr>
      <w:bookmarkStart w:id="74" w:name="_Toc86225294"/>
      <w:bookmarkStart w:id="75" w:name="_Toc84234437"/>
      <w:bookmarkStart w:id="76" w:name="_Toc86204791"/>
      <w:bookmarkStart w:id="77" w:name="_Toc110765663"/>
      <w:bookmarkStart w:id="78" w:name="_Toc120435786"/>
      <w:bookmarkStart w:id="79" w:name="_Toc118774806"/>
      <w:bookmarkStart w:id="80" w:name="_Toc86223245"/>
      <w:bookmarkStart w:id="81" w:name="_Toc84133788"/>
      <w:bookmarkStart w:id="82" w:name="_Toc124325891"/>
      <w:bookmarkStart w:id="83" w:name="_Toc84234390"/>
      <w:bookmarkStart w:id="84" w:name="_Toc86727358"/>
      <w:bookmarkStart w:id="85" w:name="_Toc118972651"/>
      <w:bookmarkStart w:id="86" w:name="_Toc108512361"/>
      <w:bookmarkStart w:id="87" w:name="_Toc110830495"/>
      <w:bookmarkStart w:id="88" w:name="_Toc86649725"/>
      <w:bookmarkStart w:id="89" w:name="_Toc118212953"/>
      <w:bookmarkStart w:id="90" w:name="_Toc86737932"/>
      <w:bookmarkStart w:id="91" w:name="_Toc119402713"/>
      <w:bookmarkStart w:id="92" w:name="_Toc89163371"/>
      <w:bookmarkStart w:id="93" w:name="_Toc110761799"/>
      <w:bookmarkStart w:id="94" w:name="_Toc86726442"/>
      <w:r>
        <w:rPr>
          <w:rFonts w:hint="eastAsia" w:ascii="彩虹粗仿宋" w:eastAsia="彩虹粗仿宋"/>
          <w:sz w:val="30"/>
        </w:rPr>
        <w:t>七、交易及清算交收安排</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（一）选择证券、期货买卖的证券、期货经纪机构</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负责选择代理本基金财产证券买卖的证券经纪机构，并与其签订证券经纪相关协议。基金管理人、基金托管人和证券经纪机构就本基金参与证券交易的具体事项另行签订证券经纪服务协议，明确三方在本基金参与场内证券买卖中的各类证券交易、证券交收及相关资金交收过程中的职责和义务。</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根据有关规定，在基金的中期报告和年度报告中将所选证券经纪机构的有关情况及交易信息予以披露，并将该等情况及基金交易单元号、佣金费率等基本信息以及变更情况及时以书面形式通知基金托管人。</w:t>
      </w:r>
    </w:p>
    <w:p>
      <w:pPr>
        <w:adjustRightInd w:val="0"/>
        <w:snapToGrid w:val="0"/>
        <w:rPr>
          <w:rFonts w:ascii="彩虹粗仿宋" w:hAnsi="宋体" w:eastAsia="彩虹粗仿宋" w:cs="Arial"/>
          <w:sz w:val="24"/>
        </w:rPr>
      </w:pPr>
      <w:r>
        <w:rPr>
          <w:rFonts w:hint="eastAsia" w:ascii="彩虹粗仿宋" w:hAnsi="宋体" w:eastAsia="彩虹粗仿宋" w:cs="Arial"/>
          <w:sz w:val="24"/>
        </w:rPr>
        <w:t>基金管理人负责选择代理本基金股指期货交易、股票期权的期货经纪机构，并与其签订期货经纪合同，其他事宜根据法律法规、基金合同的相关规定执行，若无明确规定的，可参照有关证券买卖、证券经纪机构选择的规则执行。本基金在开始进行期货投资之前，应与基金托管人、期货公司三方一同就期货开户、清算、估值、交收等事宜另行签署《期货投资托管操作三方备忘录》。</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pPr>
        <w:adjustRightInd w:val="0"/>
        <w:snapToGrid w:val="0"/>
        <w:ind w:firstLine="480" w:firstLineChars="200"/>
        <w:rPr>
          <w:rFonts w:ascii="彩虹粗仿宋" w:hAnsi="宋体" w:eastAsia="彩虹粗仿宋" w:cs="Arial"/>
          <w:sz w:val="24"/>
        </w:rPr>
      </w:pPr>
    </w:p>
    <w:p>
      <w:pPr>
        <w:adjustRightInd w:val="0"/>
        <w:snapToGrid w:val="0"/>
        <w:rPr>
          <w:rFonts w:ascii="彩虹粗仿宋" w:hAnsi="宋体" w:eastAsia="彩虹粗仿宋" w:cs="Arial"/>
          <w:sz w:val="24"/>
        </w:rPr>
      </w:pPr>
      <w:r>
        <w:rPr>
          <w:rFonts w:hint="eastAsia" w:ascii="彩虹粗仿宋" w:hAnsi="宋体" w:eastAsia="彩虹粗仿宋" w:cs="Arial"/>
          <w:sz w:val="24"/>
        </w:rPr>
        <w:t>（二）基金投资证券后的清算交收安排</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1.清算与交割</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通过证券经纪机构进行的交易由证券经纪机构作为结算参与人代理本基金进行结算，本基金通过期货经纪机构进行的交易由期货经纪机构作为结算参与人代理本基金进行结算。本基金其它证券交易由基金托管人或相关机构负责结算，场外资金汇划由基金托管人根据基金管理人的场外交易划款指令具体办理。</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证券经纪机构代理本基金财产与中国证券登记结算有限责任公司完成证券交易及非交易涉及的证券资金结算业务，并承担由证券经纪机构原因造成的正常结算、交收业务无法完成的责任；若由于基金管理人原因造成的正常结算业务无法完成，责任由基金管理人承担。</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对于任何原因发生的证券资金交收违约事件，相关各方应当及时协商解决。</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由于相关方过错在清算上造成基金财产的直接损失，应由过错方承担相应责任。</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2.交易记录、资金和证券/</w:t>
      </w:r>
      <w:r>
        <w:rPr>
          <w:rFonts w:ascii="彩虹粗仿宋" w:hAnsi="宋体" w:eastAsia="彩虹粗仿宋" w:cs="Arial"/>
          <w:sz w:val="24"/>
        </w:rPr>
        <w:t>期货</w:t>
      </w:r>
      <w:r>
        <w:rPr>
          <w:rFonts w:hint="eastAsia" w:ascii="彩虹粗仿宋" w:hAnsi="宋体" w:eastAsia="彩虹粗仿宋" w:cs="Arial"/>
          <w:sz w:val="24"/>
        </w:rPr>
        <w:t>账目核对的时间和方式</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（1）交易记录的核对</w:t>
      </w:r>
    </w:p>
    <w:p>
      <w:pPr>
        <w:adjustRightInd w:val="0"/>
        <w:snapToGrid w:val="0"/>
        <w:ind w:firstLine="480" w:firstLineChars="200"/>
        <w:rPr>
          <w:rFonts w:ascii="彩虹粗仿宋" w:hAnsi="宋体" w:eastAsia="彩虹粗仿宋" w:cs="Arial"/>
          <w:sz w:val="24"/>
        </w:rPr>
      </w:pPr>
      <w:r>
        <w:rPr>
          <w:rFonts w:hint="eastAsia" w:ascii="彩虹粗仿宋" w:eastAsia="彩虹粗仿宋"/>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（2）资金账目的核对</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资金账目按日核实。</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（3）证券/</w:t>
      </w:r>
      <w:r>
        <w:rPr>
          <w:rFonts w:ascii="彩虹粗仿宋" w:hAnsi="宋体" w:eastAsia="彩虹粗仿宋" w:cs="Arial"/>
          <w:sz w:val="24"/>
        </w:rPr>
        <w:t>期货</w:t>
      </w:r>
      <w:r>
        <w:rPr>
          <w:rFonts w:hint="eastAsia" w:ascii="彩虹粗仿宋" w:hAnsi="宋体" w:eastAsia="彩虹粗仿宋" w:cs="Arial"/>
          <w:sz w:val="24"/>
        </w:rPr>
        <w:t>账目的核对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基金管理人和基金托管人每个交易日结束后核对基金证券/</w:t>
      </w:r>
      <w:r>
        <w:rPr>
          <w:rFonts w:ascii="彩虹粗仿宋" w:hAnsi="宋体" w:eastAsia="彩虹粗仿宋" w:cs="Arial"/>
          <w:sz w:val="24"/>
        </w:rPr>
        <w:t>期货</w:t>
      </w:r>
      <w:r>
        <w:rPr>
          <w:rFonts w:hint="eastAsia" w:ascii="彩虹粗仿宋" w:hAnsi="宋体" w:eastAsia="彩虹粗仿宋" w:cs="Arial"/>
          <w:sz w:val="24"/>
        </w:rPr>
        <w:t>账目，确保双方账目相符。</w:t>
      </w:r>
    </w:p>
    <w:p>
      <w:pPr>
        <w:adjustRightInd w:val="0"/>
        <w:snapToGrid w:val="0"/>
        <w:ind w:firstLine="480"/>
        <w:outlineLvl w:val="0"/>
        <w:rPr>
          <w:rFonts w:ascii="彩虹粗仿宋" w:hAnsi="宋体" w:eastAsia="彩虹粗仿宋" w:cs="Arial"/>
          <w:sz w:val="24"/>
        </w:rPr>
      </w:pPr>
      <w:r>
        <w:rPr>
          <w:rFonts w:hint="eastAsia" w:ascii="彩虹粗仿宋" w:hAnsi="宋体" w:eastAsia="彩虹粗仿宋" w:cs="Arial"/>
          <w:sz w:val="24"/>
        </w:rPr>
        <w:t>（三）交收结算</w:t>
      </w:r>
    </w:p>
    <w:p>
      <w:pPr>
        <w:adjustRightInd w:val="0"/>
        <w:snapToGrid w:val="0"/>
        <w:ind w:firstLine="480"/>
        <w:outlineLvl w:val="0"/>
        <w:rPr>
          <w:rFonts w:ascii="彩虹粗仿宋" w:hAnsi="宋体" w:eastAsia="彩虹粗仿宋" w:cs="Arial"/>
          <w:sz w:val="24"/>
        </w:rPr>
      </w:pPr>
      <w:r>
        <w:rPr>
          <w:rFonts w:hint="eastAsia" w:ascii="彩虹粗仿宋" w:hAnsi="宋体" w:eastAsia="彩虹粗仿宋" w:cs="Arial"/>
          <w:sz w:val="24"/>
        </w:rPr>
        <w:t>本基金申购赎回过程中涉及的基金份额、现金替代、现金差额、现金替代退补款及其他对价的清算交收适用上海证券交易所、登记机构的相关规定和参与各方相关协议的有关规定，具体规则在招募说明书中列示。如上海证券交易所、中国证券登记结算有限责任公司修改或更新上述规则并适用于本基金的，则按照新的规则执行，并在招募说明书中进行更新。</w:t>
      </w:r>
    </w:p>
    <w:p>
      <w:pPr>
        <w:adjustRightInd w:val="0"/>
        <w:snapToGrid w:val="0"/>
        <w:ind w:firstLine="480"/>
        <w:outlineLvl w:val="0"/>
        <w:rPr>
          <w:rFonts w:ascii="彩虹粗仿宋" w:hAnsi="宋体" w:eastAsia="彩虹粗仿宋" w:cs="Arial"/>
          <w:sz w:val="24"/>
        </w:rPr>
      </w:pPr>
      <w:r>
        <w:rPr>
          <w:rFonts w:hint="eastAsia" w:ascii="彩虹粗仿宋" w:hAnsi="宋体" w:eastAsia="彩虹粗仿宋" w:cs="Arial"/>
          <w:sz w:val="24"/>
        </w:rPr>
        <w:t>（五）基金现金分红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1.基金管理人确定分红方案通知基金托管人，双方核定后</w:t>
      </w:r>
      <w:r>
        <w:rPr>
          <w:rFonts w:hint="eastAsia" w:ascii="彩虹粗仿宋" w:eastAsia="彩虹粗仿宋"/>
          <w:sz w:val="24"/>
          <w:szCs w:val="18"/>
        </w:rPr>
        <w:t>依照《信息披露办法》的有关规定在中国证监会规定媒介上公告</w:t>
      </w:r>
      <w:r>
        <w:rPr>
          <w:rFonts w:hint="eastAsia" w:ascii="彩虹粗仿宋" w:hAnsi="宋体" w:eastAsia="彩虹粗仿宋" w:cs="Arial"/>
          <w:sz w:val="24"/>
        </w:rPr>
        <w:t>。</w:t>
      </w:r>
    </w:p>
    <w:p>
      <w:pPr>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2.基金托管人和基金管理人对基金分红进行账务处理并核对后，基金管理人向基金托管人发送现金红利的划款指令，基金托管人应及时将资金划入专用账户。</w:t>
      </w:r>
    </w:p>
    <w:p>
      <w:pPr>
        <w:ind w:firstLine="480"/>
        <w:rPr>
          <w:rFonts w:ascii="彩虹粗仿宋" w:hAnsi="宋体" w:eastAsia="彩虹粗仿宋" w:cs="Arial"/>
          <w:sz w:val="24"/>
        </w:rPr>
      </w:pPr>
      <w:r>
        <w:rPr>
          <w:rFonts w:hint="eastAsia" w:ascii="彩虹粗仿宋" w:hAnsi="宋体" w:eastAsia="彩虹粗仿宋" w:cs="Arial"/>
          <w:sz w:val="24"/>
        </w:rPr>
        <w:t>3.基金管理人在下达指令时，应给基金托管人留出必需的划款时间。</w:t>
      </w:r>
    </w:p>
    <w:p>
      <w:pPr>
        <w:ind w:firstLine="480"/>
        <w:rPr>
          <w:rFonts w:ascii="彩虹粗仿宋" w:hAnsi="宋体" w:eastAsia="彩虹粗仿宋" w:cs="Arial"/>
          <w:sz w:val="24"/>
        </w:rPr>
      </w:pPr>
      <w:r>
        <w:rPr>
          <w:rFonts w:hint="eastAsia" w:ascii="彩虹粗仿宋" w:hAnsi="宋体" w:eastAsia="彩虹粗仿宋" w:cs="Arial"/>
          <w:sz w:val="24"/>
        </w:rPr>
        <w:t>（六）投资银行存款的特别约定</w:t>
      </w:r>
    </w:p>
    <w:p>
      <w:pPr>
        <w:ind w:firstLine="480"/>
        <w:rPr>
          <w:rFonts w:ascii="彩虹粗仿宋" w:hAnsi="宋体" w:eastAsia="彩虹粗仿宋" w:cs="Arial"/>
          <w:sz w:val="24"/>
        </w:rPr>
      </w:pPr>
      <w:r>
        <w:rPr>
          <w:rFonts w:hint="eastAsia" w:ascii="彩虹粗仿宋" w:hAnsi="宋体" w:eastAsia="彩虹粗仿宋" w:cs="Arial"/>
          <w:sz w:val="24"/>
        </w:rPr>
        <w:t>1.本基金投资银行存款前，基金管理人应与存款银行签订具体存款协议，包括但不限于以下内容：</w:t>
      </w:r>
    </w:p>
    <w:p>
      <w:pPr>
        <w:ind w:firstLine="480"/>
        <w:rPr>
          <w:rFonts w:ascii="彩虹粗仿宋" w:hAnsi="宋体" w:eastAsia="彩虹粗仿宋" w:cs="Arial"/>
          <w:sz w:val="24"/>
        </w:rPr>
      </w:pPr>
      <w:r>
        <w:rPr>
          <w:rFonts w:hint="eastAsia" w:ascii="彩虹粗仿宋" w:hAnsi="宋体" w:eastAsia="彩虹粗仿宋" w:cs="Arial"/>
          <w:sz w:val="24"/>
        </w:rPr>
        <w:t>（1）存款账户必须以本基金名义开立,并将基金托管人为本基金开立的基金托管资金账户指定为唯一回款账户，任何情况下，存款银行都不得将存款投资本息划往任何其他账户。</w:t>
      </w:r>
    </w:p>
    <w:p>
      <w:pPr>
        <w:ind w:firstLine="480"/>
        <w:rPr>
          <w:rFonts w:ascii="彩虹粗仿宋" w:hAnsi="宋体" w:eastAsia="彩虹粗仿宋" w:cs="Arial"/>
          <w:sz w:val="24"/>
        </w:rPr>
      </w:pPr>
      <w:r>
        <w:rPr>
          <w:rFonts w:hint="eastAsia" w:ascii="彩虹粗仿宋" w:hAnsi="宋体" w:eastAsia="彩虹粗仿宋" w:cs="Arial"/>
          <w:sz w:val="24"/>
        </w:rPr>
        <w:t>（2）存款银行不得接受基金管理人或基金托管人任何一方单方面提出的对存款进行更名、转让、挂失、质押、担保、撤销、变更印鉴及回款账户信息等可能导致财产转移的操作申请。</w:t>
      </w:r>
    </w:p>
    <w:p>
      <w:pPr>
        <w:ind w:firstLine="480"/>
        <w:rPr>
          <w:rFonts w:ascii="彩虹粗仿宋" w:hAnsi="宋体" w:eastAsia="彩虹粗仿宋" w:cs="Arial"/>
          <w:sz w:val="24"/>
        </w:rPr>
      </w:pPr>
      <w:r>
        <w:rPr>
          <w:rFonts w:hint="eastAsia" w:ascii="彩虹粗仿宋" w:hAnsi="宋体" w:eastAsia="彩虹粗仿宋" w:cs="Arial"/>
          <w:sz w:val="24"/>
        </w:rPr>
        <w:t>（3）约定存款证实书的具体传递交接方式及交接期限。</w:t>
      </w:r>
    </w:p>
    <w:p>
      <w:pPr>
        <w:ind w:firstLine="480"/>
        <w:rPr>
          <w:rFonts w:ascii="彩虹粗仿宋" w:hAnsi="宋体" w:eastAsia="彩虹粗仿宋" w:cs="Arial"/>
          <w:sz w:val="24"/>
        </w:rPr>
      </w:pPr>
      <w:r>
        <w:rPr>
          <w:rFonts w:hint="eastAsia" w:ascii="彩虹粗仿宋" w:hAnsi="宋体" w:eastAsia="彩虹粗仿宋" w:cs="Arial"/>
          <w:sz w:val="24"/>
        </w:rPr>
        <w:t>（4）资金划转过程中需要使用存款银行过渡账户的，存款银行须保证资金在过渡账户中不出现滞留，不被挪用。</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 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4</w:t>
      </w:r>
      <w:r>
        <w:rPr>
          <w:rFonts w:hint="eastAsia" w:ascii="彩虹粗仿宋" w:hAnsi="宋体" w:eastAsia="彩虹粗仿宋" w:cs="Arial"/>
          <w:sz w:val="24"/>
        </w:rPr>
        <w:t>．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w:t>
      </w:r>
      <w:r>
        <w:rPr>
          <w:rFonts w:ascii="彩虹粗仿宋" w:hAnsi="宋体" w:eastAsia="彩虹粗仿宋" w:cs="Arial"/>
          <w:sz w:val="24"/>
        </w:rPr>
        <w:t>1</w:t>
      </w:r>
      <w:r>
        <w:rPr>
          <w:rFonts w:hint="eastAsia" w:ascii="彩虹粗仿宋" w:hAnsi="宋体" w:eastAsia="彩虹粗仿宋" w:cs="Arial"/>
          <w:sz w:val="24"/>
        </w:rPr>
        <w:t>）建立风险预警机制，对于实物凭证未送达集中度较高的存款银行，主动发函基金管理人尽量避免在此类银行进行存款投资；（</w:t>
      </w:r>
      <w:r>
        <w:rPr>
          <w:rFonts w:ascii="彩虹粗仿宋" w:hAnsi="宋体" w:eastAsia="彩虹粗仿宋" w:cs="Arial"/>
          <w:sz w:val="24"/>
        </w:rPr>
        <w:t>2</w:t>
      </w:r>
      <w:r>
        <w:rPr>
          <w:rFonts w:hint="eastAsia" w:ascii="彩虹粗仿宋" w:hAnsi="宋体" w:eastAsia="彩虹粗仿宋" w:cs="Arial"/>
          <w:sz w:val="24"/>
        </w:rPr>
        <w:t>）在定期报告中，对未按约定送达基金托管人保管的实物凭证信息进行规定范围信息披露；（</w:t>
      </w:r>
      <w:r>
        <w:rPr>
          <w:rFonts w:ascii="彩虹粗仿宋" w:hAnsi="宋体" w:eastAsia="彩虹粗仿宋" w:cs="Arial"/>
          <w:sz w:val="24"/>
        </w:rPr>
        <w:t>3</w:t>
      </w:r>
      <w:r>
        <w:rPr>
          <w:rFonts w:hint="eastAsia" w:ascii="彩虹粗仿宋" w:hAnsi="宋体" w:eastAsia="彩虹粗仿宋" w:cs="Arial"/>
          <w:sz w:val="24"/>
        </w:rPr>
        <w:t>）未送达实物凭证超过送单截止日后</w:t>
      </w:r>
      <w:r>
        <w:rPr>
          <w:rFonts w:ascii="彩虹粗仿宋" w:hAnsi="宋体" w:eastAsia="彩虹粗仿宋" w:cs="Arial"/>
          <w:sz w:val="24"/>
        </w:rPr>
        <w:t>30</w:t>
      </w:r>
      <w:r>
        <w:rPr>
          <w:rFonts w:hint="eastAsia" w:ascii="彩虹粗仿宋" w:hAnsi="宋体" w:eastAsia="彩虹粗仿宋" w:cs="Arial"/>
          <w:sz w:val="24"/>
        </w:rPr>
        <w:t>个工作日，且累计超过</w:t>
      </w:r>
      <w:r>
        <w:rPr>
          <w:rFonts w:ascii="彩虹粗仿宋" w:hAnsi="宋体" w:eastAsia="彩虹粗仿宋" w:cs="Arial"/>
          <w:sz w:val="24"/>
        </w:rPr>
        <w:t>3</w:t>
      </w:r>
      <w:r>
        <w:rPr>
          <w:rFonts w:hint="eastAsia" w:ascii="彩虹粗仿宋" w:hAnsi="宋体" w:eastAsia="彩虹粗仿宋" w:cs="Arial"/>
          <w:sz w:val="24"/>
        </w:rPr>
        <w:t>笔（含）以上的，部分或全部暂停配合基金管理人办理后续新增存款投资业务，直至实物凭证送达基金托管人保管后解除。实物凭证未送达但存款本息已安全划回托管资金账户的，以及因发生特殊情况由基金管理人提供相关书面说明并重新承诺送单截止时间的，可剔除不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（七）关于交易及清算交收安排应当按照本部分的规定或其他基金管理人和基金托管人双方书面共同确认的方式执行。</w:t>
      </w:r>
    </w:p>
    <w:p>
      <w:pPr>
        <w:adjustRightInd w:val="0"/>
        <w:snapToGrid w:val="0"/>
        <w:ind w:firstLine="480" w:firstLineChars="200"/>
        <w:rPr>
          <w:rFonts w:ascii="彩虹粗仿宋" w:hAnsi="宋体" w:eastAsia="彩虹粗仿宋" w:cs="Arial"/>
          <w:sz w:val="24"/>
        </w:rPr>
      </w:pPr>
    </w:p>
    <w:p>
      <w:pPr>
        <w:adjustRightInd w:val="0"/>
        <w:snapToGrid w:val="0"/>
        <w:ind w:firstLine="420" w:firstLineChars="200"/>
        <w:rPr>
          <w:color w:val="000000"/>
        </w:rPr>
      </w:pPr>
      <w:r>
        <w:rPr>
          <w:color w:val="000000"/>
        </w:rPr>
        <w:br w:type="page"/>
      </w:r>
    </w:p>
    <w:p>
      <w:pPr>
        <w:pStyle w:val="2"/>
        <w:jc w:val="center"/>
        <w:rPr>
          <w:rFonts w:ascii="彩虹粗仿宋" w:eastAsia="彩虹粗仿宋"/>
          <w:sz w:val="30"/>
        </w:rPr>
      </w:pPr>
      <w:bookmarkStart w:id="95" w:name="_Toc124325892"/>
      <w:r>
        <w:rPr>
          <w:rFonts w:hint="eastAsia" w:ascii="彩虹粗仿宋" w:eastAsia="彩虹粗仿宋"/>
          <w:sz w:val="30"/>
        </w:rPr>
        <w:t>八、基金资产净值计算和会计核算</w:t>
      </w:r>
      <w:bookmarkEnd w:id="95"/>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（一）基金资产净值的计算、复核与完成的时间及程序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1.基金资产净值是指基金资产总值减去基金负债后的价值。基金份额净值是按照每个估值日闭市后，基金资产净值除以当日基金份额的余额数量计算，精确到0.00</w:t>
      </w:r>
      <w:r>
        <w:rPr>
          <w:rFonts w:ascii="彩虹粗仿宋" w:hAnsi="宋体" w:eastAsia="彩虹粗仿宋" w:cs="Arial"/>
          <w:sz w:val="24"/>
        </w:rPr>
        <w:t>0</w:t>
      </w:r>
      <w:r>
        <w:rPr>
          <w:rFonts w:hint="eastAsia" w:ascii="彩虹粗仿宋" w:hAnsi="宋体" w:eastAsia="彩虹粗仿宋" w:cs="Arial"/>
          <w:sz w:val="24"/>
        </w:rPr>
        <w:t>1元，小数点后第五位四舍五入。基金管理人可以设立大额赎回情形下的净值精度应急调整机制。国家另有规定的，从其规定。</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基金管理人应每个估值日计算基金资产净值及基金份额净值，并按规定公告。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应于每个估值日对基金资产估值。但基金管理人根据法律法规或《基金合同》的规定暂停估值时除外。基金管理人每个估值日对基金资产估值后，将基金份额净值结果发送基金托管人，经基金托管人复核无误后，由基金管理人对外公布。</w:t>
      </w:r>
    </w:p>
    <w:p>
      <w:pPr>
        <w:ind w:firstLine="480" w:firstLineChars="200"/>
        <w:rPr>
          <w:rFonts w:ascii="彩虹粗仿宋" w:hAnsi="宋体" w:eastAsia="彩虹粗仿宋" w:cs="Arial"/>
          <w:sz w:val="24"/>
        </w:rPr>
      </w:pPr>
      <w:r>
        <w:rPr>
          <w:rFonts w:hint="eastAsia" w:ascii="彩虹粗仿宋" w:hAnsi="宋体" w:eastAsia="彩虹粗仿宋" w:cs="Arial"/>
          <w:sz w:val="24"/>
        </w:rPr>
        <w:t>（二）基金资产估值方法和特殊情形的处理</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基金管理人及基金托管人应当按照《基金合同》的约定进行估值。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1.估值对象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基金所拥有的股票、债券、衍生工具和银行存款本息、应收款项、信用衍生品、资产支持证券、其它投资等资产及负债。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2.估值方法</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本基金所持有的投资品种，按如下原则进行估值：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（1）证券交易所上市的有价证券的估值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2）交易所上市交易或挂牌转让的不含权固定收益品种，选取估值日第三方估值基准服务机构提供的相应品种当日的估值全价进行估值；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3）交易所上市交易或挂牌转让的含权固定收益品种，选取估值日第三方估值基准服务机构提供的相应品种当日的唯一估值全价或推荐估值全价进行估值；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5）交易所上市不存在活跃市场的有价证券，采用估值技术确定公允价值；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6）对于交易所未上市或未挂牌转让且不存在活跃市场的固定收益品种，采用在当前情况下适用并且有足够可利用数据和其他信息支持的估值技术确定其公允价值。</w:t>
      </w:r>
    </w:p>
    <w:p>
      <w:pPr>
        <w:adjustRightInd w:val="0"/>
        <w:snapToGrid w:val="0"/>
        <w:ind w:firstLine="480" w:firstLineChars="200"/>
        <w:rPr>
          <w:rFonts w:ascii="彩虹粗仿宋" w:hAnsi="宋体" w:eastAsia="彩虹粗仿宋" w:cs="Arial"/>
          <w:bCs/>
          <w:sz w:val="24"/>
        </w:rPr>
      </w:pPr>
      <w:r>
        <w:rPr>
          <w:rFonts w:ascii="彩虹粗仿宋" w:hAnsi="宋体" w:eastAsia="彩虹粗仿宋" w:cs="Arial"/>
          <w:bCs/>
          <w:sz w:val="24"/>
        </w:rPr>
        <w:t>7</w:t>
      </w:r>
      <w:r>
        <w:rPr>
          <w:rFonts w:hint="eastAsia" w:ascii="彩虹粗仿宋" w:hAnsi="宋体" w:eastAsia="彩虹粗仿宋" w:cs="Arial"/>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pPr>
        <w:adjustRightInd w:val="0"/>
        <w:snapToGrid w:val="0"/>
        <w:ind w:firstLine="480" w:firstLineChars="200"/>
        <w:rPr>
          <w:rFonts w:ascii="彩虹粗仿宋" w:hAnsi="宋体" w:eastAsia="彩虹粗仿宋" w:cs="Arial"/>
          <w:sz w:val="24"/>
        </w:rPr>
      </w:pP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（2）处于未上市期间的有价证券应区分如下情况处理：</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1）送股、转增股、配股和公开增发的新股，按估值日在证券交易所挂牌的同一股票的估值方法估值；该日无交易的，以最近一日的市价（收盘价）估值；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2）首次公开发行未上市的股票、债券，采用估值技术确定公允价值；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对全国银行间市场上不含权的固定收益品种，按照第三方估值基准服务机构提供的相应品种当日的估值全价估值。对于银行间市场上含权固定收益品种，按照第三方估值基准服务机构提供的相应品种当日的唯一估值全价或推荐估值全价估值；对于银行间市场上含投资者回售权的固定收益品种，行使回售权的，在回售登记日至实际收款日期间按照第三方估值基准服务机构提供的相应品种的唯一估值全价或推荐估值全价估值，同时充分考虑发行人的信用风险变化对公允价值的影响。回售登记期截止日（含当日）后未行使回售权的按照长待偿期所对应的价格进行估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对于未上市或未挂牌转让且不存在活跃市场的固定收益品种，应采用在当前情况下适用并且有足够可利用数据和其他信息支持的估值技术确定其公允价值。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（4）本基金投资期货合约，一般以估值当日结算价进行估值，估值当日无结算价的，且最近交易日后经济环境未发生重大变化的，采用最近交易日结算价估值。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（5）存款的估值方法</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持有的银行定期存款或通知存款按实际利率法逐日确认利息收入。</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（6）同一证券同时在两个或两个以上市场交易的，按证券所处的市场分别估值。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（7）基金参与融资及转融通证券出借业务的，应参照相关法律法规和行业协会的相关规定进行估值，确保估值的公允性。</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（8）本基金投资股票期权，根据相关法律法规以及监管部门的规定估值。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9）信用衍生品按第三方估值基准服务机构提供的当日的估值价格进行估值，但管理人依法应当承担的估值责任不因委托而免除；选定的第三方估值基准服务机构未提供估值价格的，依照有关法律法规及《企业会计准则》要求采用合理估值技术确定公允价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（10）本基金投资存托凭证的估值核算，依照境内上市交易的股票执行。</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（11）税收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（12）如有确凿证据表明按上述方法进行估值不能客观反映其公允价值的，基金管理人可根据具体情况与基金托管人商定后，按最能反映公允价值的价格估值。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（13）相关法律法规以及监管部门有强制规定的，从其规定。如有新增事项，按国家最新规定估值。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如基金管理人或基金托管人发现基金估值违反基金合同订明的估值方法、程序及相关法律法规的规定或者未能充分维护基金份额持有人利益时，应立即通知对方，共同查明原因，双方协商解决。</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pPr>
        <w:adjustRightInd w:val="0"/>
        <w:snapToGrid w:val="0"/>
        <w:ind w:firstLine="480"/>
        <w:rPr>
          <w:rStyle w:val="50"/>
          <w:rFonts w:ascii="彩虹粗仿宋" w:hAnsi="宋体" w:eastAsia="彩虹粗仿宋" w:cs="Arial"/>
          <w:sz w:val="24"/>
        </w:rPr>
      </w:pPr>
      <w:r>
        <w:rPr>
          <w:rStyle w:val="50"/>
          <w:rFonts w:hint="eastAsia" w:ascii="彩虹粗仿宋" w:hAnsi="宋体" w:eastAsia="彩虹粗仿宋" w:cs="Arial"/>
          <w:sz w:val="24"/>
        </w:rPr>
        <w:t>3.特殊情形的处理</w:t>
      </w:r>
    </w:p>
    <w:p>
      <w:pPr>
        <w:adjustRightInd w:val="0"/>
        <w:snapToGrid w:val="0"/>
        <w:ind w:firstLine="480"/>
        <w:rPr>
          <w:rStyle w:val="50"/>
          <w:rFonts w:ascii="彩虹粗仿宋" w:hAnsi="宋体" w:eastAsia="彩虹粗仿宋" w:cs="Arial"/>
          <w:sz w:val="24"/>
        </w:rPr>
      </w:pPr>
      <w:r>
        <w:rPr>
          <w:rStyle w:val="50"/>
          <w:rFonts w:hint="eastAsia" w:ascii="彩虹粗仿宋" w:hAnsi="宋体" w:eastAsia="彩虹粗仿宋" w:cs="Arial"/>
          <w:sz w:val="24"/>
        </w:rPr>
        <w:t>（1）基金管理人或基金托管人按估值方法的第（12）项进行估值时，所造成的误差不作为基金资产估值错误处理。</w:t>
      </w:r>
    </w:p>
    <w:p>
      <w:pPr>
        <w:adjustRightInd w:val="0"/>
        <w:snapToGrid w:val="0"/>
        <w:ind w:firstLine="480" w:firstLineChars="200"/>
        <w:rPr>
          <w:rStyle w:val="50"/>
          <w:rFonts w:ascii="彩虹粗仿宋" w:eastAsia="彩虹粗仿宋"/>
          <w:sz w:val="24"/>
        </w:rPr>
      </w:pPr>
      <w:r>
        <w:rPr>
          <w:rStyle w:val="50"/>
          <w:rFonts w:hint="eastAsia" w:ascii="彩虹粗仿宋" w:hAnsi="宋体" w:eastAsia="彩虹粗仿宋" w:cs="Arial"/>
          <w:sz w:val="24"/>
        </w:rPr>
        <w:t>（2）由于不可抗力原因，或由于证券、期货交易所、登记结算公司、指数编制机构、第三方估值基准服务机构等机构发送的数据错误等原因，基金管理人和基金托管人虽然已经采取必要、适当、合理的措施进行检查，但未能发现错误或因上述原因未能及时更正的，由此造成的基金份额净值计算错误，基金管理人和基金托管人免除赔偿责任，但基金管理人、基金托管人应当积极采取必要的措施消除或减轻由此造成的影响。</w:t>
      </w:r>
    </w:p>
    <w:p>
      <w:pPr>
        <w:adjustRightInd w:val="0"/>
        <w:snapToGrid w:val="0"/>
        <w:ind w:firstLine="480" w:firstLineChars="200"/>
        <w:rPr>
          <w:rStyle w:val="50"/>
          <w:rFonts w:ascii="彩虹粗仿宋" w:eastAsia="彩虹粗仿宋"/>
          <w:sz w:val="24"/>
        </w:rPr>
      </w:pPr>
      <w:r>
        <w:rPr>
          <w:rStyle w:val="50"/>
          <w:rFonts w:hint="eastAsia" w:ascii="彩虹粗仿宋" w:eastAsia="彩虹粗仿宋"/>
          <w:sz w:val="24"/>
        </w:rPr>
        <w:t>（三）基金份额净值错误的处理方式</w:t>
      </w:r>
    </w:p>
    <w:p>
      <w:pPr>
        <w:adjustRightInd w:val="0"/>
        <w:snapToGrid w:val="0"/>
        <w:ind w:firstLine="480" w:firstLineChars="200"/>
        <w:rPr>
          <w:rStyle w:val="50"/>
          <w:rFonts w:ascii="彩虹粗仿宋" w:eastAsia="彩虹粗仿宋"/>
          <w:sz w:val="24"/>
        </w:rPr>
      </w:pPr>
      <w:r>
        <w:rPr>
          <w:rStyle w:val="50"/>
          <w:rFonts w:hint="eastAsia" w:ascii="彩虹粗仿宋" w:eastAsia="彩虹粗仿宋"/>
          <w:sz w:val="24"/>
        </w:rPr>
        <w:t>1.当基金份额净值小数点后</w:t>
      </w:r>
      <w:r>
        <w:rPr>
          <w:rStyle w:val="50"/>
          <w:rFonts w:ascii="彩虹粗仿宋" w:eastAsia="彩虹粗仿宋"/>
          <w:sz w:val="24"/>
        </w:rPr>
        <w:t>4</w:t>
      </w:r>
      <w:r>
        <w:rPr>
          <w:rStyle w:val="50"/>
          <w:rFonts w:hint="eastAsia" w:ascii="彩虹粗仿宋" w:eastAsia="彩虹粗仿宋"/>
          <w:sz w:val="24"/>
        </w:rPr>
        <w:t>位以内(含第</w:t>
      </w:r>
      <w:r>
        <w:rPr>
          <w:rStyle w:val="50"/>
          <w:rFonts w:ascii="彩虹粗仿宋" w:eastAsia="彩虹粗仿宋"/>
          <w:sz w:val="24"/>
        </w:rPr>
        <w:t>4</w:t>
      </w:r>
      <w:r>
        <w:rPr>
          <w:rStyle w:val="50"/>
          <w:rFonts w:hint="eastAsia" w:ascii="彩虹粗仿宋" w:eastAsia="彩虹粗仿宋"/>
          <w:sz w:val="24"/>
        </w:rPr>
        <w:t>位)发生估值错误时，视为基金份额净值估值错误；基金份额净值计算出现错误时，基金管理人应当立即予以纠正，通报基金托管人，并采取合理的措施防止损失进一步扩大；错误偏差达到基金份额净值的0.25%时，基金管理人应当通报基金托管人并报中国证监会备案</w:t>
      </w:r>
      <w:r>
        <w:rPr>
          <w:rFonts w:hint="eastAsia" w:ascii="彩虹粗仿宋" w:eastAsia="彩虹粗仿宋" w:cs="Arial"/>
          <w:sz w:val="24"/>
        </w:rPr>
        <w:t>；错误偏差达到基金份额净值的</w:t>
      </w:r>
      <w:r>
        <w:rPr>
          <w:rFonts w:hint="eastAsia" w:ascii="彩虹粗仿宋" w:hAnsi="宋体" w:eastAsia="彩虹粗仿宋"/>
          <w:sz w:val="24"/>
        </w:rPr>
        <w:t>0.5%时，基金管理人应当公告</w:t>
      </w:r>
      <w:r>
        <w:rPr>
          <w:rFonts w:hint="eastAsia" w:ascii="彩虹粗仿宋" w:hAnsi="宋体" w:eastAsia="彩虹粗仿宋" w:cs="Arial"/>
          <w:sz w:val="24"/>
        </w:rPr>
        <w:t>，并报中国证监会备案</w:t>
      </w:r>
      <w:r>
        <w:rPr>
          <w:rStyle w:val="50"/>
          <w:rFonts w:hint="eastAsia" w:ascii="彩虹粗仿宋" w:eastAsia="彩虹粗仿宋"/>
          <w:sz w:val="24"/>
        </w:rPr>
        <w:t>；当发生净值计算错误时，由基金管理人负责处理，由此给基金份额持有人和基金造成损失的，可由基金管理人先行赔付，基金管理人按差错情形，有权向其他当事人追偿。</w:t>
      </w:r>
    </w:p>
    <w:p>
      <w:pPr>
        <w:adjustRightInd w:val="0"/>
        <w:snapToGrid w:val="0"/>
        <w:ind w:firstLine="480" w:firstLineChars="200"/>
        <w:rPr>
          <w:rStyle w:val="50"/>
          <w:rFonts w:ascii="彩虹粗仿宋" w:eastAsia="彩虹粗仿宋"/>
          <w:sz w:val="24"/>
        </w:rPr>
      </w:pPr>
      <w:r>
        <w:rPr>
          <w:rStyle w:val="50"/>
          <w:rFonts w:hint="eastAsia" w:ascii="彩虹粗仿宋" w:eastAsia="彩虹粗仿宋"/>
          <w:sz w:val="24"/>
        </w:rPr>
        <w:t>2.当基金份额净值计算差错给基金和基金份额持有人造成损失需要进行赔偿时，基金管理人和基金托管人应根据实际情况界定双方承担的责任，经确认后按以下条款进行赔偿：</w:t>
      </w:r>
    </w:p>
    <w:p>
      <w:pPr>
        <w:adjustRightInd w:val="0"/>
        <w:snapToGrid w:val="0"/>
        <w:ind w:firstLine="480" w:firstLineChars="200"/>
        <w:rPr>
          <w:rFonts w:ascii="彩虹粗仿宋" w:hAnsi="宋体" w:eastAsia="彩虹粗仿宋" w:cs="Arial"/>
          <w:sz w:val="24"/>
        </w:rPr>
      </w:pPr>
      <w:r>
        <w:rPr>
          <w:rStyle w:val="50"/>
          <w:rFonts w:hint="eastAsia" w:ascii="彩虹粗仿宋" w:eastAsia="彩虹粗仿宋"/>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hint="eastAsia" w:ascii="彩虹粗仿宋" w:hAnsi="宋体" w:eastAsia="彩虹粗仿宋" w:cs="Arial"/>
          <w:sz w:val="24"/>
        </w:rPr>
        <w:t>损失，由基金管理人负责赔付。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w:t>
      </w:r>
      <w:r>
        <w:rPr>
          <w:rFonts w:hint="eastAsia" w:ascii="彩虹粗仿宋" w:eastAsia="彩虹粗仿宋"/>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w:t>
      </w:r>
      <w:r>
        <w:rPr>
          <w:rFonts w:hint="eastAsia" w:ascii="彩虹粗仿宋" w:eastAsia="彩虹粗仿宋"/>
          <w:kern w:val="0"/>
          <w:sz w:val="24"/>
        </w:rPr>
        <w:t>由于基金管理人提供的信息错误（包括但不限于基金申购或赎回金额等），进而导致基金份额净值计算错误而引起的基金份额持有人和基金财产的损失，由基金管理人负责赔付。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3.前述内容如法律法规或者监管部门另有规定的，从其规定。如果行业另有通行做法，双方当事人应本着平等和保护基金份额持有人利益的原则进行协商。</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（四）暂停估值与公告基金份额净值的情形</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1.基金投资所涉及的证券、期货交易市场遇法定节假日或因其他原因暂停营业时；</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2.因不可抗力致使基金管理人、基金托管人无法准确评估基金资产价值时；</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3.当前一估值日基金资产净值50%以上的资产出现无可参考的活跃市场价格且采用估值技术仍导致公允价值存在重大不确定性时，经与基金托管人协商确认后，基金管理人应当暂停估值；</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4.</w:t>
      </w:r>
      <w:r>
        <w:rPr>
          <w:rFonts w:hint="eastAsia"/>
        </w:rPr>
        <w:t xml:space="preserve"> </w:t>
      </w:r>
      <w:r>
        <w:rPr>
          <w:rFonts w:hint="eastAsia" w:ascii="彩虹粗仿宋" w:hAnsi="宋体" w:eastAsia="彩虹粗仿宋" w:cs="Arial"/>
          <w:sz w:val="24"/>
        </w:rPr>
        <w:t>法律法规、中国证监会规定和基金合同认定的其它情形。</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（五）基金会计制度</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按国家有关部门规定的会计制度执行。</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（六）基金账册的建立</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（七）基金财务报表与报告的编制和复核</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1.财务报表的编制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基金财务报表由基金管理人编制，基金托管人复核。</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2.报表复核</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基金托管人在收到基金管理人编制的基金财务报表后，进行独立的复核。核对不符时，应及时通知基金管理人共同查出原因，进行调整，直至双方数据完全一致。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3.财务报表的编制与复核时间安排</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(1)报表的编制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应当在每月结束后5个工作日内完成月度报表的编制；在每个季度结束之日起15个工作日内完成基金季度报告的编制；在上半年结束之日起两个月内完成基金中期报告的编制；在每年结束之日起三个月内完成基金年度报告的编制。基金年度报告的财务会计报告应当经过符合《中华人民共和国证券法》规定的会计师事务所审计。《基金合同》生效不足两个月的，基金管理人可以不编制当期季度报告、中期报告或者年度报告。</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(2)报表的复核</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基金管理人应留足充分的时间，便于基金托管人复核相关报表及报告。</w:t>
      </w:r>
    </w:p>
    <w:p>
      <w:pPr>
        <w:pStyle w:val="3"/>
        <w:adjustRightInd w:val="0"/>
        <w:snapToGrid w:val="0"/>
        <w:ind w:firstLine="480"/>
        <w:rPr>
          <w:rFonts w:ascii="彩虹粗仿宋" w:hAnsi="宋体" w:eastAsia="彩虹粗仿宋" w:cs="Arial"/>
          <w:sz w:val="24"/>
        </w:rPr>
      </w:pPr>
      <w:r>
        <w:rPr>
          <w:rFonts w:hint="eastAsia" w:ascii="彩虹粗仿宋" w:hAnsi="宋体" w:eastAsia="彩虹粗仿宋" w:cs="Arial"/>
          <w:sz w:val="24"/>
        </w:rPr>
        <w:t>（八）基金管理人应在编制季度报告、中期报告或者年度报告之前及时向基金托管人提供基金业绩比较基准的基础数据和编制结果。</w:t>
      </w:r>
    </w:p>
    <w:p>
      <w:pPr>
        <w:pStyle w:val="3"/>
        <w:adjustRightInd w:val="0"/>
        <w:snapToGrid w:val="0"/>
        <w:ind w:firstLine="0" w:firstLineChars="0"/>
        <w:rPr>
          <w:rFonts w:ascii="彩虹粗仿宋" w:hAnsi="宋体" w:eastAsia="彩虹粗仿宋" w:cs="Arial"/>
          <w:sz w:val="24"/>
        </w:rPr>
      </w:pPr>
      <w:r>
        <w:rPr>
          <w:rFonts w:hint="eastAsia" w:ascii="彩虹粗仿宋" w:hAnsi="宋体" w:eastAsia="彩虹粗仿宋" w:cs="Arial"/>
          <w:sz w:val="24"/>
        </w:rPr>
        <w:br w:type="page"/>
      </w:r>
    </w:p>
    <w:p>
      <w:pPr>
        <w:pStyle w:val="2"/>
        <w:jc w:val="center"/>
        <w:rPr>
          <w:rFonts w:ascii="彩虹粗仿宋" w:eastAsia="彩虹粗仿宋"/>
          <w:sz w:val="30"/>
        </w:rPr>
      </w:pPr>
      <w:bookmarkStart w:id="96" w:name="_Toc124325893"/>
      <w:r>
        <w:rPr>
          <w:rFonts w:hint="eastAsia" w:ascii="彩虹粗仿宋" w:eastAsia="彩虹粗仿宋"/>
          <w:sz w:val="30"/>
        </w:rPr>
        <w:t>九、基金收益分配</w:t>
      </w:r>
      <w:bookmarkEnd w:id="96"/>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（一）基金利润的构成</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基金利润指基金利息收入、投资收益、公允价值变动收益和其他收入扣除相关费用后的余额，基金已实现收益指基金利润减去公允价值变动损益后的余额。</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（二）基金可供分配利润</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基金可供分配利润指截至收益分配基准日基金未分配利润与未分配利润中已实现收益的孰低数。</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（三）基金收益分配原则</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1、本基金收益分配方式采用现金分红；</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2、每一基金份额享有同等分配权；</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3、在符合以下有关基金分红条件的情形下，基金管理人可以根据实际情况进行收益分配，具体分配方案以届时的公告为准：</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1）本基金可每季度对基金相对业绩比较基准的超额收益率或基金的可供分配利润进行评价，收益评价日核定的基金累计报酬率超过业绩比较基准同期累计报酬率或者基金可供分配利润金额大于0元时，基金管理人可进行收益分配，累计报酬率计算方式详见招募说明书；若《基金合同》生效不满3个月可不进行收益分配；</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2）当基金收益分配根据基金相对业绩比较基准的超额收益率决定时，基于本基金的特点，本基金收益分配无需以弥补亏损为前提，收益分配后基金份额净值有可能低于面值；当基金收益分配根据基金可供分配利润金额决定时，本基金收益分配后基金份额净值不能低于面值，即基金收益分配基准日的基金份额净值减去每单位基金份额收益分配金额后不能低于面值；</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4、在符合上述基金分红条件的前提下，本基金可每季度进行1次收益分配；</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5、在对基金份额持有人利益无实质不利影响的前提下，履行适当程序后基金管理人可调整基金收益的分配原则；</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6、法律法规或监管机关另有规定的，从其规定。证券交易所或基金登记结算机构对收益分配另有规定的，从其规定。</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（四）收益分配方案</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基金收益分配方案中应载明基金收益分配对象、分配时间、分配数额及比例、分配方式等内容。</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（五）收益分配方案的确定、公告与实施</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本基金收益分配方案由基金管理人拟定，并由基金托管人复核，依照《信息披露办法》的有关规定在规定媒介公告。</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（六）基金收益分配中发生的费用</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基金收益分配时所发生的银行转账或其他手续费用由投资者自行承担。</w:t>
      </w:r>
      <w:r>
        <w:rPr>
          <w:rFonts w:hint="eastAsia" w:ascii="彩虹粗仿宋" w:hAnsi="宋体" w:eastAsia="彩虹粗仿宋" w:cs="Arial"/>
          <w:sz w:val="24"/>
        </w:rPr>
        <w:br w:type="page"/>
      </w:r>
    </w:p>
    <w:p>
      <w:pPr>
        <w:pStyle w:val="2"/>
        <w:jc w:val="center"/>
        <w:rPr>
          <w:rFonts w:ascii="彩虹粗仿宋" w:eastAsia="彩虹粗仿宋"/>
          <w:sz w:val="30"/>
        </w:rPr>
      </w:pPr>
      <w:bookmarkStart w:id="97" w:name="_Toc124325894"/>
      <w:r>
        <w:rPr>
          <w:rFonts w:hint="eastAsia" w:ascii="彩虹粗仿宋" w:eastAsia="彩虹粗仿宋"/>
          <w:sz w:val="30"/>
        </w:rPr>
        <w:t>十、基金信息披露</w:t>
      </w:r>
      <w:bookmarkEnd w:id="97"/>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（一）保密义务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1.非因基金管理人和基金托管人的原因导致保密信息被披露、泄露或公开；</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2.基金管理人和基金托管人为遵守和服从法院判决或裁定、仲裁裁决或中国证监会等监管机构的命令、决定所做出的信息披露或公开；</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w:t>
      </w:r>
      <w:r>
        <w:rPr>
          <w:rFonts w:ascii="彩虹粗仿宋" w:hAnsi="宋体" w:eastAsia="彩虹粗仿宋" w:cs="Arial"/>
          <w:sz w:val="24"/>
        </w:rPr>
        <w:t>.</w:t>
      </w:r>
      <w:r>
        <w:rPr>
          <w:rFonts w:hint="eastAsia" w:ascii="彩虹粗仿宋" w:hAnsi="宋体" w:eastAsia="彩虹粗仿宋" w:cs="Arial"/>
          <w:sz w:val="24"/>
        </w:rPr>
        <w:t xml:space="preserve"> 因审计、法律等专业服务向外部专业顾问提供信息。</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（二）信息披露的内容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的信息披露内容主要包括基金招募说明书、《基金合同》、基金托管协议、基金产品资料概要、基金份额发售公告、《基金合同》生效公告、基金净值信息、申购赎回清单、基金份额上市交易公告书、基金份额折算日公告、基金份额折算结果公告、基金份额申购、赎回对价、基金定期报告（包括基金年度报告、基金中期报告和基金季度报告）、临时报告、澄清公告、基金份额持有人大会决议、清算报告、基金投资资产支持证券的信息披露、基金投资股指期货的信息披露、基金投资国债期货的信息披露、基金投资股票期权的信息披露、基金投资非公开发行股票的信息披露、基金参与融资及转融通证券出借交易的信息披露、基金投资信用衍生品的信息披露、基金投资存托凭证的信息披露、中国证监会规定的其他信息。</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基金年度报告中的财务会计报告经符合《中华人民共和国证券法》规定的会计师事务所审计后方可披露。</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（三）基金托管人和基金管理人在信息披露中的职责和信息披露程序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1.职责</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对于不需要基金托管人复核的信息，基金管理人在公告前应告知基金托管人。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基金管理人和基金托管人应积极配合、互相监督，保证其履行按照法定方式和限时披露的义务。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基金管理人应当在中国证监会规定的时间内，将应予披露的基金信息通过规定媒介披露。根据法律法规应由基金托管人公开披露的信息，基金托管人将通过规定媒介公开披露。</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当出现下述情况时，基金管理人和基金托管人可暂停或延迟披露基金相关信息：</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(1)不可抗力；</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(2)基金投资所涉及的证券、期货交易市场遇法定节假日或因其他原因暂停交易时；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(3)基金合同约定的暂停估值的情形；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(4)法律法规、《基金合同》或中国证监会规定的情况。</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按有关规定须经基金托管人复核的信息披露文件，由基金管理人起草、并经基金托管人复核后由基金管理人公告。发生《基金合同》中规定需要披露的事项时，按《基金合同》规定公布。</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3.信息文本的存放</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依法必须披露的信息发布后，基金管理人、基金托管人应当按照相关法律法规规定将信息置备于各自住所、基金上市交易的证券交易所，供社会公众查阅、复制。投资者可以免费查阅。在支付工本费后可在合理时间获得上述文件的复制件或复印件。基金管理人和基金托管人应保证文本的内容与所公告的内容完全一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（四）法律法规或监管部门对适用于本基金的信息披露另有规定的，从其规定。如规定发生变化的，从其最新规定。</w:t>
      </w:r>
    </w:p>
    <w:p>
      <w:pPr>
        <w:pStyle w:val="3"/>
        <w:ind w:firstLine="0" w:firstLineChars="0"/>
        <w:rPr>
          <w:rFonts w:ascii="彩虹粗仿宋" w:hAnsi="宋体" w:eastAsia="彩虹粗仿宋" w:cs="Arial"/>
          <w:sz w:val="24"/>
        </w:rPr>
      </w:pPr>
      <w:r>
        <w:rPr>
          <w:rFonts w:hint="eastAsia" w:ascii="彩虹粗仿宋" w:hAnsi="宋体" w:eastAsia="彩虹粗仿宋" w:cs="Arial"/>
          <w:sz w:val="24"/>
        </w:rPr>
        <w:br w:type="page"/>
      </w:r>
    </w:p>
    <w:p>
      <w:pPr>
        <w:pStyle w:val="2"/>
        <w:jc w:val="center"/>
        <w:rPr>
          <w:rFonts w:ascii="彩虹粗仿宋" w:eastAsia="彩虹粗仿宋"/>
          <w:sz w:val="30"/>
        </w:rPr>
      </w:pPr>
      <w:bookmarkStart w:id="98" w:name="_Toc124325895"/>
      <w:r>
        <w:rPr>
          <w:rFonts w:hint="eastAsia" w:ascii="彩虹粗仿宋" w:eastAsia="彩虹粗仿宋"/>
          <w:sz w:val="30"/>
        </w:rPr>
        <w:t>十一、基金费用</w:t>
      </w:r>
      <w:bookmarkEnd w:id="98"/>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（一）基金管理费的计提比例和计提方法</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本基金的管理费按前一日基金资产净值的0.5%年费率计提。管理费的计算方法如下：</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H＝E×0.5%÷当年天数</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H为每日应计提的基金管理费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E为前一日的基金资产净值</w:t>
      </w:r>
    </w:p>
    <w:p>
      <w:pPr>
        <w:adjustRightInd w:val="0"/>
        <w:snapToGrid w:val="0"/>
        <w:ind w:firstLine="480" w:firstLineChars="200"/>
        <w:rPr>
          <w:rFonts w:ascii="彩虹粗仿宋" w:hAnsi="宋体" w:eastAsia="彩虹粗仿宋" w:cs="Arial"/>
          <w:sz w:val="24"/>
        </w:rPr>
      </w:pP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（二）基金托管费的计提比例和计提方法</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本基金的托管费按前一日基金资产净值的0.1% 的年费率计提。托管费的计算方法如下：</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H＝E×0.1%÷当年天数</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H为每日应计提的基金托管费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E为前一日的基金资产净值</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（三）《基金合同》生效后与基金相关的信息披露费用</w:t>
      </w:r>
      <w:r>
        <w:rPr>
          <w:rFonts w:hint="eastAsia" w:ascii="彩虹粗仿宋" w:hAnsi="宋体" w:eastAsia="彩虹粗仿宋" w:cs="Arial"/>
          <w:bCs/>
          <w:sz w:val="24"/>
        </w:rPr>
        <w:t>，但法律法规、中国证监会另有规定的除外</w:t>
      </w:r>
      <w:r>
        <w:rPr>
          <w:rFonts w:hint="eastAsia" w:ascii="彩虹粗仿宋" w:hAnsi="宋体" w:eastAsia="彩虹粗仿宋" w:cs="Arial"/>
          <w:sz w:val="24"/>
        </w:rPr>
        <w:t>、《基金合同》生效后与基金相关的会计师费、律师费、诉讼费和仲裁费、基金份额持有人大会费用、基金的证券、期货、股票期权、信用衍生品等交易费用、基金的银行汇划费用、基金的上市初费及年费、登记结算费用、IOPV计算与发布费用、收益分配中发生的费用、基金的账户开户费用、账户维护费用、按照国家有关规定和《基金合同》约定，可以在基金财产中列支的其他费用，列入当期基金费用。</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（四）不列入基金费用的项目</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1.基金管理人和基金托管人因未履行或未完全履行义务导致的费用支出或基金财产的损失；</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2.基金管理人和基金托管人处理与基金运作无关的事项发生的费用；</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 xml:space="preserve">3.指数许可使用费 </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指数许可使用费由基金管理人承担，不得从基金财产中列支；</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4.《基金合同》生效前的相关费用；</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5.其他根据相关法律法规及中国证监会的有关规定不得列入基金费用的项目。</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（五）基金管理费和基金托管费的调整</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基金管理人和基金托管人经履行适当程序后可协商酌情降低基金管理费和基金托管费，并按规定在规定媒体上刊登公告。</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（六）基金管理费、基金托管费的复核程序、支付方式和时间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1.复核程序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基金托管人对基金管理人计提的基金管理费、基金托管费等，根据本托管协议和《基金合同》的有关规定进行复核。</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2.支付方式和时间</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费、基金托管费每日计提。由基金托管人根据与基金管理人核对一致的财务数据，自动在次月初五个工作日内按照指定的账户路径进行资金支付，基金管理人无需再出具资金划拨指令。若遇法定节假日、公假日或不可抗力等，支付日期顺延。费用自动扣划后，基金管理人应进行核对，如发现数据不符，及时联系基金托管人协商解决。</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在首期支付基金管理费前，基金管理人应向基金托管人出具正式函件指定基金管理费的收款账户。基金管理人如需要变更此账户，应提前5个工作日向基金托管人出具书面的收款账户变更通知。</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（七）违规处理方式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pPr>
        <w:adjustRightInd w:val="0"/>
        <w:snapToGrid w:val="0"/>
        <w:rPr>
          <w:rFonts w:ascii="彩虹粗仿宋" w:hAnsi="宋体" w:eastAsia="彩虹粗仿宋" w:cs="Arial"/>
          <w:i/>
          <w:sz w:val="24"/>
        </w:rPr>
      </w:pPr>
      <w:r>
        <w:rPr>
          <w:rFonts w:hint="eastAsia" w:ascii="彩虹粗仿宋" w:hAnsi="宋体" w:eastAsia="彩虹粗仿宋" w:cs="Arial"/>
          <w:i/>
          <w:sz w:val="24"/>
        </w:rPr>
        <w:br w:type="page"/>
      </w:r>
    </w:p>
    <w:p>
      <w:pPr>
        <w:pStyle w:val="2"/>
        <w:jc w:val="center"/>
        <w:rPr>
          <w:rFonts w:ascii="彩虹粗仿宋" w:eastAsia="彩虹粗仿宋"/>
          <w:sz w:val="30"/>
        </w:rPr>
      </w:pPr>
      <w:bookmarkStart w:id="99" w:name="_Toc124325896"/>
      <w:r>
        <w:rPr>
          <w:rFonts w:hint="eastAsia" w:ascii="彩虹粗仿宋" w:eastAsia="彩虹粗仿宋"/>
          <w:sz w:val="30"/>
        </w:rPr>
        <w:t>十二、基金份额持有人名册的保管</w:t>
      </w:r>
      <w:bookmarkEnd w:id="99"/>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少于法定最低期限。如不能妥善保管，则按相关法规承担责任。</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在基金托管人要求或编制中期报告和年度报告前，基金管理人应将有关资料送交基金托管人，不得无故拒绝或延误提供，并保证其真实性、准确性和完整性。</w:t>
      </w:r>
      <w:r>
        <w:rPr>
          <w:rFonts w:hint="eastAsia" w:ascii="彩虹粗仿宋" w:hAnsi="宋体" w:eastAsia="彩虹粗仿宋"/>
          <w:kern w:val="0"/>
          <w:sz w:val="24"/>
        </w:rPr>
        <w:t>基金托管人不得将所保管的基金份额持有人名册用于基金托管业务以外的其他用途，并应遵守保密义务。</w:t>
      </w:r>
    </w:p>
    <w:p>
      <w:pPr>
        <w:adjustRightInd w:val="0"/>
        <w:snapToGrid w:val="0"/>
        <w:rPr>
          <w:rFonts w:ascii="彩虹粗仿宋" w:hAnsi="宋体" w:eastAsia="彩虹粗仿宋" w:cs="Arial"/>
          <w:sz w:val="24"/>
        </w:rPr>
      </w:pPr>
      <w:r>
        <w:rPr>
          <w:rFonts w:hint="eastAsia" w:ascii="彩虹粗仿宋" w:hAnsi="宋体" w:eastAsia="彩虹粗仿宋" w:cs="Arial"/>
          <w:sz w:val="24"/>
        </w:rPr>
        <w:br w:type="page"/>
      </w:r>
    </w:p>
    <w:p>
      <w:pPr>
        <w:pStyle w:val="2"/>
        <w:jc w:val="center"/>
        <w:rPr>
          <w:rFonts w:ascii="彩虹粗仿宋" w:eastAsia="彩虹粗仿宋"/>
          <w:sz w:val="30"/>
        </w:rPr>
      </w:pPr>
      <w:bookmarkStart w:id="100" w:name="_Toc124325897"/>
      <w:r>
        <w:rPr>
          <w:rFonts w:hint="eastAsia" w:ascii="彩虹粗仿宋" w:eastAsia="彩虹粗仿宋"/>
          <w:sz w:val="30"/>
        </w:rPr>
        <w:t>十三、基金有关文件档案的保存</w:t>
      </w:r>
      <w:bookmarkEnd w:id="100"/>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（一）档案保存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法定最低期限。</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（二）合同档案的建立</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1.基金管理人签署重大合同文本后，应及时将合同文本正本送达基金托管人处。</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2.基金管理人应及时将与本基金账务处理、资金划拨等有关的合同、协议传真基金托管人。</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（三）变更与协助</w:t>
      </w:r>
    </w:p>
    <w:p>
      <w:pPr>
        <w:adjustRightInd w:val="0"/>
        <w:snapToGrid w:val="0"/>
        <w:ind w:firstLine="480" w:firstLineChars="200"/>
        <w:rPr>
          <w:rFonts w:ascii="彩虹粗仿宋" w:eastAsia="彩虹粗仿宋"/>
          <w:b/>
          <w:bCs/>
          <w:sz w:val="30"/>
          <w:szCs w:val="30"/>
        </w:rPr>
      </w:pPr>
      <w:r>
        <w:rPr>
          <w:rFonts w:hint="eastAsia" w:ascii="彩虹粗仿宋" w:hAnsi="宋体" w:eastAsia="彩虹粗仿宋" w:cs="Arial"/>
          <w:sz w:val="24"/>
        </w:rPr>
        <w:t>若基金管理人/基金托管人发生变更，未变更的一方有义务协助变更后的接任人接收相应文件。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（四）基金管理人和基金托管人应按各自职责完整保存原始凭证、记账凭证、基金账册、交易记录和重要合同等，承担保密义务并保存不少于法定最低期限。</w:t>
      </w:r>
    </w:p>
    <w:p>
      <w:pPr>
        <w:adjustRightInd w:val="0"/>
        <w:snapToGrid w:val="0"/>
        <w:rPr>
          <w:rFonts w:ascii="彩虹粗仿宋" w:eastAsia="彩虹粗仿宋"/>
          <w:sz w:val="30"/>
          <w:szCs w:val="30"/>
        </w:rPr>
      </w:pPr>
      <w:r>
        <w:rPr>
          <w:rFonts w:ascii="彩虹粗仿宋" w:eastAsia="彩虹粗仿宋"/>
          <w:sz w:val="30"/>
          <w:szCs w:val="30"/>
        </w:rPr>
        <w:br w:type="page"/>
      </w:r>
    </w:p>
    <w:p>
      <w:pPr>
        <w:pStyle w:val="2"/>
        <w:jc w:val="center"/>
        <w:rPr>
          <w:rFonts w:ascii="彩虹粗仿宋" w:eastAsia="彩虹粗仿宋"/>
          <w:sz w:val="30"/>
        </w:rPr>
      </w:pPr>
      <w:bookmarkStart w:id="101" w:name="_Toc124325898"/>
      <w:r>
        <w:rPr>
          <w:rFonts w:hint="eastAsia" w:ascii="彩虹粗仿宋" w:eastAsia="彩虹粗仿宋"/>
          <w:sz w:val="30"/>
        </w:rPr>
        <w:t>十四、基金管理人和基金托管人的更换</w:t>
      </w:r>
      <w:bookmarkEnd w:id="101"/>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（一）基金管理人职责终止的情形和更换程序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1.基金管理人职责终止的情形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有下列情形之一的，基金管理人职责终止：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(1)被依法取消基金管理资格；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(2)依法解散、被依法撤销或被依法宣告破产；</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(3)被基金份额持有人大会解任；</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(4)法律法规及中国证监会规定的和《基金合同》约定的其他情形。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2.基金管理人的更换程序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更换基金管理人必须依照如下程序进行：</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(1)提名：新任基金管理人由基金托管人</w:t>
      </w:r>
      <w:r>
        <w:rPr>
          <w:rFonts w:hint="eastAsia" w:ascii="彩虹粗仿宋" w:eastAsia="彩虹粗仿宋"/>
          <w:sz w:val="24"/>
        </w:rPr>
        <w:t>或由单独或合计持有10%以上(含10%)基金份额的基金份额持有人</w:t>
      </w:r>
      <w:r>
        <w:rPr>
          <w:rFonts w:hint="eastAsia" w:ascii="彩虹粗仿宋" w:hAnsi="宋体" w:eastAsia="彩虹粗仿宋" w:cs="Arial"/>
          <w:sz w:val="24"/>
        </w:rPr>
        <w:t>提名；</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(3)临时基金管理人：新任基金管理人产生之前，由中国证监会指定临时基金管理人；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(4)备案：基金份额持有人大会更换基金管理人的决议须报中国证监会备案；</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(5)公告：基金管理人更换后，由基金托管人在更换基金管理人的基金份额持有人大会决议生效后2日内在规定媒介公告；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(6)交接：基金管理人职责终止的，原基金管理人应妥善保管基金管理业务资料，及时向临时基金管理人或新任基金管理人办理基金管理业务的移交手续，临时基金管理人或新任基金管理人应及时接收。</w:t>
      </w:r>
      <w:bookmarkStart w:id="102" w:name="_Hlk201860206"/>
      <w:r>
        <w:rPr>
          <w:rFonts w:hint="eastAsia" w:ascii="彩虹粗仿宋" w:hAnsi="宋体" w:eastAsia="彩虹粗仿宋" w:cs="Arial"/>
          <w:sz w:val="24"/>
        </w:rPr>
        <w:t>新任基金管理人或临时基金管理人</w:t>
      </w:r>
      <w:bookmarkEnd w:id="102"/>
      <w:r>
        <w:rPr>
          <w:rFonts w:hint="eastAsia" w:ascii="彩虹粗仿宋" w:hAnsi="宋体" w:eastAsia="彩虹粗仿宋" w:cs="Arial"/>
          <w:sz w:val="24"/>
        </w:rPr>
        <w:t>应与基金托管人核对基金资产总值和净值；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(7)审计：基金管理人职责终止的，应当按照法律法规规定聘请符合《中华人民共和国证券法》规定的会计师事务所对基金财产进行审计，并将审计结果予以公告，同时报中国证监会备案，审计费由基金财产承担；</w:t>
      </w:r>
    </w:p>
    <w:p>
      <w:pPr>
        <w:adjustRightInd w:val="0"/>
        <w:snapToGrid w:val="0"/>
        <w:ind w:firstLine="480" w:firstLineChars="200"/>
        <w:rPr>
          <w:rFonts w:ascii="彩虹粗仿宋" w:eastAsia="彩虹粗仿宋"/>
          <w:sz w:val="30"/>
          <w:szCs w:val="30"/>
        </w:rPr>
      </w:pPr>
      <w:r>
        <w:rPr>
          <w:rFonts w:hint="eastAsia" w:ascii="彩虹粗仿宋" w:hAnsi="宋体" w:eastAsia="彩虹粗仿宋" w:cs="Arial"/>
          <w:sz w:val="24"/>
        </w:rPr>
        <w:t>(8)基金名称变更：基金管理人更换后，如果原任或新任基金管理人要求，应按其要求替换或删除基金名称中与原基金管理人有关的名称字样。</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（二）基金托管人职责终止的情形和更换程序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1.基金托管人职责终止的情形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有下列情形之一的，基金托管人职责终止：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(1)被依法取消基金托管资格；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(2)依法解散、被依法撤销或被依法宣告破产；</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(3)被基金份额持有人大会解任；</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(4)法律法规及中国证监会规定的和《基金合同》约定的其他情形。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2.基金托管人的更换程序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(1)提名：新任基金托管人由基金管理人</w:t>
      </w:r>
      <w:r>
        <w:rPr>
          <w:rFonts w:hint="eastAsia" w:ascii="彩虹粗仿宋" w:eastAsia="彩虹粗仿宋"/>
          <w:sz w:val="24"/>
        </w:rPr>
        <w:t>或由单独或合计持有10%以上(含10%)基金份额的基金份额持有人</w:t>
      </w:r>
      <w:r>
        <w:rPr>
          <w:rFonts w:hint="eastAsia" w:ascii="彩虹粗仿宋" w:hAnsi="宋体" w:eastAsia="彩虹粗仿宋" w:cs="Arial"/>
          <w:sz w:val="24"/>
        </w:rPr>
        <w:t>提名；</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(3)临时基金托管人：新任基金托管人产生之前，由中国证监会指定临时基金托管人；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(4)备案：基金份额持有人大会更换基金托管人的决议须报中国证监会备案；</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(5)公告：基金托管人更换后，由基金管理人在更换基金托管人的基金份额持有人大会决议生效后 2个日内在规定媒介公告；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(6)交接：基金托管人职责终止的，原基金托管人应当妥善保管基金财产和基金托管业务资料，及时向新任基金托管人或临时基金托管人办理基金财产和基金托管业务的移交手续，新任基金托管人或者临时基金托管人应当及时接收。新任基金托管人或临时基金托管人应与基金管理人核对基金资产总值和净值；</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(7)审计：基金托管人职责终止的，应当按照法律法规规定聘请符合《中华人民共和国证券法》规定的会计师事务所对基金财产进行审计，并将审计结果予以公告，同时报中国证监会备案，审计费由基金财产承担。</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（三）基金管理人与基金托管人同时更换的条件和程序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1.提名：如果基金管理人和基金托管人同时更换，由单独或合计持有基金总份额10%以上(含10%)的基金份额持有人提名新的基金管理人和基金托管人；</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2.基金管理人和基金托管人的更换分别按上述程序进行；</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3.公告：新任基金管理人和新任基金托管人应在更换基金管理人和基金托管人的基金份额持有人大会决议生效后2日内在规定媒介上联合公告。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新任基金管理人或临时基金管理人接收基金管理业务或新任基金托管人或临时基金托管人接收基金财产和基金托管业务前，原基金管理人或原基金托管人应依据法律法规和基金合同的规定继续履行相关职责，并保证不做出对基金份额持有人的利益造成损害的行为。原基金管理人或原基金托管人在继续履行相关职责期间，仍有权按照基金合同和本协议的规定收取基金管理费或基金托管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pPr>
        <w:adjustRightInd w:val="0"/>
        <w:snapToGrid w:val="0"/>
        <w:rPr>
          <w:rFonts w:ascii="彩虹粗仿宋" w:hAnsi="宋体" w:eastAsia="彩虹粗仿宋" w:cs="Arial"/>
          <w:sz w:val="24"/>
        </w:rPr>
      </w:pPr>
      <w:r>
        <w:rPr>
          <w:rFonts w:hint="eastAsia" w:ascii="彩虹粗仿宋" w:hAnsi="宋体" w:eastAsia="彩虹粗仿宋" w:cs="Arial"/>
          <w:sz w:val="24"/>
        </w:rPr>
        <w:br w:type="page"/>
      </w:r>
    </w:p>
    <w:p>
      <w:pPr>
        <w:pStyle w:val="2"/>
        <w:jc w:val="center"/>
        <w:rPr>
          <w:rFonts w:ascii="彩虹粗仿宋" w:eastAsia="彩虹粗仿宋"/>
          <w:sz w:val="30"/>
        </w:rPr>
      </w:pPr>
      <w:bookmarkStart w:id="103" w:name="_Toc124325899"/>
      <w:r>
        <w:rPr>
          <w:rFonts w:hint="eastAsia" w:ascii="彩虹粗仿宋" w:eastAsia="彩虹粗仿宋"/>
          <w:sz w:val="30"/>
        </w:rPr>
        <w:t>十五、禁止行为</w:t>
      </w:r>
      <w:bookmarkEnd w:id="103"/>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本协议当事人禁止从事的行为，包括但不限于：</w:t>
      </w:r>
    </w:p>
    <w:p>
      <w:pPr>
        <w:ind w:firstLine="480" w:firstLineChars="200"/>
        <w:rPr>
          <w:rFonts w:ascii="彩虹粗仿宋" w:eastAsia="彩虹粗仿宋"/>
          <w:sz w:val="24"/>
        </w:rPr>
      </w:pPr>
      <w:r>
        <w:rPr>
          <w:rFonts w:hint="eastAsia" w:ascii="彩虹粗仿宋" w:eastAsia="彩虹粗仿宋"/>
          <w:sz w:val="24"/>
        </w:rPr>
        <w:t>（一）基金管理人、基金托管人将其固有财产或者他人财产混同于基金财产从事证券投资。</w:t>
      </w:r>
    </w:p>
    <w:p>
      <w:pPr>
        <w:ind w:firstLine="480" w:firstLineChars="200"/>
        <w:rPr>
          <w:rFonts w:ascii="彩虹粗仿宋" w:eastAsia="彩虹粗仿宋"/>
        </w:rPr>
      </w:pPr>
      <w:r>
        <w:rPr>
          <w:rFonts w:hint="eastAsia" w:ascii="彩虹粗仿宋" w:eastAsia="彩虹粗仿宋"/>
          <w:sz w:val="24"/>
        </w:rPr>
        <w:t>（二）基金管理人不公平地对待其管理的不同基金财产，基金托管人不公平地对待其托管的不同基金财产。</w:t>
      </w:r>
    </w:p>
    <w:p>
      <w:pPr>
        <w:ind w:firstLine="480" w:firstLineChars="200"/>
        <w:rPr>
          <w:rFonts w:ascii="彩虹粗仿宋" w:eastAsia="彩虹粗仿宋"/>
          <w:sz w:val="24"/>
        </w:rPr>
      </w:pPr>
      <w:r>
        <w:rPr>
          <w:rFonts w:hint="eastAsia" w:ascii="彩虹粗仿宋" w:eastAsia="彩虹粗仿宋"/>
          <w:sz w:val="24"/>
        </w:rPr>
        <w:t>（三）基金管理人、基金托管人利用基金财产或职务之便为基金份额持有人以外的第三人牟取利益。</w:t>
      </w:r>
    </w:p>
    <w:p>
      <w:pPr>
        <w:ind w:firstLine="480" w:firstLineChars="200"/>
        <w:rPr>
          <w:rFonts w:ascii="彩虹粗仿宋" w:eastAsia="彩虹粗仿宋"/>
          <w:sz w:val="24"/>
        </w:rPr>
      </w:pPr>
      <w:r>
        <w:rPr>
          <w:rFonts w:hint="eastAsia" w:ascii="彩虹粗仿宋" w:eastAsia="彩虹粗仿宋"/>
          <w:sz w:val="24"/>
        </w:rPr>
        <w:t>（四）基金管理人、基金托管人向基金份额持有人违规承诺收益或者承担损失。</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（五）基金管理人、基金托管人对他人泄露基金运作和管理过程中任何尚未按法律法规规定的方式公开披露的信息。</w:t>
      </w:r>
    </w:p>
    <w:p>
      <w:pPr>
        <w:pStyle w:val="7"/>
        <w:spacing w:line="240" w:lineRule="auto"/>
        <w:outlineLvl w:val="0"/>
        <w:rPr>
          <w:rFonts w:ascii="彩虹粗仿宋" w:hAnsi="宋体" w:eastAsia="彩虹粗仿宋" w:cs="Arial"/>
          <w:szCs w:val="24"/>
        </w:rPr>
      </w:pPr>
      <w:r>
        <w:rPr>
          <w:rFonts w:hint="eastAsia" w:ascii="彩虹粗仿宋" w:hAnsi="宋体" w:eastAsia="彩虹粗仿宋" w:cs="Arial"/>
          <w:szCs w:val="24"/>
        </w:rPr>
        <w:t>（六）基金管理人在没有充足资金的情况下向基金托管人发出投资指令和赎回、分红资金的划拨指令，或违规向基金托管人发出指令。</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（七）基金管理人、基金托管人在行政上、财务上不独立，其高级管理人员和其他从业人员相互兼职。</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（八）基金托管人私自动用或处分基金财产，根据基金管理人的合法指令、《基金合同》或托管协议的规定进行处分的除外。</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九）基金财产用于下列投资或者活动：1.承销证券；2.违反规定向他人贷款或者提供担保；3.从事承担无限责任的投资；4.买卖其他基金份额，但是法律法规或中国证监会另有规定的除外；5.向其基金管理人、基金托管人出资；6.从事内幕交易、操纵证券交易价格及其他不正当的证券交易活动；7.法律、行政法规和中国证监会规定禁止的其他活动。若将来法律、行政法规或中国证监会的相关规定发生修改或变更，致使本款前述约定的投资禁止行为和投资组合比例限制被修改或取消，基金管理人在依法履行相应程序后，本基金可相应调整禁止行为和投资限制规定。</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（十）法律法规和《基金合同》禁止的其他行为，以及</w:t>
      </w:r>
      <w:r>
        <w:rPr>
          <w:rFonts w:hint="eastAsia" w:ascii="彩虹粗仿宋" w:eastAsia="彩虹粗仿宋"/>
          <w:sz w:val="24"/>
        </w:rPr>
        <w:t>依照法律、行政法规有关规定，由国务院证券监督管理机构规定禁止基金管理人、基金托管人从事的其他行为。</w:t>
      </w:r>
    </w:p>
    <w:p>
      <w:pPr>
        <w:adjustRightInd w:val="0"/>
        <w:snapToGrid w:val="0"/>
        <w:rPr>
          <w:rFonts w:ascii="彩虹粗仿宋" w:eastAsia="彩虹粗仿宋"/>
          <w:sz w:val="30"/>
          <w:szCs w:val="30"/>
        </w:rPr>
      </w:pPr>
      <w:r>
        <w:rPr>
          <w:rFonts w:ascii="彩虹粗仿宋" w:eastAsia="彩虹粗仿宋"/>
          <w:sz w:val="30"/>
          <w:szCs w:val="30"/>
        </w:rPr>
        <w:br w:type="page"/>
      </w:r>
    </w:p>
    <w:p>
      <w:pPr>
        <w:pStyle w:val="2"/>
        <w:jc w:val="center"/>
        <w:rPr>
          <w:rFonts w:ascii="彩虹粗仿宋" w:eastAsia="彩虹粗仿宋"/>
          <w:sz w:val="30"/>
        </w:rPr>
      </w:pPr>
      <w:bookmarkStart w:id="104" w:name="_Toc124325900"/>
      <w:r>
        <w:rPr>
          <w:rFonts w:hint="eastAsia" w:ascii="彩虹粗仿宋" w:eastAsia="彩虹粗仿宋"/>
          <w:sz w:val="30"/>
        </w:rPr>
        <w:t>十六、托管协议的变更、终止与基金财产的清算</w:t>
      </w:r>
      <w:bookmarkEnd w:id="104"/>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（一）托管协议的变更程序</w:t>
      </w:r>
    </w:p>
    <w:p>
      <w:pPr>
        <w:adjustRightInd w:val="0"/>
        <w:snapToGrid w:val="0"/>
        <w:ind w:firstLine="480" w:firstLineChars="200"/>
        <w:rPr>
          <w:rFonts w:ascii="彩虹粗仿宋" w:eastAsia="彩虹粗仿宋"/>
          <w:sz w:val="30"/>
          <w:szCs w:val="30"/>
        </w:rPr>
      </w:pPr>
      <w:r>
        <w:rPr>
          <w:rFonts w:hint="eastAsia" w:ascii="彩虹粗仿宋" w:hAnsi="宋体" w:eastAsia="彩虹粗仿宋" w:cs="Arial"/>
          <w:sz w:val="24"/>
        </w:rPr>
        <w:t>本协议双方当事人经协商一致，可以对协议进行修改。修改后的新协议，其内容不得与《基金合同》的规定有任何冲突。</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（二）托管协议终止的情形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1.《基金合同》终止；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2.基金托管人解散、依法被撤销、破产，被依法取消基金托管资格或因其他事由造成或由其他基金托管人接管基金资产；</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3.基金管理人解散、依法被撤销、破产，被依法取消基金管理资格或因其他事由造成或由其他基金管理人接管基金管理权；</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4.发生法律法规、中国证监会或《基金合同》规定的终止事项。</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（三）基金财产的清算</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1.基金财产清算小组：自出现《基金合同》终止事由之日起30个工作日内成立基金财产清算小组，基金管理人组织基金财产清算小组并在中国证监会的监督下进行基金清算。</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财产清算小组组成：基金财产清算小组成员由基金管理人、基金托管人、符合《中华人民共和国证券法》规定条件的注册会计师、律师以及中国证监会指定的人员组成。基金财产清算小组可以聘用必要的工作人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3.基金财产清算小组职责：基金财产清算小组负责基金财产的保管、清理、估价、变现和分配。基金财产清算小组可以依法进行必要的民事活动。</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4.基金财产清算程序：</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(1)《基金合同》终止情形出现时，由基金财产清算小组统一接管基金；</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(2)对基金财产和债权债务进行清理和确认；</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(3)对基金财产进行估值和变现；</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(4)制作清算报告；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(5)聘请</w:t>
      </w:r>
      <w:bookmarkStart w:id="105" w:name="_Hlk201861288"/>
      <w:r>
        <w:rPr>
          <w:rFonts w:hint="eastAsia" w:ascii="彩虹粗仿宋" w:hAnsi="宋体" w:eastAsia="彩虹粗仿宋" w:cs="Arial"/>
          <w:sz w:val="24"/>
        </w:rPr>
        <w:t>符合《中华人民共和国证券法》规定的</w:t>
      </w:r>
      <w:bookmarkEnd w:id="105"/>
      <w:r>
        <w:rPr>
          <w:rFonts w:hint="eastAsia" w:ascii="彩虹粗仿宋" w:hAnsi="宋体" w:eastAsia="彩虹粗仿宋" w:cs="Arial"/>
          <w:sz w:val="24"/>
        </w:rPr>
        <w:t>会计师事务所对清算报告进行外部审计，聘请律师事务所对清算报告出具法律意见书；</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(6)将清算报告报中国证监会备案并公告；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(7)对基金剩余财产进行分配。</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5.基金财产清算的期限为6个月，但因本基金所持证券的流动性受到限制而不能及时变现的，清算期限相应顺延。</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6.清算费用</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清算费用是指基金财产清算小组在进行基金清算过程中发生的所有合理费用，清算费用由基金财产清算小组优先从基金剩余财产中支付。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7.基金财产清算剩余资产的分配</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依据基金财产清算的分配方案，将基金财产清算后的全部剩余资产扣除基金财产清算费用、交纳所欠税款并清偿基金债务后，按基金份额持有人持有的基金份额比例进行分配。</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8.基金财产清算的公告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清算过程中的有关重大事项须及时公告；基金财产清算报告经符合《中华人民共和国证券法》规定条件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9.基金财产清算账册及文件的保存</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基金财产清算账册及有关文件由基金托管人保存，保存</w:t>
      </w:r>
      <w:r>
        <w:rPr>
          <w:rFonts w:hint="eastAsia" w:ascii="彩虹粗仿宋" w:hAnsi="宋体" w:eastAsia="彩虹粗仿宋" w:cs="Arial"/>
          <w:bCs/>
          <w:sz w:val="24"/>
        </w:rPr>
        <w:t>期限</w:t>
      </w:r>
      <w:r>
        <w:rPr>
          <w:rFonts w:hint="eastAsia" w:ascii="彩虹粗仿宋" w:hAnsi="宋体" w:eastAsia="彩虹粗仿宋" w:cs="Arial"/>
          <w:sz w:val="24"/>
        </w:rPr>
        <w:t>不低于法律法规规定的最低期限。</w:t>
      </w:r>
    </w:p>
    <w:p>
      <w:pPr>
        <w:adjustRightInd w:val="0"/>
        <w:snapToGrid w:val="0"/>
        <w:rPr>
          <w:rFonts w:ascii="彩虹粗仿宋" w:hAnsi="宋体" w:eastAsia="彩虹粗仿宋" w:cs="Arial"/>
          <w:sz w:val="24"/>
        </w:rPr>
      </w:pPr>
      <w:r>
        <w:rPr>
          <w:rFonts w:hint="eastAsia" w:ascii="彩虹粗仿宋" w:hAnsi="宋体" w:eastAsia="彩虹粗仿宋" w:cs="Arial"/>
          <w:sz w:val="24"/>
        </w:rPr>
        <w:br w:type="page"/>
      </w:r>
    </w:p>
    <w:p>
      <w:pPr>
        <w:pStyle w:val="2"/>
        <w:jc w:val="center"/>
        <w:rPr>
          <w:rFonts w:ascii="彩虹粗仿宋" w:eastAsia="彩虹粗仿宋"/>
          <w:sz w:val="30"/>
        </w:rPr>
      </w:pPr>
      <w:bookmarkStart w:id="106" w:name="_Toc124325901"/>
      <w:r>
        <w:rPr>
          <w:rFonts w:hint="eastAsia" w:ascii="彩虹粗仿宋" w:eastAsia="彩虹粗仿宋"/>
          <w:sz w:val="30"/>
        </w:rPr>
        <w:t>十七、违约责任</w:t>
      </w:r>
      <w:bookmarkEnd w:id="106"/>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（一）基金管理人、基金托管人不履行本协议或履行本协议不符合约定的，应当承担违约责任。</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1.不可抗力；</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2.基金管理人和/或基金托管人按照届时有效的法律法规或中国证监会的规定作为或不作为而造成的损失等；</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3.在没有过错的情况下，基金管理人由于按照《基金合同》规定的投资原则行使或不行使其投资权而造成的损失等；</w:t>
      </w:r>
    </w:p>
    <w:p>
      <w:pPr>
        <w:adjustRightInd w:val="0"/>
        <w:snapToGrid w:val="0"/>
        <w:ind w:firstLine="480" w:firstLineChars="200"/>
        <w:rPr>
          <w:rFonts w:ascii="彩虹粗仿宋" w:hAnsi="宋体" w:eastAsia="彩虹粗仿宋" w:cs="Arial"/>
          <w:sz w:val="24"/>
        </w:rPr>
      </w:pPr>
      <w:r>
        <w:rPr>
          <w:rFonts w:ascii="彩虹粗仿宋" w:hAnsi="宋体" w:eastAsia="彩虹粗仿宋" w:cs="Arial"/>
          <w:sz w:val="24"/>
        </w:rPr>
        <w:t>4</w:t>
      </w:r>
      <w:r>
        <w:rPr>
          <w:rFonts w:hint="eastAsia" w:ascii="彩虹粗仿宋" w:hAnsi="宋体" w:eastAsia="彩虹粗仿宋" w:cs="Arial"/>
          <w:sz w:val="24"/>
        </w:rPr>
        <w:t>.非因基金管理人、基金托管人的故意或重大过失造成的计算机系统故障、网络故障、通讯故障、电力故障、计算机病毒攻击及其它意外事故所导致的损失等。</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（五）违约行为虽已发生，但本托管协议能够继续履行的，在最大限度地保护基金份额持有人利益的前提下，基金管理人和基金托管人应当继续履行本协议。</w:t>
      </w:r>
    </w:p>
    <w:p>
      <w:pPr>
        <w:adjustRightInd w:val="0"/>
        <w:snapToGrid w:val="0"/>
        <w:ind w:firstLine="480" w:firstLineChars="200"/>
        <w:outlineLvl w:val="0"/>
        <w:rPr>
          <w:rFonts w:ascii="彩虹粗仿宋" w:hAnsi="宋体" w:eastAsia="彩虹粗仿宋" w:cs="Arial"/>
          <w:sz w:val="24"/>
        </w:rPr>
      </w:pPr>
      <w:r>
        <w:rPr>
          <w:rFonts w:hint="eastAsia" w:ascii="彩虹粗仿宋" w:hAnsi="宋体" w:eastAsia="彩虹粗仿宋" w:cs="Arial"/>
          <w:sz w:val="24"/>
        </w:rPr>
        <w:t>（六）由于基金管理人、基金托管人不可控制的因素导致业务出现差错，基金管理人和基金托管人虽然已经采取必要、适当、合理的措施进行检查，但是未能发现错误或虽发现错误但是因为前述原因无法更正的，由此造成基金财产或投资人损失，基金管理人和基金托管人免除赔偿责任。但是基金管理人和基金托管人应积极采取必要的措施消除或减轻由此造成的影响。</w:t>
      </w:r>
    </w:p>
    <w:p>
      <w:pPr>
        <w:adjustRightInd w:val="0"/>
        <w:snapToGrid w:val="0"/>
        <w:outlineLvl w:val="0"/>
        <w:rPr>
          <w:rFonts w:ascii="彩虹粗仿宋" w:hAnsi="宋体" w:eastAsia="彩虹粗仿宋" w:cs="Arial"/>
          <w:sz w:val="24"/>
        </w:rPr>
      </w:pPr>
      <w:r>
        <w:rPr>
          <w:rFonts w:hint="eastAsia" w:ascii="彩虹粗仿宋" w:hAnsi="宋体" w:eastAsia="彩虹粗仿宋" w:cs="Arial"/>
          <w:sz w:val="24"/>
        </w:rPr>
        <w:br w:type="page"/>
      </w:r>
    </w:p>
    <w:p>
      <w:pPr>
        <w:pStyle w:val="2"/>
        <w:jc w:val="center"/>
        <w:rPr>
          <w:rFonts w:ascii="彩虹粗仿宋" w:eastAsia="彩虹粗仿宋"/>
          <w:sz w:val="30"/>
        </w:rPr>
      </w:pPr>
      <w:bookmarkStart w:id="107" w:name="_Toc124325902"/>
      <w:r>
        <w:rPr>
          <w:rFonts w:hint="eastAsia" w:ascii="彩虹粗仿宋" w:eastAsia="彩虹粗仿宋"/>
          <w:sz w:val="30"/>
        </w:rPr>
        <w:t>十八、争议解决方式</w:t>
      </w:r>
      <w:bookmarkEnd w:id="107"/>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双方当事人同意，因本协议而产生的或与本协议有关的一切争议，如不愿或者不能通过协商、调解解决的，</w:t>
      </w:r>
      <w:bookmarkStart w:id="108" w:name="_Hlk202541570"/>
      <w:r>
        <w:rPr>
          <w:rFonts w:hint="eastAsia" w:ascii="彩虹粗仿宋" w:hAnsi="宋体" w:eastAsia="彩虹粗仿宋" w:cs="Arial"/>
          <w:bCs/>
          <w:sz w:val="24"/>
        </w:rPr>
        <w:t>任何一方均有权将争议提交深圳国际仲裁院，按照届时有效的仲裁规则进行仲裁，仲裁的地点在深圳市，仲裁裁决是终局性的并对相关各方均有约束力，仲裁费用由败诉方承担。</w:t>
      </w:r>
      <w:bookmarkEnd w:id="108"/>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争议处理期间，本协议当事人应恪守各自的职责，继续忠实、勤勉、尽责地履行基金合同和本托管协议规定的义务，维护基金份额持有人的合法权益。</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本协议受中国法律（为本协议之目的，在此不包括香港、澳门特别行政区和台湾地区法律）管辖并从其解释。</w:t>
      </w:r>
      <w:r>
        <w:rPr>
          <w:rFonts w:hint="eastAsia" w:ascii="彩虹粗仿宋" w:hAnsi="宋体" w:eastAsia="彩虹粗仿宋" w:cs="Arial"/>
          <w:sz w:val="24"/>
        </w:rPr>
        <w:br w:type="page"/>
      </w:r>
    </w:p>
    <w:p>
      <w:pPr>
        <w:pStyle w:val="2"/>
        <w:jc w:val="center"/>
        <w:rPr>
          <w:rFonts w:ascii="彩虹粗仿宋" w:eastAsia="彩虹粗仿宋"/>
          <w:sz w:val="30"/>
        </w:rPr>
      </w:pPr>
      <w:bookmarkStart w:id="109" w:name="_Toc124325903"/>
      <w:r>
        <w:rPr>
          <w:rFonts w:hint="eastAsia" w:ascii="彩虹粗仿宋" w:eastAsia="彩虹粗仿宋"/>
          <w:sz w:val="30"/>
        </w:rPr>
        <w:t>十九、托管协议的效力</w:t>
      </w:r>
      <w:bookmarkEnd w:id="109"/>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双方对托管协议的效力约定如下：</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一）基金管理人在向中国证监会申请基金募集注册时提交的托管协议草案，应经托管协议当事人双方加盖公章或合同专用章以及双方法定代表人或授权代表签章，协议当事人双方根据中国证监会的意见修改托管协议草案。托管协议以中国证监会注册的文本为正式文本。</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（二）托管协议自《基金合同》成立之日起成立，自《基金合同》生效之日起生效。托管协议的有效期自其生效之日起至基金财产清算结果报中国证监会备案并公告之日止。</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（三）托管协议自生效之日起对托管协议当事人具有同等的法律约束力。</w:t>
      </w:r>
    </w:p>
    <w:p>
      <w:pPr>
        <w:adjustRightInd w:val="0"/>
        <w:snapToGrid w:val="0"/>
        <w:ind w:firstLine="480" w:firstLineChars="200"/>
        <w:rPr>
          <w:rFonts w:ascii="彩虹粗仿宋" w:eastAsia="彩虹粗仿宋"/>
          <w:sz w:val="30"/>
          <w:szCs w:val="30"/>
        </w:rPr>
      </w:pPr>
      <w:r>
        <w:rPr>
          <w:rFonts w:hint="eastAsia" w:ascii="彩虹粗仿宋" w:hAnsi="宋体" w:eastAsia="彩虹粗仿宋" w:cs="Arial"/>
          <w:sz w:val="24"/>
        </w:rPr>
        <w:t>（四）本协议一式三份，协议双方各持一份，上报监管机构一份，每份具有同等的法律效力。</w:t>
      </w:r>
    </w:p>
    <w:p>
      <w:pPr>
        <w:adjustRightInd w:val="0"/>
        <w:snapToGrid w:val="0"/>
        <w:rPr>
          <w:rFonts w:ascii="彩虹粗仿宋" w:hAnsi="宋体" w:eastAsia="彩虹粗仿宋" w:cs="Arial"/>
          <w:sz w:val="24"/>
        </w:rPr>
      </w:pPr>
      <w:r>
        <w:rPr>
          <w:rFonts w:hint="eastAsia" w:ascii="彩虹粗仿宋" w:hAnsi="宋体" w:eastAsia="彩虹粗仿宋" w:cs="Arial"/>
          <w:sz w:val="24"/>
        </w:rPr>
        <w:br w:type="page"/>
      </w:r>
    </w:p>
    <w:p>
      <w:pPr>
        <w:pStyle w:val="2"/>
        <w:jc w:val="center"/>
        <w:rPr>
          <w:rFonts w:ascii="彩虹粗仿宋" w:eastAsia="彩虹粗仿宋"/>
          <w:sz w:val="30"/>
        </w:rPr>
      </w:pPr>
      <w:bookmarkStart w:id="110" w:name="_Toc124325904"/>
      <w:r>
        <w:rPr>
          <w:rFonts w:hint="eastAsia" w:ascii="彩虹粗仿宋" w:eastAsia="彩虹粗仿宋"/>
          <w:sz w:val="30"/>
        </w:rPr>
        <w:t>二十、其他事项</w:t>
      </w:r>
      <w:bookmarkEnd w:id="110"/>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如发生有权司法机关依法冻结基金份额持有人的基金份额时，基金管理人应予以配合，承担司法协助义务。</w:t>
      </w:r>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除本协议有明确定义外，本协议的用语定义适用《基金合同》的约定。本协议未尽事宜，当事人依据《基金合同》、有关法律法规等规定协商办理。</w:t>
      </w:r>
    </w:p>
    <w:p>
      <w:pPr>
        <w:adjustRightInd w:val="0"/>
        <w:snapToGrid w:val="0"/>
        <w:rPr>
          <w:rFonts w:ascii="彩虹粗仿宋" w:eastAsia="彩虹粗仿宋"/>
          <w:b/>
          <w:bCs/>
        </w:rPr>
      </w:pPr>
      <w:r>
        <w:rPr>
          <w:rFonts w:ascii="彩虹粗仿宋" w:eastAsia="彩虹粗仿宋"/>
          <w:b/>
          <w:bCs/>
        </w:rPr>
        <w:br w:type="page"/>
      </w:r>
    </w:p>
    <w:p>
      <w:pPr>
        <w:pStyle w:val="2"/>
        <w:jc w:val="center"/>
        <w:rPr>
          <w:rFonts w:ascii="彩虹粗仿宋" w:eastAsia="彩虹粗仿宋"/>
          <w:sz w:val="30"/>
        </w:rPr>
      </w:pPr>
      <w:bookmarkStart w:id="111" w:name="_Toc124325905"/>
      <w:r>
        <w:rPr>
          <w:rFonts w:hint="eastAsia" w:ascii="彩虹粗仿宋" w:eastAsia="彩虹粗仿宋"/>
          <w:sz w:val="30"/>
        </w:rPr>
        <w:t>二十一、托管协议的签订</w:t>
      </w:r>
      <w:bookmarkEnd w:id="111"/>
    </w:p>
    <w:p>
      <w:pPr>
        <w:adjustRightInd w:val="0"/>
        <w:snapToGrid w:val="0"/>
        <w:ind w:firstLine="480" w:firstLineChars="200"/>
        <w:rPr>
          <w:rFonts w:ascii="彩虹粗仿宋" w:hAnsi="宋体" w:eastAsia="彩虹粗仿宋" w:cs="Arial"/>
          <w:sz w:val="24"/>
        </w:rPr>
      </w:pPr>
      <w:r>
        <w:rPr>
          <w:rFonts w:hint="eastAsia" w:ascii="彩虹粗仿宋" w:hAnsi="宋体" w:eastAsia="彩虹粗仿宋" w:cs="Arial"/>
          <w:sz w:val="24"/>
        </w:rPr>
        <w:t>本协议双方法定代表人或授权代表签章、签订地、签订日。</w:t>
      </w:r>
    </w:p>
    <w:p>
      <w:bookmarkStart w:id="112" w:name="_GoBack"/>
      <w:bookmarkEnd w:id="112"/>
    </w:p>
    <w:sectPr>
      <w:headerReference r:id="rId6" w:type="default"/>
      <w:footerReference r:id="rId7" w:type="default"/>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彩虹粗仿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1</w:t>
    </w:r>
    <w:r>
      <w:rPr>
        <w:rStyle w:val="27"/>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7F"/>
    <w:rsid w:val="000024F9"/>
    <w:rsid w:val="0001406C"/>
    <w:rsid w:val="00025EBB"/>
    <w:rsid w:val="000300F8"/>
    <w:rsid w:val="00033697"/>
    <w:rsid w:val="00041B21"/>
    <w:rsid w:val="00043538"/>
    <w:rsid w:val="00052DD1"/>
    <w:rsid w:val="00055B8E"/>
    <w:rsid w:val="000648CA"/>
    <w:rsid w:val="000662BB"/>
    <w:rsid w:val="00073D24"/>
    <w:rsid w:val="000836E4"/>
    <w:rsid w:val="000841AB"/>
    <w:rsid w:val="00085734"/>
    <w:rsid w:val="0009125B"/>
    <w:rsid w:val="00092B02"/>
    <w:rsid w:val="000A0DC9"/>
    <w:rsid w:val="000A6320"/>
    <w:rsid w:val="000B6015"/>
    <w:rsid w:val="000B6BF5"/>
    <w:rsid w:val="000C0991"/>
    <w:rsid w:val="000C1DB4"/>
    <w:rsid w:val="000C6DA4"/>
    <w:rsid w:val="000F0982"/>
    <w:rsid w:val="000F5ED3"/>
    <w:rsid w:val="00100B98"/>
    <w:rsid w:val="00101C4A"/>
    <w:rsid w:val="001120C6"/>
    <w:rsid w:val="001125C9"/>
    <w:rsid w:val="00127259"/>
    <w:rsid w:val="00132C6D"/>
    <w:rsid w:val="00135594"/>
    <w:rsid w:val="0014099C"/>
    <w:rsid w:val="0015074B"/>
    <w:rsid w:val="00152C0B"/>
    <w:rsid w:val="00157D85"/>
    <w:rsid w:val="00166743"/>
    <w:rsid w:val="00170A79"/>
    <w:rsid w:val="00182010"/>
    <w:rsid w:val="00183903"/>
    <w:rsid w:val="0018537F"/>
    <w:rsid w:val="00197230"/>
    <w:rsid w:val="001A3187"/>
    <w:rsid w:val="001A3B29"/>
    <w:rsid w:val="001A7938"/>
    <w:rsid w:val="001C05A5"/>
    <w:rsid w:val="001C6E6F"/>
    <w:rsid w:val="001D76FC"/>
    <w:rsid w:val="001E22D6"/>
    <w:rsid w:val="001F7FB0"/>
    <w:rsid w:val="002003A2"/>
    <w:rsid w:val="002034B0"/>
    <w:rsid w:val="002126CB"/>
    <w:rsid w:val="00212970"/>
    <w:rsid w:val="002173F8"/>
    <w:rsid w:val="00225100"/>
    <w:rsid w:val="00227208"/>
    <w:rsid w:val="00230FA1"/>
    <w:rsid w:val="00232A1C"/>
    <w:rsid w:val="002358C1"/>
    <w:rsid w:val="00251A06"/>
    <w:rsid w:val="002576B3"/>
    <w:rsid w:val="002641D1"/>
    <w:rsid w:val="002675F3"/>
    <w:rsid w:val="002733AC"/>
    <w:rsid w:val="00274EA9"/>
    <w:rsid w:val="002825A4"/>
    <w:rsid w:val="0028293D"/>
    <w:rsid w:val="002978A1"/>
    <w:rsid w:val="002B4247"/>
    <w:rsid w:val="002C0D68"/>
    <w:rsid w:val="002D5562"/>
    <w:rsid w:val="002D5DBF"/>
    <w:rsid w:val="002D640A"/>
    <w:rsid w:val="002F25D1"/>
    <w:rsid w:val="00303FBE"/>
    <w:rsid w:val="00317983"/>
    <w:rsid w:val="00325859"/>
    <w:rsid w:val="00337499"/>
    <w:rsid w:val="00361048"/>
    <w:rsid w:val="003611B9"/>
    <w:rsid w:val="00363BA7"/>
    <w:rsid w:val="00374B04"/>
    <w:rsid w:val="003751D1"/>
    <w:rsid w:val="00383FBF"/>
    <w:rsid w:val="00385CEA"/>
    <w:rsid w:val="0039110D"/>
    <w:rsid w:val="003A4EEC"/>
    <w:rsid w:val="003B0719"/>
    <w:rsid w:val="003B1C14"/>
    <w:rsid w:val="003B46F9"/>
    <w:rsid w:val="003B7E82"/>
    <w:rsid w:val="003C43F7"/>
    <w:rsid w:val="003C59F7"/>
    <w:rsid w:val="003E1E8E"/>
    <w:rsid w:val="003E487D"/>
    <w:rsid w:val="003F009D"/>
    <w:rsid w:val="003F08E6"/>
    <w:rsid w:val="003F0D6B"/>
    <w:rsid w:val="00401831"/>
    <w:rsid w:val="004045F9"/>
    <w:rsid w:val="004070BF"/>
    <w:rsid w:val="004103A2"/>
    <w:rsid w:val="00415F65"/>
    <w:rsid w:val="004255B6"/>
    <w:rsid w:val="00433C78"/>
    <w:rsid w:val="0043423D"/>
    <w:rsid w:val="004569BE"/>
    <w:rsid w:val="004606C9"/>
    <w:rsid w:val="00465047"/>
    <w:rsid w:val="00470D80"/>
    <w:rsid w:val="00472D5F"/>
    <w:rsid w:val="004751BB"/>
    <w:rsid w:val="0047762F"/>
    <w:rsid w:val="004820FE"/>
    <w:rsid w:val="00485E00"/>
    <w:rsid w:val="004A1E71"/>
    <w:rsid w:val="004A2465"/>
    <w:rsid w:val="004A5DDE"/>
    <w:rsid w:val="004A6368"/>
    <w:rsid w:val="004A6717"/>
    <w:rsid w:val="004B3796"/>
    <w:rsid w:val="004C1330"/>
    <w:rsid w:val="004C19B4"/>
    <w:rsid w:val="004C1CF8"/>
    <w:rsid w:val="004C5190"/>
    <w:rsid w:val="004E101D"/>
    <w:rsid w:val="004E25EB"/>
    <w:rsid w:val="004E261F"/>
    <w:rsid w:val="004E6F8A"/>
    <w:rsid w:val="0050027A"/>
    <w:rsid w:val="00501CF4"/>
    <w:rsid w:val="00510EBA"/>
    <w:rsid w:val="00524420"/>
    <w:rsid w:val="00541761"/>
    <w:rsid w:val="00542BD6"/>
    <w:rsid w:val="005500B0"/>
    <w:rsid w:val="005612E5"/>
    <w:rsid w:val="005857F1"/>
    <w:rsid w:val="00591EB4"/>
    <w:rsid w:val="00593605"/>
    <w:rsid w:val="0059405A"/>
    <w:rsid w:val="005A2446"/>
    <w:rsid w:val="005C582C"/>
    <w:rsid w:val="005D129B"/>
    <w:rsid w:val="005D2018"/>
    <w:rsid w:val="005D61BE"/>
    <w:rsid w:val="005D6A9F"/>
    <w:rsid w:val="005D71F6"/>
    <w:rsid w:val="005E17DA"/>
    <w:rsid w:val="005E654C"/>
    <w:rsid w:val="005E7D65"/>
    <w:rsid w:val="005F3A20"/>
    <w:rsid w:val="005F4C60"/>
    <w:rsid w:val="00604F57"/>
    <w:rsid w:val="006126F0"/>
    <w:rsid w:val="00614F24"/>
    <w:rsid w:val="00616CEF"/>
    <w:rsid w:val="00626EC3"/>
    <w:rsid w:val="00634F7C"/>
    <w:rsid w:val="0063571B"/>
    <w:rsid w:val="006358B1"/>
    <w:rsid w:val="00642A8A"/>
    <w:rsid w:val="00645DC7"/>
    <w:rsid w:val="00654841"/>
    <w:rsid w:val="0065627F"/>
    <w:rsid w:val="00661CA3"/>
    <w:rsid w:val="006662E8"/>
    <w:rsid w:val="00676E2E"/>
    <w:rsid w:val="00685F8E"/>
    <w:rsid w:val="0068629F"/>
    <w:rsid w:val="00696283"/>
    <w:rsid w:val="006A5F59"/>
    <w:rsid w:val="006B13D5"/>
    <w:rsid w:val="006B4273"/>
    <w:rsid w:val="006C5D0A"/>
    <w:rsid w:val="006D0EA5"/>
    <w:rsid w:val="006D1861"/>
    <w:rsid w:val="006D197C"/>
    <w:rsid w:val="006E6864"/>
    <w:rsid w:val="006E7C25"/>
    <w:rsid w:val="006F0460"/>
    <w:rsid w:val="006F11F7"/>
    <w:rsid w:val="006F779C"/>
    <w:rsid w:val="007026D3"/>
    <w:rsid w:val="00710218"/>
    <w:rsid w:val="00726310"/>
    <w:rsid w:val="0073273A"/>
    <w:rsid w:val="00734FDC"/>
    <w:rsid w:val="0073607B"/>
    <w:rsid w:val="0074065C"/>
    <w:rsid w:val="0075591A"/>
    <w:rsid w:val="00755C13"/>
    <w:rsid w:val="00765ED3"/>
    <w:rsid w:val="007721C3"/>
    <w:rsid w:val="007748AD"/>
    <w:rsid w:val="00775F3A"/>
    <w:rsid w:val="00795194"/>
    <w:rsid w:val="007A5C83"/>
    <w:rsid w:val="007C268E"/>
    <w:rsid w:val="007D6157"/>
    <w:rsid w:val="007F3D68"/>
    <w:rsid w:val="007F619B"/>
    <w:rsid w:val="007F62F9"/>
    <w:rsid w:val="0080732A"/>
    <w:rsid w:val="00816B6A"/>
    <w:rsid w:val="00820193"/>
    <w:rsid w:val="00820591"/>
    <w:rsid w:val="008236A5"/>
    <w:rsid w:val="0083046C"/>
    <w:rsid w:val="008350E5"/>
    <w:rsid w:val="008372F0"/>
    <w:rsid w:val="00837402"/>
    <w:rsid w:val="0084553F"/>
    <w:rsid w:val="00847DD3"/>
    <w:rsid w:val="00850426"/>
    <w:rsid w:val="008556EA"/>
    <w:rsid w:val="0085689A"/>
    <w:rsid w:val="00861B45"/>
    <w:rsid w:val="008675B8"/>
    <w:rsid w:val="0087125E"/>
    <w:rsid w:val="00872089"/>
    <w:rsid w:val="0087572E"/>
    <w:rsid w:val="00875BA4"/>
    <w:rsid w:val="008830A6"/>
    <w:rsid w:val="008A1CEC"/>
    <w:rsid w:val="008A794F"/>
    <w:rsid w:val="008B112F"/>
    <w:rsid w:val="008C0954"/>
    <w:rsid w:val="008C0AC9"/>
    <w:rsid w:val="008C288B"/>
    <w:rsid w:val="008D4509"/>
    <w:rsid w:val="008E0BAD"/>
    <w:rsid w:val="008F08D7"/>
    <w:rsid w:val="008F23A8"/>
    <w:rsid w:val="00906B21"/>
    <w:rsid w:val="00912F8C"/>
    <w:rsid w:val="0091304D"/>
    <w:rsid w:val="00913A29"/>
    <w:rsid w:val="0091596D"/>
    <w:rsid w:val="009204E9"/>
    <w:rsid w:val="00925B14"/>
    <w:rsid w:val="00927782"/>
    <w:rsid w:val="00934AF7"/>
    <w:rsid w:val="0093578F"/>
    <w:rsid w:val="00937DD4"/>
    <w:rsid w:val="00940F19"/>
    <w:rsid w:val="009428F5"/>
    <w:rsid w:val="00945F53"/>
    <w:rsid w:val="00953FA5"/>
    <w:rsid w:val="0096118B"/>
    <w:rsid w:val="009658E9"/>
    <w:rsid w:val="00976406"/>
    <w:rsid w:val="00981311"/>
    <w:rsid w:val="00991CCD"/>
    <w:rsid w:val="009A0D80"/>
    <w:rsid w:val="009B16A7"/>
    <w:rsid w:val="009C0DCA"/>
    <w:rsid w:val="009D60E2"/>
    <w:rsid w:val="009D76C4"/>
    <w:rsid w:val="009F2F01"/>
    <w:rsid w:val="009F37FC"/>
    <w:rsid w:val="009F384A"/>
    <w:rsid w:val="009F3C24"/>
    <w:rsid w:val="009F59DC"/>
    <w:rsid w:val="00A0148C"/>
    <w:rsid w:val="00A018D7"/>
    <w:rsid w:val="00A01AEB"/>
    <w:rsid w:val="00A02B86"/>
    <w:rsid w:val="00A07787"/>
    <w:rsid w:val="00A123EA"/>
    <w:rsid w:val="00A15A53"/>
    <w:rsid w:val="00A205AC"/>
    <w:rsid w:val="00A21157"/>
    <w:rsid w:val="00A21645"/>
    <w:rsid w:val="00A2272D"/>
    <w:rsid w:val="00A24D34"/>
    <w:rsid w:val="00A24F7D"/>
    <w:rsid w:val="00A262F2"/>
    <w:rsid w:val="00A3293E"/>
    <w:rsid w:val="00A36003"/>
    <w:rsid w:val="00A42BAB"/>
    <w:rsid w:val="00A5062F"/>
    <w:rsid w:val="00A6029A"/>
    <w:rsid w:val="00A606FD"/>
    <w:rsid w:val="00A631A6"/>
    <w:rsid w:val="00A72217"/>
    <w:rsid w:val="00A7255A"/>
    <w:rsid w:val="00A74063"/>
    <w:rsid w:val="00A74228"/>
    <w:rsid w:val="00A82D35"/>
    <w:rsid w:val="00A83C38"/>
    <w:rsid w:val="00A843F4"/>
    <w:rsid w:val="00A8441F"/>
    <w:rsid w:val="00A875F7"/>
    <w:rsid w:val="00A935EA"/>
    <w:rsid w:val="00A936A1"/>
    <w:rsid w:val="00A94911"/>
    <w:rsid w:val="00A965E8"/>
    <w:rsid w:val="00A976C3"/>
    <w:rsid w:val="00AB1BE8"/>
    <w:rsid w:val="00AB22F2"/>
    <w:rsid w:val="00AB23A9"/>
    <w:rsid w:val="00AB29B7"/>
    <w:rsid w:val="00AB76AF"/>
    <w:rsid w:val="00AC2F84"/>
    <w:rsid w:val="00AC49F0"/>
    <w:rsid w:val="00AC7AEA"/>
    <w:rsid w:val="00AD1C13"/>
    <w:rsid w:val="00AD21CA"/>
    <w:rsid w:val="00AD2EC8"/>
    <w:rsid w:val="00AE6600"/>
    <w:rsid w:val="00AF40D0"/>
    <w:rsid w:val="00AF56E4"/>
    <w:rsid w:val="00B02378"/>
    <w:rsid w:val="00B03B7A"/>
    <w:rsid w:val="00B069F6"/>
    <w:rsid w:val="00B14F0A"/>
    <w:rsid w:val="00B21824"/>
    <w:rsid w:val="00B2400F"/>
    <w:rsid w:val="00B261D1"/>
    <w:rsid w:val="00B34E98"/>
    <w:rsid w:val="00B34FD6"/>
    <w:rsid w:val="00B352DE"/>
    <w:rsid w:val="00B41827"/>
    <w:rsid w:val="00B51686"/>
    <w:rsid w:val="00B53BDB"/>
    <w:rsid w:val="00B629DF"/>
    <w:rsid w:val="00B649FE"/>
    <w:rsid w:val="00B655B5"/>
    <w:rsid w:val="00B778DE"/>
    <w:rsid w:val="00B77E96"/>
    <w:rsid w:val="00B8225A"/>
    <w:rsid w:val="00B8237D"/>
    <w:rsid w:val="00B834F1"/>
    <w:rsid w:val="00B84672"/>
    <w:rsid w:val="00B876E3"/>
    <w:rsid w:val="00B9408B"/>
    <w:rsid w:val="00BA27AF"/>
    <w:rsid w:val="00BA35F4"/>
    <w:rsid w:val="00BA6047"/>
    <w:rsid w:val="00BC43DE"/>
    <w:rsid w:val="00BD039F"/>
    <w:rsid w:val="00BD1268"/>
    <w:rsid w:val="00BD587D"/>
    <w:rsid w:val="00BD6BC7"/>
    <w:rsid w:val="00BE3E42"/>
    <w:rsid w:val="00BF0ADF"/>
    <w:rsid w:val="00BF1608"/>
    <w:rsid w:val="00BF7A74"/>
    <w:rsid w:val="00C11B14"/>
    <w:rsid w:val="00C127A4"/>
    <w:rsid w:val="00C16971"/>
    <w:rsid w:val="00C25C70"/>
    <w:rsid w:val="00C5268F"/>
    <w:rsid w:val="00C52B29"/>
    <w:rsid w:val="00C63E51"/>
    <w:rsid w:val="00C73F74"/>
    <w:rsid w:val="00C803D7"/>
    <w:rsid w:val="00C81BFA"/>
    <w:rsid w:val="00C81E0C"/>
    <w:rsid w:val="00C8374D"/>
    <w:rsid w:val="00C8703E"/>
    <w:rsid w:val="00C90423"/>
    <w:rsid w:val="00C92E3C"/>
    <w:rsid w:val="00C93092"/>
    <w:rsid w:val="00CA48AF"/>
    <w:rsid w:val="00CC4D9B"/>
    <w:rsid w:val="00CD0043"/>
    <w:rsid w:val="00CD6844"/>
    <w:rsid w:val="00CD75A2"/>
    <w:rsid w:val="00CE7F41"/>
    <w:rsid w:val="00D00251"/>
    <w:rsid w:val="00D04D71"/>
    <w:rsid w:val="00D07800"/>
    <w:rsid w:val="00D112D4"/>
    <w:rsid w:val="00D1676A"/>
    <w:rsid w:val="00D228C0"/>
    <w:rsid w:val="00D25BFB"/>
    <w:rsid w:val="00D318C1"/>
    <w:rsid w:val="00D33B26"/>
    <w:rsid w:val="00D33B2F"/>
    <w:rsid w:val="00D37EB8"/>
    <w:rsid w:val="00D53A68"/>
    <w:rsid w:val="00D558E4"/>
    <w:rsid w:val="00D561E3"/>
    <w:rsid w:val="00D56649"/>
    <w:rsid w:val="00D60AA8"/>
    <w:rsid w:val="00D64C37"/>
    <w:rsid w:val="00D654BA"/>
    <w:rsid w:val="00D65C0B"/>
    <w:rsid w:val="00D703F1"/>
    <w:rsid w:val="00D807A4"/>
    <w:rsid w:val="00D83EAA"/>
    <w:rsid w:val="00D86008"/>
    <w:rsid w:val="00D87A49"/>
    <w:rsid w:val="00D92AF5"/>
    <w:rsid w:val="00D94781"/>
    <w:rsid w:val="00D96E50"/>
    <w:rsid w:val="00D976A5"/>
    <w:rsid w:val="00DA05A2"/>
    <w:rsid w:val="00DA0D37"/>
    <w:rsid w:val="00DA356F"/>
    <w:rsid w:val="00DA48BB"/>
    <w:rsid w:val="00DB0AC5"/>
    <w:rsid w:val="00DB1C9C"/>
    <w:rsid w:val="00DB37BB"/>
    <w:rsid w:val="00DC0C12"/>
    <w:rsid w:val="00DD4E54"/>
    <w:rsid w:val="00DD6CE1"/>
    <w:rsid w:val="00DE0E6F"/>
    <w:rsid w:val="00DE3B79"/>
    <w:rsid w:val="00DF2E52"/>
    <w:rsid w:val="00DF3A43"/>
    <w:rsid w:val="00DF68BF"/>
    <w:rsid w:val="00DF746E"/>
    <w:rsid w:val="00E05376"/>
    <w:rsid w:val="00E05F79"/>
    <w:rsid w:val="00E10C87"/>
    <w:rsid w:val="00E23A8F"/>
    <w:rsid w:val="00E428D0"/>
    <w:rsid w:val="00E45033"/>
    <w:rsid w:val="00E538B1"/>
    <w:rsid w:val="00E54677"/>
    <w:rsid w:val="00E57446"/>
    <w:rsid w:val="00E66576"/>
    <w:rsid w:val="00E80E3B"/>
    <w:rsid w:val="00E937EB"/>
    <w:rsid w:val="00E95ECD"/>
    <w:rsid w:val="00EA159F"/>
    <w:rsid w:val="00EA2E84"/>
    <w:rsid w:val="00EA3141"/>
    <w:rsid w:val="00EA6276"/>
    <w:rsid w:val="00EA748B"/>
    <w:rsid w:val="00EA773B"/>
    <w:rsid w:val="00EB4102"/>
    <w:rsid w:val="00EC1FA8"/>
    <w:rsid w:val="00EC2B4D"/>
    <w:rsid w:val="00EC2E22"/>
    <w:rsid w:val="00EC5CDF"/>
    <w:rsid w:val="00ED5708"/>
    <w:rsid w:val="00EE2BE5"/>
    <w:rsid w:val="00EF1406"/>
    <w:rsid w:val="00EF5CF7"/>
    <w:rsid w:val="00F073EB"/>
    <w:rsid w:val="00F078D6"/>
    <w:rsid w:val="00F14341"/>
    <w:rsid w:val="00F14CCF"/>
    <w:rsid w:val="00F1565E"/>
    <w:rsid w:val="00F21C11"/>
    <w:rsid w:val="00F2367B"/>
    <w:rsid w:val="00F31816"/>
    <w:rsid w:val="00F326EC"/>
    <w:rsid w:val="00F359CE"/>
    <w:rsid w:val="00F365A0"/>
    <w:rsid w:val="00F422C5"/>
    <w:rsid w:val="00F44A5D"/>
    <w:rsid w:val="00F46567"/>
    <w:rsid w:val="00F5410E"/>
    <w:rsid w:val="00F57A45"/>
    <w:rsid w:val="00F61D4D"/>
    <w:rsid w:val="00F74812"/>
    <w:rsid w:val="00F82EE2"/>
    <w:rsid w:val="00F838E9"/>
    <w:rsid w:val="00F85C9E"/>
    <w:rsid w:val="00F86473"/>
    <w:rsid w:val="00F8744B"/>
    <w:rsid w:val="00F94D1D"/>
    <w:rsid w:val="00F95D93"/>
    <w:rsid w:val="00FA1D61"/>
    <w:rsid w:val="00FB2B2E"/>
    <w:rsid w:val="00FB32B5"/>
    <w:rsid w:val="00FB379E"/>
    <w:rsid w:val="00FB54E5"/>
    <w:rsid w:val="00FC47DF"/>
    <w:rsid w:val="00FC54E9"/>
    <w:rsid w:val="00FC71A4"/>
    <w:rsid w:val="00FC7518"/>
    <w:rsid w:val="00FD049E"/>
    <w:rsid w:val="00FD05C9"/>
    <w:rsid w:val="00FD251F"/>
    <w:rsid w:val="00FD3720"/>
    <w:rsid w:val="00FD7C80"/>
    <w:rsid w:val="00FF238E"/>
    <w:rsid w:val="00FF4309"/>
    <w:rsid w:val="00FF6DF9"/>
    <w:rsid w:val="057F13E1"/>
    <w:rsid w:val="067F1764"/>
    <w:rsid w:val="07C0531E"/>
    <w:rsid w:val="0A1654D3"/>
    <w:rsid w:val="133E0D40"/>
    <w:rsid w:val="24BC32DA"/>
    <w:rsid w:val="285577CD"/>
    <w:rsid w:val="2C3A210E"/>
    <w:rsid w:val="39B72789"/>
    <w:rsid w:val="3A830B88"/>
    <w:rsid w:val="4CE83DF2"/>
    <w:rsid w:val="51446922"/>
    <w:rsid w:val="54FA013D"/>
    <w:rsid w:val="7B4264FD"/>
    <w:rsid w:val="7E964237"/>
    <w:rsid w:val="7EF47450"/>
    <w:rsid w:val="7FB40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4"/>
      <w:lang w:val="en-US" w:eastAsia="zh-CN" w:bidi="ar-SA"/>
    </w:rPr>
  </w:style>
  <w:style w:type="paragraph" w:styleId="2">
    <w:name w:val="heading 2"/>
    <w:basedOn w:val="1"/>
    <w:next w:val="3"/>
    <w:link w:val="31"/>
    <w:qFormat/>
    <w:uiPriority w:val="0"/>
    <w:pPr>
      <w:keepNext/>
      <w:keepLines/>
      <w:spacing w:before="260" w:after="260" w:line="416" w:lineRule="auto"/>
      <w:outlineLvl w:val="1"/>
    </w:pPr>
    <w:rPr>
      <w:rFonts w:ascii="Arial" w:hAnsi="Arial" w:eastAsia="黑体"/>
      <w:b/>
      <w:sz w:val="32"/>
      <w:szCs w:val="20"/>
    </w:rPr>
  </w:style>
  <w:style w:type="character" w:default="1" w:styleId="25">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toc 7"/>
    <w:basedOn w:val="1"/>
    <w:next w:val="1"/>
    <w:semiHidden/>
    <w:qFormat/>
    <w:uiPriority w:val="0"/>
    <w:pPr>
      <w:ind w:left="2520" w:leftChars="1200"/>
    </w:pPr>
  </w:style>
  <w:style w:type="paragraph" w:styleId="5">
    <w:name w:val="annotation text"/>
    <w:basedOn w:val="1"/>
    <w:link w:val="32"/>
    <w:qFormat/>
    <w:uiPriority w:val="0"/>
    <w:pPr>
      <w:jc w:val="left"/>
    </w:pPr>
  </w:style>
  <w:style w:type="paragraph" w:styleId="6">
    <w:name w:val="Body Text"/>
    <w:basedOn w:val="1"/>
    <w:link w:val="33"/>
    <w:qFormat/>
    <w:uiPriority w:val="0"/>
    <w:pPr>
      <w:spacing w:line="360" w:lineRule="auto"/>
    </w:pPr>
    <w:rPr>
      <w:rFonts w:ascii="仿宋_GB2312" w:eastAsia="仿宋_GB2312"/>
      <w:color w:val="000000"/>
      <w:kern w:val="0"/>
      <w:sz w:val="24"/>
      <w:szCs w:val="28"/>
    </w:rPr>
  </w:style>
  <w:style w:type="paragraph" w:styleId="7">
    <w:name w:val="Body Text Indent"/>
    <w:basedOn w:val="1"/>
    <w:link w:val="34"/>
    <w:qFormat/>
    <w:uiPriority w:val="0"/>
    <w:pPr>
      <w:adjustRightInd w:val="0"/>
      <w:snapToGrid w:val="0"/>
      <w:spacing w:line="560" w:lineRule="exact"/>
      <w:ind w:firstLine="480" w:firstLineChars="200"/>
    </w:pPr>
    <w:rPr>
      <w:rFonts w:eastAsia="方正仿宋简体"/>
      <w:sz w:val="24"/>
      <w:szCs w:val="30"/>
    </w:rPr>
  </w:style>
  <w:style w:type="paragraph" w:styleId="8">
    <w:name w:val="toc 5"/>
    <w:basedOn w:val="1"/>
    <w:next w:val="1"/>
    <w:semiHidden/>
    <w:qFormat/>
    <w:uiPriority w:val="0"/>
    <w:pPr>
      <w:ind w:left="1680" w:leftChars="800"/>
    </w:pPr>
  </w:style>
  <w:style w:type="paragraph" w:styleId="9">
    <w:name w:val="toc 3"/>
    <w:basedOn w:val="1"/>
    <w:next w:val="1"/>
    <w:semiHidden/>
    <w:qFormat/>
    <w:uiPriority w:val="0"/>
    <w:pPr>
      <w:ind w:left="840" w:leftChars="400"/>
    </w:pPr>
  </w:style>
  <w:style w:type="paragraph" w:styleId="10">
    <w:name w:val="toc 8"/>
    <w:basedOn w:val="1"/>
    <w:next w:val="1"/>
    <w:semiHidden/>
    <w:qFormat/>
    <w:uiPriority w:val="0"/>
    <w:pPr>
      <w:ind w:left="2940" w:leftChars="1400"/>
    </w:pPr>
  </w:style>
  <w:style w:type="paragraph" w:styleId="11">
    <w:name w:val="Body Text Indent 2"/>
    <w:basedOn w:val="1"/>
    <w:link w:val="35"/>
    <w:qFormat/>
    <w:uiPriority w:val="0"/>
    <w:pPr>
      <w:spacing w:line="360" w:lineRule="auto"/>
      <w:ind w:firstLine="525"/>
    </w:pPr>
    <w:rPr>
      <w:rFonts w:ascii="宋体" w:hAnsi="宋体"/>
      <w:sz w:val="28"/>
      <w:szCs w:val="20"/>
    </w:rPr>
  </w:style>
  <w:style w:type="paragraph" w:styleId="12">
    <w:name w:val="Balloon Text"/>
    <w:basedOn w:val="1"/>
    <w:link w:val="36"/>
    <w:semiHidden/>
    <w:qFormat/>
    <w:uiPriority w:val="0"/>
    <w:rPr>
      <w:sz w:val="18"/>
      <w:szCs w:val="18"/>
    </w:rPr>
  </w:style>
  <w:style w:type="paragraph" w:styleId="13">
    <w:name w:val="footer"/>
    <w:basedOn w:val="1"/>
    <w:link w:val="37"/>
    <w:unhideWhenUsed/>
    <w:qFormat/>
    <w:uiPriority w:val="0"/>
    <w:pPr>
      <w:tabs>
        <w:tab w:val="center" w:pos="4153"/>
        <w:tab w:val="right" w:pos="8306"/>
      </w:tabs>
      <w:snapToGrid w:val="0"/>
      <w:jc w:val="left"/>
    </w:pPr>
    <w:rPr>
      <w:sz w:val="18"/>
      <w:szCs w:val="18"/>
    </w:rPr>
  </w:style>
  <w:style w:type="paragraph" w:styleId="14">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qFormat/>
    <w:uiPriority w:val="0"/>
  </w:style>
  <w:style w:type="paragraph" w:styleId="16">
    <w:name w:val="toc 4"/>
    <w:basedOn w:val="1"/>
    <w:next w:val="1"/>
    <w:semiHidden/>
    <w:qFormat/>
    <w:uiPriority w:val="0"/>
    <w:pPr>
      <w:ind w:left="1260" w:leftChars="600"/>
    </w:pPr>
  </w:style>
  <w:style w:type="paragraph" w:styleId="17">
    <w:name w:val="toc 6"/>
    <w:basedOn w:val="1"/>
    <w:next w:val="1"/>
    <w:semiHidden/>
    <w:qFormat/>
    <w:uiPriority w:val="0"/>
    <w:pPr>
      <w:ind w:left="2100" w:leftChars="1000"/>
    </w:pPr>
  </w:style>
  <w:style w:type="paragraph" w:styleId="18">
    <w:name w:val="Body Text Indent 3"/>
    <w:basedOn w:val="1"/>
    <w:link w:val="39"/>
    <w:qFormat/>
    <w:uiPriority w:val="0"/>
    <w:pPr>
      <w:adjustRightInd w:val="0"/>
      <w:snapToGrid w:val="0"/>
      <w:ind w:firstLine="480" w:firstLineChars="200"/>
    </w:pPr>
    <w:rPr>
      <w:rFonts w:ascii="仿宋_GB2312" w:hAnsi="宋体" w:eastAsia="仿宋_GB2312" w:cs="Arial"/>
      <w:color w:val="000000"/>
      <w:sz w:val="24"/>
    </w:rPr>
  </w:style>
  <w:style w:type="paragraph" w:styleId="19">
    <w:name w:val="toc 2"/>
    <w:basedOn w:val="1"/>
    <w:next w:val="1"/>
    <w:semiHidden/>
    <w:qFormat/>
    <w:uiPriority w:val="0"/>
    <w:pPr>
      <w:ind w:left="420" w:leftChars="200"/>
    </w:pPr>
  </w:style>
  <w:style w:type="paragraph" w:styleId="20">
    <w:name w:val="toc 9"/>
    <w:basedOn w:val="1"/>
    <w:next w:val="1"/>
    <w:semiHidden/>
    <w:qFormat/>
    <w:uiPriority w:val="0"/>
    <w:pPr>
      <w:ind w:left="3360" w:leftChars="1600"/>
    </w:pPr>
  </w:style>
  <w:style w:type="paragraph" w:styleId="21">
    <w:name w:val="HTML Preformatted"/>
    <w:basedOn w:val="1"/>
    <w:link w:val="4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2">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23">
    <w:name w:val="annotation subject"/>
    <w:basedOn w:val="5"/>
    <w:next w:val="5"/>
    <w:link w:val="41"/>
    <w:qFormat/>
    <w:uiPriority w:val="0"/>
    <w:rPr>
      <w:b/>
      <w:bCs/>
    </w:rPr>
  </w:style>
  <w:style w:type="character" w:styleId="26">
    <w:name w:val="Strong"/>
    <w:qFormat/>
    <w:uiPriority w:val="0"/>
    <w:rPr>
      <w:b/>
      <w:bCs/>
    </w:rPr>
  </w:style>
  <w:style w:type="character" w:styleId="27">
    <w:name w:val="page number"/>
    <w:qFormat/>
    <w:uiPriority w:val="0"/>
  </w:style>
  <w:style w:type="character" w:styleId="28">
    <w:name w:val="FollowedHyperlink"/>
    <w:unhideWhenUsed/>
    <w:qFormat/>
    <w:uiPriority w:val="99"/>
    <w:rPr>
      <w:color w:val="800080"/>
      <w:u w:val="single"/>
    </w:rPr>
  </w:style>
  <w:style w:type="character" w:styleId="29">
    <w:name w:val="Hyperlink"/>
    <w:qFormat/>
    <w:uiPriority w:val="0"/>
    <w:rPr>
      <w:color w:val="0000FF"/>
      <w:u w:val="single"/>
    </w:rPr>
  </w:style>
  <w:style w:type="character" w:styleId="30">
    <w:name w:val="annotation reference"/>
    <w:qFormat/>
    <w:uiPriority w:val="0"/>
    <w:rPr>
      <w:sz w:val="21"/>
      <w:szCs w:val="21"/>
    </w:rPr>
  </w:style>
  <w:style w:type="character" w:customStyle="1" w:styleId="31">
    <w:name w:val="标题 2 字符1"/>
    <w:link w:val="2"/>
    <w:qFormat/>
    <w:uiPriority w:val="0"/>
    <w:rPr>
      <w:rFonts w:ascii="Arial" w:hAnsi="Arial" w:eastAsia="黑体" w:cs="Times New Roman"/>
      <w:b/>
      <w:sz w:val="32"/>
      <w:szCs w:val="20"/>
    </w:rPr>
  </w:style>
  <w:style w:type="character" w:customStyle="1" w:styleId="32">
    <w:name w:val="批注文字 字符2"/>
    <w:link w:val="5"/>
    <w:qFormat/>
    <w:uiPriority w:val="0"/>
    <w:rPr>
      <w:rFonts w:ascii="Times New Roman" w:hAnsi="Times New Roman" w:eastAsia="宋体" w:cs="Times New Roman"/>
      <w:szCs w:val="24"/>
    </w:rPr>
  </w:style>
  <w:style w:type="character" w:customStyle="1" w:styleId="33">
    <w:name w:val="正文文本 字符1"/>
    <w:link w:val="6"/>
    <w:qFormat/>
    <w:uiPriority w:val="0"/>
    <w:rPr>
      <w:rFonts w:ascii="仿宋_GB2312" w:hAnsi="Times New Roman" w:eastAsia="仿宋_GB2312" w:cs="Times New Roman"/>
      <w:color w:val="000000"/>
      <w:kern w:val="0"/>
      <w:sz w:val="24"/>
      <w:szCs w:val="28"/>
    </w:rPr>
  </w:style>
  <w:style w:type="character" w:customStyle="1" w:styleId="34">
    <w:name w:val="正文文本缩进 字符1"/>
    <w:link w:val="7"/>
    <w:qFormat/>
    <w:uiPriority w:val="0"/>
    <w:rPr>
      <w:rFonts w:ascii="Times New Roman" w:hAnsi="Times New Roman" w:eastAsia="方正仿宋简体" w:cs="Times New Roman"/>
      <w:sz w:val="24"/>
      <w:szCs w:val="30"/>
    </w:rPr>
  </w:style>
  <w:style w:type="character" w:customStyle="1" w:styleId="35">
    <w:name w:val="正文文本缩进 2 字符1"/>
    <w:link w:val="11"/>
    <w:qFormat/>
    <w:uiPriority w:val="0"/>
    <w:rPr>
      <w:rFonts w:ascii="宋体" w:hAnsi="宋体" w:eastAsia="宋体" w:cs="Times New Roman"/>
      <w:sz w:val="28"/>
      <w:szCs w:val="20"/>
    </w:rPr>
  </w:style>
  <w:style w:type="character" w:customStyle="1" w:styleId="36">
    <w:name w:val="批注框文本 字符1"/>
    <w:link w:val="12"/>
    <w:semiHidden/>
    <w:qFormat/>
    <w:uiPriority w:val="0"/>
    <w:rPr>
      <w:rFonts w:ascii="Times New Roman" w:hAnsi="Times New Roman" w:eastAsia="宋体" w:cs="Times New Roman"/>
      <w:sz w:val="18"/>
      <w:szCs w:val="18"/>
    </w:rPr>
  </w:style>
  <w:style w:type="character" w:customStyle="1" w:styleId="37">
    <w:name w:val="页脚 字符"/>
    <w:link w:val="13"/>
    <w:qFormat/>
    <w:uiPriority w:val="99"/>
    <w:rPr>
      <w:sz w:val="18"/>
      <w:szCs w:val="18"/>
    </w:rPr>
  </w:style>
  <w:style w:type="character" w:customStyle="1" w:styleId="38">
    <w:name w:val="页眉 字符"/>
    <w:link w:val="14"/>
    <w:qFormat/>
    <w:uiPriority w:val="99"/>
    <w:rPr>
      <w:sz w:val="18"/>
      <w:szCs w:val="18"/>
    </w:rPr>
  </w:style>
  <w:style w:type="character" w:customStyle="1" w:styleId="39">
    <w:name w:val="正文文本缩进 3 字符1"/>
    <w:link w:val="18"/>
    <w:qFormat/>
    <w:uiPriority w:val="0"/>
    <w:rPr>
      <w:rFonts w:ascii="仿宋_GB2312" w:hAnsi="宋体" w:eastAsia="仿宋_GB2312" w:cs="Arial"/>
      <w:color w:val="000000"/>
      <w:sz w:val="24"/>
      <w:szCs w:val="24"/>
    </w:rPr>
  </w:style>
  <w:style w:type="character" w:customStyle="1" w:styleId="40">
    <w:name w:val="HTML 预设格式 字符1"/>
    <w:link w:val="21"/>
    <w:qFormat/>
    <w:uiPriority w:val="99"/>
    <w:rPr>
      <w:rFonts w:ascii="宋体" w:hAnsi="宋体" w:eastAsia="宋体" w:cs="宋体"/>
      <w:kern w:val="0"/>
      <w:sz w:val="24"/>
      <w:szCs w:val="24"/>
    </w:rPr>
  </w:style>
  <w:style w:type="character" w:customStyle="1" w:styleId="41">
    <w:name w:val="批注主题 字符1"/>
    <w:link w:val="23"/>
    <w:qFormat/>
    <w:uiPriority w:val="0"/>
    <w:rPr>
      <w:rFonts w:ascii="Times New Roman" w:hAnsi="Times New Roman" w:eastAsia="宋体" w:cs="Times New Roman"/>
      <w:b/>
      <w:bCs/>
      <w:szCs w:val="24"/>
    </w:rPr>
  </w:style>
  <w:style w:type="character" w:customStyle="1" w:styleId="42">
    <w:name w:val="批注文字 字符1"/>
    <w:qFormat/>
    <w:uiPriority w:val="0"/>
    <w:rPr>
      <w:rFonts w:ascii="Times New Roman" w:hAnsi="Times New Roman" w:eastAsia="宋体" w:cs="Times New Roman"/>
      <w:szCs w:val="24"/>
    </w:rPr>
  </w:style>
  <w:style w:type="character" w:customStyle="1" w:styleId="43">
    <w:name w:val="标题 2 字符"/>
    <w:semiHidden/>
    <w:qFormat/>
    <w:uiPriority w:val="9"/>
    <w:rPr>
      <w:rFonts w:ascii="等线 Light" w:hAnsi="等线 Light" w:eastAsia="等线 Light" w:cs="Times New Roman"/>
      <w:b/>
      <w:bCs/>
      <w:sz w:val="32"/>
      <w:szCs w:val="32"/>
    </w:rPr>
  </w:style>
  <w:style w:type="character" w:customStyle="1" w:styleId="44">
    <w:name w:val="正文文本缩进 3 字符"/>
    <w:semiHidden/>
    <w:qFormat/>
    <w:uiPriority w:val="99"/>
    <w:rPr>
      <w:rFonts w:ascii="Times New Roman" w:hAnsi="Times New Roman" w:eastAsia="宋体" w:cs="Times New Roman"/>
      <w:sz w:val="16"/>
      <w:szCs w:val="16"/>
    </w:rPr>
  </w:style>
  <w:style w:type="character" w:customStyle="1" w:styleId="45">
    <w:name w:val="正文文本缩进 字符"/>
    <w:semiHidden/>
    <w:qFormat/>
    <w:uiPriority w:val="99"/>
    <w:rPr>
      <w:rFonts w:ascii="Times New Roman" w:hAnsi="Times New Roman" w:eastAsia="宋体" w:cs="Times New Roman"/>
      <w:szCs w:val="24"/>
    </w:rPr>
  </w:style>
  <w:style w:type="character" w:customStyle="1" w:styleId="46">
    <w:name w:val="批注主题 字符"/>
    <w:semiHidden/>
    <w:qFormat/>
    <w:uiPriority w:val="99"/>
    <w:rPr>
      <w:rFonts w:ascii="Times New Roman" w:hAnsi="Times New Roman" w:eastAsia="宋体" w:cs="Times New Roman"/>
      <w:b/>
      <w:bCs/>
      <w:szCs w:val="24"/>
    </w:rPr>
  </w:style>
  <w:style w:type="character" w:customStyle="1" w:styleId="47">
    <w:name w:val="批注框文本 字符"/>
    <w:semiHidden/>
    <w:qFormat/>
    <w:uiPriority w:val="99"/>
    <w:rPr>
      <w:rFonts w:ascii="Times New Roman" w:hAnsi="Times New Roman" w:eastAsia="宋体" w:cs="Times New Roman"/>
      <w:sz w:val="18"/>
      <w:szCs w:val="18"/>
    </w:rPr>
  </w:style>
  <w:style w:type="character" w:customStyle="1" w:styleId="48">
    <w:name w:val="批注文字 Char1"/>
    <w:qFormat/>
    <w:uiPriority w:val="0"/>
    <w:rPr>
      <w:rFonts w:ascii="Times New Roman" w:hAnsi="Times New Roman" w:eastAsia="宋体" w:cs="Times New Roman"/>
      <w:szCs w:val="24"/>
    </w:rPr>
  </w:style>
  <w:style w:type="character" w:customStyle="1" w:styleId="49">
    <w:name w:val="批注文字 字符"/>
    <w:semiHidden/>
    <w:qFormat/>
    <w:uiPriority w:val="0"/>
    <w:rPr>
      <w:rFonts w:ascii="Times New Roman" w:hAnsi="Times New Roman" w:eastAsia="宋体" w:cs="Times New Roman"/>
      <w:szCs w:val="24"/>
    </w:rPr>
  </w:style>
  <w:style w:type="character" w:customStyle="1" w:styleId="50">
    <w:name w:val="read"/>
    <w:qFormat/>
    <w:uiPriority w:val="0"/>
  </w:style>
  <w:style w:type="character" w:customStyle="1" w:styleId="51">
    <w:name w:val="HTML 预设格式 字符"/>
    <w:semiHidden/>
    <w:qFormat/>
    <w:uiPriority w:val="99"/>
    <w:rPr>
      <w:rFonts w:ascii="Courier New" w:hAnsi="Courier New" w:eastAsia="宋体" w:cs="Courier New"/>
      <w:sz w:val="20"/>
      <w:szCs w:val="20"/>
    </w:rPr>
  </w:style>
  <w:style w:type="character" w:customStyle="1" w:styleId="52">
    <w:name w:val="正文文本缩进 2 字符"/>
    <w:semiHidden/>
    <w:qFormat/>
    <w:uiPriority w:val="99"/>
    <w:rPr>
      <w:rFonts w:ascii="Times New Roman" w:hAnsi="Times New Roman" w:eastAsia="宋体" w:cs="Times New Roman"/>
      <w:szCs w:val="24"/>
    </w:rPr>
  </w:style>
  <w:style w:type="character" w:customStyle="1" w:styleId="53">
    <w:name w:val="页脚 Char"/>
    <w:qFormat/>
    <w:uiPriority w:val="99"/>
    <w:rPr>
      <w:sz w:val="18"/>
      <w:szCs w:val="18"/>
    </w:rPr>
  </w:style>
  <w:style w:type="character" w:customStyle="1" w:styleId="54">
    <w:name w:val="页眉 Char"/>
    <w:qFormat/>
    <w:uiPriority w:val="99"/>
    <w:rPr>
      <w:sz w:val="18"/>
      <w:szCs w:val="18"/>
    </w:rPr>
  </w:style>
  <w:style w:type="character" w:customStyle="1" w:styleId="55">
    <w:name w:val="正文文本 字符"/>
    <w:semiHidden/>
    <w:qFormat/>
    <w:uiPriority w:val="99"/>
    <w:rPr>
      <w:rFonts w:ascii="Times New Roman" w:hAnsi="Times New Roman" w:eastAsia="宋体" w:cs="Times New Roman"/>
      <w:szCs w:val="24"/>
    </w:rPr>
  </w:style>
  <w:style w:type="paragraph" w:customStyle="1" w:styleId="56">
    <w:name w:val="wz1"/>
    <w:basedOn w:val="1"/>
    <w:qFormat/>
    <w:uiPriority w:val="0"/>
    <w:pPr>
      <w:widowControl/>
      <w:spacing w:before="100" w:beforeAutospacing="1" w:after="100" w:afterAutospacing="1" w:line="245" w:lineRule="atLeast"/>
      <w:jc w:val="left"/>
    </w:pPr>
    <w:rPr>
      <w:rFonts w:ascii="Arial Unicode MS" w:hAnsi="Arial Unicode MS" w:eastAsia="Arial Unicode MS" w:cs="Arial Unicode MS"/>
      <w:color w:val="CC0000"/>
      <w:kern w:val="0"/>
      <w:sz w:val="22"/>
      <w:szCs w:val="22"/>
    </w:rPr>
  </w:style>
  <w:style w:type="paragraph" w:customStyle="1" w:styleId="57">
    <w:name w:val="Char Char Char"/>
    <w:basedOn w:val="1"/>
    <w:qFormat/>
    <w:uiPriority w:val="0"/>
  </w:style>
  <w:style w:type="paragraph" w:customStyle="1" w:styleId="58">
    <w:name w:val="Char1"/>
    <w:basedOn w:val="1"/>
    <w:qFormat/>
    <w:uiPriority w:val="0"/>
    <w:pPr>
      <w:tabs>
        <w:tab w:val="left" w:pos="832"/>
      </w:tabs>
      <w:ind w:left="832" w:hanging="420"/>
      <w:jc w:val="center"/>
    </w:pPr>
    <w:rPr>
      <w:rFonts w:ascii="楷体_GB2312" w:eastAsia="楷体_GB2312"/>
      <w:b/>
      <w:color w:val="000080"/>
      <w:sz w:val="30"/>
      <w:szCs w:val="30"/>
    </w:rPr>
  </w:style>
  <w:style w:type="paragraph" w:customStyle="1" w:styleId="59">
    <w:name w:val="Char Char"/>
    <w:basedOn w:val="1"/>
    <w:qFormat/>
    <w:uiPriority w:val="0"/>
    <w:rPr>
      <w:szCs w:val="20"/>
    </w:rPr>
  </w:style>
  <w:style w:type="paragraph" w:customStyle="1" w:styleId="60">
    <w:name w:val="Char"/>
    <w:basedOn w:val="1"/>
    <w:qFormat/>
    <w:uiPriority w:val="0"/>
  </w:style>
  <w:style w:type="paragraph" w:customStyle="1" w:styleId="61">
    <w:name w:val="修订1"/>
    <w:semiHidden/>
    <w:qFormat/>
    <w:uiPriority w:val="99"/>
    <w:rPr>
      <w:rFonts w:ascii="Times New Roman" w:hAnsi="Times New Roman" w:eastAsia="宋体" w:cs="Calibri"/>
      <w:kern w:val="2"/>
      <w:sz w:val="21"/>
      <w:szCs w:val="24"/>
      <w:lang w:val="en-US" w:eastAsia="zh-CN" w:bidi="ar-SA"/>
    </w:rPr>
  </w:style>
  <w:style w:type="paragraph" w:customStyle="1" w:styleId="62">
    <w:name w:val="Char Char Char Char Char Char Char1 Char Char Char Char Char Char"/>
    <w:basedOn w:val="1"/>
    <w:qFormat/>
    <w:uiPriority w:val="0"/>
  </w:style>
  <w:style w:type="paragraph" w:customStyle="1" w:styleId="63">
    <w:name w:val="修订2"/>
    <w:hidden/>
    <w:unhideWhenUsed/>
    <w:qFormat/>
    <w:uiPriority w:val="99"/>
    <w:rPr>
      <w:rFonts w:ascii="Times New Roman" w:hAnsi="Times New Roman" w:eastAsia="宋体" w:cs="Calibri"/>
      <w:kern w:val="2"/>
      <w:sz w:val="21"/>
      <w:szCs w:val="24"/>
      <w:lang w:val="en-US" w:eastAsia="zh-CN" w:bidi="ar-SA"/>
    </w:rPr>
  </w:style>
  <w:style w:type="paragraph" w:customStyle="1" w:styleId="64">
    <w:name w:val="Revision"/>
    <w:hidden/>
    <w:unhideWhenUsed/>
    <w:qFormat/>
    <w:uiPriority w:val="99"/>
    <w:rPr>
      <w:rFonts w:ascii="Times New Roman" w:hAnsi="Times New Roman" w:eastAsia="宋体" w:cs="Calibr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3BBE7-8F19-4FAE-A25F-B2059931BBC4}">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48</Pages>
  <Words>4679</Words>
  <Characters>26671</Characters>
  <Lines>222</Lines>
  <Paragraphs>62</Paragraphs>
  <TotalTime>328</TotalTime>
  <ScaleCrop>false</ScaleCrop>
  <LinksUpToDate>false</LinksUpToDate>
  <CharactersWithSpaces>31288</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2025-12-23T03:01:00Z</dcterms:created>
  <dc:creator>Administrator</dc:creator>
  <cp:lastModifiedBy>xuefangzhan470</cp:lastModifiedBy>
  <dcterms:modified xsi:type="dcterms:W3CDTF">2026-04-22T02:29:52Z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B02EA00A7CCB4C4BA4F8C0C4B529E3C1</vt:lpwstr>
  </property>
</Properties>
</file>