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32A1" w14:textId="77777777" w:rsidR="000F2133" w:rsidRDefault="00D82757">
      <w:pPr>
        <w:adjustRightInd w:val="0"/>
        <w:snapToGrid w:val="0"/>
        <w:spacing w:line="360" w:lineRule="auto"/>
        <w:jc w:val="center"/>
        <w:rPr>
          <w:rFonts w:cs="Arial"/>
          <w:szCs w:val="21"/>
        </w:rPr>
        <w:sectPr w:rsidR="000F2133">
          <w:footerReference w:type="even" r:id="rId39"/>
          <w:type w:val="continuous"/>
          <w:pgSz w:w="11906" w:h="16838"/>
          <w:pgMar w:top="1418" w:right="1701" w:bottom="1418" w:left="1701" w:header="851" w:footer="992" w:gutter="0"/>
          <w:cols w:space="425"/>
          <w:docGrid w:type="lines" w:linePitch="312"/>
        </w:sectPr>
      </w:pPr>
      <w:bookmarkStart w:id="0" w:name="TITLE_765decababaa49e2a8dfd7458e24b387"/>
      <w:r>
        <w:t xml:space="preserve"> </w:t>
      </w:r>
    </w:p>
    <w:p w14:paraId="3EF52A2C" w14:textId="77777777" w:rsidR="000F2133" w:rsidRDefault="00D82757">
      <w:pPr>
        <w:adjustRightInd w:val="0"/>
        <w:snapToGrid w:val="0"/>
        <w:spacing w:line="360" w:lineRule="auto"/>
        <w:jc w:val="center"/>
        <w:rPr>
          <w:rFonts w:cs="Arial"/>
          <w:szCs w:val="21"/>
        </w:rPr>
      </w:pPr>
      <w:bookmarkStart w:id="1" w:name="CLAUSE_468ded6493c9462ebc131b865f5d7da2"/>
      <w:bookmarkEnd w:id="0"/>
      <w:r>
        <w:t xml:space="preserve"> </w:t>
      </w:r>
      <w:bookmarkStart w:id="2" w:name="CTS_468ded6493c9462ebc131b865f5d7da2"/>
      <w:bookmarkEnd w:id="2"/>
    </w:p>
    <w:p w14:paraId="5E5FB219" w14:textId="77777777" w:rsidR="000F2133" w:rsidRDefault="000F2133">
      <w:pPr>
        <w:adjustRightInd w:val="0"/>
        <w:snapToGrid w:val="0"/>
        <w:spacing w:line="360" w:lineRule="auto"/>
        <w:jc w:val="center"/>
        <w:rPr>
          <w:rFonts w:cs="Arial"/>
          <w:szCs w:val="21"/>
        </w:rPr>
      </w:pPr>
    </w:p>
    <w:p w14:paraId="18405A4D" w14:textId="77777777" w:rsidR="000F2133" w:rsidRDefault="000F2133">
      <w:pPr>
        <w:adjustRightInd w:val="0"/>
        <w:snapToGrid w:val="0"/>
        <w:spacing w:line="360" w:lineRule="auto"/>
        <w:jc w:val="center"/>
        <w:rPr>
          <w:rFonts w:cs="Arial"/>
          <w:szCs w:val="21"/>
        </w:rPr>
      </w:pPr>
    </w:p>
    <w:p w14:paraId="77D5010E" w14:textId="77777777" w:rsidR="000F2133" w:rsidRDefault="00D82757">
      <w:pPr>
        <w:jc w:val="center"/>
        <w:rPr>
          <w:b/>
          <w:sz w:val="52"/>
        </w:rPr>
      </w:pPr>
      <w:r>
        <w:rPr>
          <w:rFonts w:hint="eastAsia"/>
          <w:b/>
          <w:sz w:val="52"/>
        </w:rPr>
        <w:t>中欧</w:t>
      </w:r>
      <w:r>
        <w:rPr>
          <w:b/>
          <w:sz w:val="52"/>
        </w:rPr>
        <w:t>基金管理有限公司</w:t>
      </w:r>
    </w:p>
    <w:p w14:paraId="4196620F" w14:textId="77777777" w:rsidR="000F2133" w:rsidRDefault="000F2133">
      <w:pPr>
        <w:adjustRightInd w:val="0"/>
        <w:snapToGrid w:val="0"/>
        <w:spacing w:line="360" w:lineRule="auto"/>
        <w:jc w:val="center"/>
        <w:rPr>
          <w:rFonts w:cs="Arial"/>
          <w:szCs w:val="21"/>
        </w:rPr>
      </w:pPr>
    </w:p>
    <w:p w14:paraId="413CA98C" w14:textId="77777777" w:rsidR="000F2133" w:rsidRPr="005B4A95" w:rsidRDefault="000F2133">
      <w:pPr>
        <w:adjustRightInd w:val="0"/>
        <w:snapToGrid w:val="0"/>
        <w:spacing w:line="360" w:lineRule="auto"/>
        <w:jc w:val="center"/>
        <w:rPr>
          <w:rFonts w:cs="Arial"/>
          <w:szCs w:val="21"/>
        </w:rPr>
      </w:pPr>
    </w:p>
    <w:p w14:paraId="418135BD" w14:textId="7E5B3095" w:rsidR="000F2133" w:rsidRDefault="00D82757">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中欧</w:t>
      </w:r>
      <w:r w:rsidR="005B4A95">
        <w:rPr>
          <w:rFonts w:ascii="黑体" w:eastAsia="黑体" w:hAnsi="黑体" w:cs="Arial" w:hint="eastAsia"/>
          <w:b/>
          <w:sz w:val="44"/>
          <w:szCs w:val="21"/>
        </w:rPr>
        <w:t>全景智选</w:t>
      </w:r>
      <w:r>
        <w:rPr>
          <w:rFonts w:ascii="黑体" w:eastAsia="黑体" w:hAnsi="黑体" w:cs="Arial" w:hint="eastAsia"/>
          <w:b/>
          <w:sz w:val="44"/>
          <w:szCs w:val="21"/>
        </w:rPr>
        <w:t>混合型证券投资基金</w:t>
      </w:r>
    </w:p>
    <w:p w14:paraId="19ABD1B0" w14:textId="15379168" w:rsidR="000F2133" w:rsidRDefault="00D82757">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托管协议</w:t>
      </w:r>
    </w:p>
    <w:p w14:paraId="6F981624" w14:textId="77777777" w:rsidR="000F2133" w:rsidRDefault="000F2133">
      <w:pPr>
        <w:adjustRightInd w:val="0"/>
        <w:snapToGrid w:val="0"/>
        <w:spacing w:line="360" w:lineRule="auto"/>
        <w:jc w:val="center"/>
        <w:rPr>
          <w:rFonts w:ascii="黑体" w:eastAsia="黑体" w:hAnsi="黑体" w:cs="Arial"/>
          <w:b/>
          <w:szCs w:val="21"/>
        </w:rPr>
      </w:pPr>
    </w:p>
    <w:p w14:paraId="38964EAD" w14:textId="77777777" w:rsidR="000F2133" w:rsidRDefault="000F2133">
      <w:pPr>
        <w:adjustRightInd w:val="0"/>
        <w:snapToGrid w:val="0"/>
        <w:spacing w:line="360" w:lineRule="auto"/>
        <w:jc w:val="center"/>
        <w:rPr>
          <w:rFonts w:cs="Arial"/>
          <w:szCs w:val="21"/>
        </w:rPr>
      </w:pPr>
    </w:p>
    <w:p w14:paraId="79551664" w14:textId="77777777" w:rsidR="000F2133" w:rsidRDefault="000F2133">
      <w:pPr>
        <w:adjustRightInd w:val="0"/>
        <w:snapToGrid w:val="0"/>
        <w:spacing w:line="360" w:lineRule="auto"/>
        <w:jc w:val="center"/>
        <w:rPr>
          <w:rFonts w:cs="Arial"/>
          <w:szCs w:val="21"/>
        </w:rPr>
      </w:pPr>
    </w:p>
    <w:p w14:paraId="5048E879" w14:textId="77777777" w:rsidR="000F2133" w:rsidRDefault="000F2133">
      <w:pPr>
        <w:adjustRightInd w:val="0"/>
        <w:snapToGrid w:val="0"/>
        <w:spacing w:line="360" w:lineRule="auto"/>
        <w:jc w:val="center"/>
        <w:rPr>
          <w:rFonts w:cs="Arial"/>
          <w:szCs w:val="21"/>
        </w:rPr>
      </w:pPr>
    </w:p>
    <w:p w14:paraId="180B4466" w14:textId="77777777" w:rsidR="000F2133" w:rsidRDefault="000F2133">
      <w:pPr>
        <w:adjustRightInd w:val="0"/>
        <w:snapToGrid w:val="0"/>
        <w:spacing w:line="360" w:lineRule="auto"/>
        <w:jc w:val="center"/>
        <w:rPr>
          <w:rFonts w:cs="Arial"/>
          <w:szCs w:val="21"/>
        </w:rPr>
      </w:pPr>
    </w:p>
    <w:p w14:paraId="034BB9C0" w14:textId="77777777" w:rsidR="000F2133" w:rsidRDefault="000F2133">
      <w:pPr>
        <w:adjustRightInd w:val="0"/>
        <w:snapToGrid w:val="0"/>
        <w:spacing w:line="360" w:lineRule="auto"/>
        <w:jc w:val="center"/>
        <w:rPr>
          <w:rFonts w:cs="Arial"/>
          <w:szCs w:val="21"/>
        </w:rPr>
      </w:pPr>
    </w:p>
    <w:p w14:paraId="0B21B32D" w14:textId="77777777" w:rsidR="000F2133" w:rsidRDefault="000F2133">
      <w:pPr>
        <w:adjustRightInd w:val="0"/>
        <w:snapToGrid w:val="0"/>
        <w:spacing w:line="360" w:lineRule="auto"/>
        <w:jc w:val="center"/>
        <w:rPr>
          <w:rFonts w:cs="Arial"/>
          <w:szCs w:val="21"/>
        </w:rPr>
      </w:pPr>
    </w:p>
    <w:p w14:paraId="26E37036" w14:textId="77777777" w:rsidR="000F2133" w:rsidRDefault="000F2133">
      <w:pPr>
        <w:adjustRightInd w:val="0"/>
        <w:snapToGrid w:val="0"/>
        <w:spacing w:line="360" w:lineRule="auto"/>
        <w:jc w:val="center"/>
        <w:rPr>
          <w:rFonts w:cs="Arial"/>
          <w:szCs w:val="21"/>
        </w:rPr>
      </w:pPr>
    </w:p>
    <w:p w14:paraId="7E548E30" w14:textId="77777777" w:rsidR="000F2133" w:rsidRDefault="000F2133">
      <w:pPr>
        <w:adjustRightInd w:val="0"/>
        <w:snapToGrid w:val="0"/>
        <w:spacing w:line="360" w:lineRule="auto"/>
        <w:jc w:val="center"/>
        <w:rPr>
          <w:rFonts w:cs="Arial"/>
          <w:szCs w:val="21"/>
        </w:rPr>
      </w:pPr>
    </w:p>
    <w:p w14:paraId="0CDFBC71" w14:textId="77777777" w:rsidR="000F2133" w:rsidRDefault="000F2133">
      <w:pPr>
        <w:adjustRightInd w:val="0"/>
        <w:snapToGrid w:val="0"/>
        <w:spacing w:line="360" w:lineRule="auto"/>
        <w:jc w:val="center"/>
        <w:rPr>
          <w:rFonts w:cs="Arial"/>
          <w:szCs w:val="21"/>
        </w:rPr>
      </w:pPr>
    </w:p>
    <w:p w14:paraId="7E4CF39E" w14:textId="77777777" w:rsidR="000F2133" w:rsidRDefault="000F2133">
      <w:pPr>
        <w:adjustRightInd w:val="0"/>
        <w:snapToGrid w:val="0"/>
        <w:spacing w:line="360" w:lineRule="auto"/>
        <w:jc w:val="center"/>
        <w:rPr>
          <w:rFonts w:cs="Arial"/>
          <w:szCs w:val="21"/>
        </w:rPr>
      </w:pPr>
    </w:p>
    <w:p w14:paraId="692AF9EB" w14:textId="77777777" w:rsidR="000F2133" w:rsidRDefault="000F2133">
      <w:pPr>
        <w:adjustRightInd w:val="0"/>
        <w:snapToGrid w:val="0"/>
        <w:spacing w:line="360" w:lineRule="auto"/>
        <w:jc w:val="center"/>
        <w:rPr>
          <w:rFonts w:cs="Arial"/>
          <w:szCs w:val="21"/>
        </w:rPr>
      </w:pPr>
    </w:p>
    <w:p w14:paraId="30C2A096" w14:textId="77777777" w:rsidR="000F2133" w:rsidRDefault="000F2133">
      <w:pPr>
        <w:adjustRightInd w:val="0"/>
        <w:snapToGrid w:val="0"/>
        <w:spacing w:line="360" w:lineRule="auto"/>
        <w:jc w:val="center"/>
        <w:rPr>
          <w:rFonts w:cs="Arial"/>
          <w:szCs w:val="21"/>
        </w:rPr>
      </w:pPr>
    </w:p>
    <w:p w14:paraId="359769C4" w14:textId="77777777" w:rsidR="000F2133" w:rsidRDefault="000F2133">
      <w:pPr>
        <w:adjustRightInd w:val="0"/>
        <w:snapToGrid w:val="0"/>
        <w:spacing w:line="360" w:lineRule="auto"/>
        <w:jc w:val="center"/>
        <w:rPr>
          <w:rFonts w:cs="Arial"/>
          <w:szCs w:val="21"/>
        </w:rPr>
      </w:pPr>
    </w:p>
    <w:p w14:paraId="0CC164CA" w14:textId="77777777" w:rsidR="000F2133" w:rsidRDefault="000F2133">
      <w:pPr>
        <w:adjustRightInd w:val="0"/>
        <w:snapToGrid w:val="0"/>
        <w:spacing w:line="360" w:lineRule="auto"/>
        <w:jc w:val="center"/>
        <w:rPr>
          <w:rFonts w:cs="Arial"/>
          <w:szCs w:val="21"/>
        </w:rPr>
      </w:pPr>
    </w:p>
    <w:p w14:paraId="72445207" w14:textId="77777777" w:rsidR="000F2133" w:rsidRDefault="000F2133">
      <w:pPr>
        <w:adjustRightInd w:val="0"/>
        <w:snapToGrid w:val="0"/>
        <w:spacing w:line="360" w:lineRule="auto"/>
        <w:jc w:val="center"/>
        <w:rPr>
          <w:rFonts w:cs="Arial"/>
          <w:szCs w:val="21"/>
        </w:rPr>
      </w:pPr>
    </w:p>
    <w:p w14:paraId="420BBCAC" w14:textId="77777777" w:rsidR="000F2133" w:rsidRDefault="000F2133">
      <w:pPr>
        <w:adjustRightInd w:val="0"/>
        <w:snapToGrid w:val="0"/>
        <w:spacing w:line="360" w:lineRule="auto"/>
        <w:jc w:val="center"/>
        <w:rPr>
          <w:rFonts w:cs="Arial"/>
          <w:szCs w:val="21"/>
        </w:rPr>
      </w:pPr>
    </w:p>
    <w:p w14:paraId="5751DC23" w14:textId="77777777" w:rsidR="000F2133" w:rsidRDefault="00D82757">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基金管理人：中欧基金管理有限公司</w:t>
      </w:r>
    </w:p>
    <w:p w14:paraId="7A7719C1" w14:textId="4E866398" w:rsidR="000F2133" w:rsidRDefault="00D82757">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基金托管人：</w:t>
      </w:r>
      <w:r w:rsidR="005B4A95">
        <w:rPr>
          <w:rFonts w:ascii="黑体" w:eastAsia="黑体" w:hAnsi="黑体" w:cs="Arial" w:hint="eastAsia"/>
          <w:bCs/>
          <w:sz w:val="28"/>
          <w:szCs w:val="21"/>
        </w:rPr>
        <w:t>中信银行</w:t>
      </w:r>
      <w:r>
        <w:rPr>
          <w:rFonts w:ascii="黑体" w:eastAsia="黑体" w:hAnsi="黑体" w:cs="Arial" w:hint="eastAsia"/>
          <w:bCs/>
          <w:sz w:val="28"/>
          <w:szCs w:val="21"/>
        </w:rPr>
        <w:t>股份有限公司</w:t>
      </w:r>
    </w:p>
    <w:bookmarkEnd w:id="1"/>
    <w:p w14:paraId="462408A9" w14:textId="77777777" w:rsidR="000F2133" w:rsidRDefault="000F2133">
      <w:pPr>
        <w:adjustRightInd w:val="0"/>
        <w:snapToGrid w:val="0"/>
        <w:spacing w:line="360" w:lineRule="auto"/>
        <w:rPr>
          <w:rFonts w:cs="Arial"/>
          <w:bCs/>
          <w:szCs w:val="21"/>
        </w:rPr>
        <w:sectPr w:rsidR="000F2133">
          <w:type w:val="continuous"/>
          <w:pgSz w:w="11906" w:h="16838"/>
          <w:pgMar w:top="1418" w:right="1701" w:bottom="1418" w:left="1701" w:header="851" w:footer="992" w:gutter="0"/>
          <w:cols w:space="425"/>
          <w:docGrid w:type="lines" w:linePitch="312"/>
        </w:sectPr>
      </w:pPr>
    </w:p>
    <w:p w14:paraId="6F6D057F" w14:textId="77777777" w:rsidR="000F2133" w:rsidRDefault="00D82757">
      <w:pPr>
        <w:adjustRightInd w:val="0"/>
        <w:snapToGrid w:val="0"/>
        <w:spacing w:line="360" w:lineRule="auto"/>
        <w:rPr>
          <w:rFonts w:cs="Arial"/>
          <w:bCs/>
          <w:szCs w:val="21"/>
        </w:rPr>
      </w:pPr>
      <w:bookmarkStart w:id="3" w:name="CLAUSE_bd58dd527ca2412b839164a45ea933d0"/>
      <w:r>
        <w:lastRenderedPageBreak/>
        <w:t xml:space="preserve"> </w:t>
      </w:r>
      <w:bookmarkStart w:id="4" w:name="CTS_bd58dd527ca2412b839164a45ea933d0"/>
      <w:bookmarkEnd w:id="4"/>
    </w:p>
    <w:p w14:paraId="4478CBA1" w14:textId="77777777" w:rsidR="000F2133" w:rsidRDefault="00D82757">
      <w:pPr>
        <w:spacing w:line="360" w:lineRule="auto"/>
        <w:jc w:val="center"/>
        <w:rPr>
          <w:rFonts w:ascii="宋体" w:hAnsi="宋体"/>
          <w:b/>
          <w:bCs/>
          <w:szCs w:val="21"/>
        </w:rPr>
      </w:pPr>
      <w:r>
        <w:rPr>
          <w:rFonts w:ascii="宋体" w:hAnsi="宋体" w:hint="eastAsia"/>
          <w:b/>
          <w:bCs/>
          <w:szCs w:val="21"/>
        </w:rPr>
        <w:t>目    录</w:t>
      </w:r>
    </w:p>
    <w:p w14:paraId="2E75DB13" w14:textId="286DC9D3" w:rsidR="000F2133" w:rsidRDefault="00D82757">
      <w:pPr>
        <w:pStyle w:val="TOC2"/>
        <w:tabs>
          <w:tab w:val="right" w:leader="dot" w:pos="8494"/>
        </w:tabs>
        <w:rPr>
          <w:rFonts w:asciiTheme="minorHAnsi" w:eastAsiaTheme="minorEastAsia" w:hAnsiTheme="minorHAnsi" w:cstheme="minorBidi"/>
          <w:noProof/>
          <w:szCs w:val="22"/>
        </w:rPr>
      </w:pPr>
      <w:r>
        <w:rPr>
          <w:rFonts w:ascii="宋体" w:hAnsi="宋体"/>
          <w:szCs w:val="21"/>
        </w:rPr>
        <w:fldChar w:fldCharType="begin"/>
      </w:r>
      <w:r>
        <w:rPr>
          <w:rFonts w:ascii="宋体" w:hAnsi="宋体"/>
          <w:szCs w:val="21"/>
        </w:rPr>
        <w:instrText xml:space="preserve"> TOC \o "1-2" \h \z </w:instrText>
      </w:r>
      <w:r>
        <w:rPr>
          <w:rFonts w:ascii="宋体" w:hAnsi="宋体"/>
          <w:szCs w:val="21"/>
        </w:rPr>
        <w:fldChar w:fldCharType="separate"/>
      </w:r>
      <w:hyperlink w:anchor="_Toc204947269" w:history="1">
        <w:r>
          <w:rPr>
            <w:rStyle w:val="af4"/>
            <w:rFonts w:ascii="宋体" w:hAnsi="宋体"/>
            <w:noProof/>
          </w:rPr>
          <w:t>一、基金托管协议当事人</w:t>
        </w:r>
        <w:r>
          <w:rPr>
            <w:noProof/>
          </w:rPr>
          <w:tab/>
        </w:r>
        <w:r>
          <w:rPr>
            <w:noProof/>
          </w:rPr>
          <w:fldChar w:fldCharType="begin"/>
        </w:r>
        <w:r>
          <w:rPr>
            <w:noProof/>
          </w:rPr>
          <w:instrText xml:space="preserve"> PAGEREF _Toc204947269 \h </w:instrText>
        </w:r>
        <w:r>
          <w:rPr>
            <w:noProof/>
          </w:rPr>
        </w:r>
        <w:r>
          <w:rPr>
            <w:noProof/>
          </w:rPr>
          <w:fldChar w:fldCharType="separate"/>
        </w:r>
        <w:r w:rsidR="007D4784">
          <w:rPr>
            <w:noProof/>
          </w:rPr>
          <w:t>4</w:t>
        </w:r>
        <w:r>
          <w:rPr>
            <w:noProof/>
          </w:rPr>
          <w:fldChar w:fldCharType="end"/>
        </w:r>
      </w:hyperlink>
    </w:p>
    <w:p w14:paraId="7A62385F" w14:textId="66DF1CFE" w:rsidR="000F2133" w:rsidRDefault="00D16238">
      <w:pPr>
        <w:pStyle w:val="TOC2"/>
        <w:tabs>
          <w:tab w:val="right" w:leader="dot" w:pos="8494"/>
        </w:tabs>
        <w:rPr>
          <w:rFonts w:asciiTheme="minorHAnsi" w:eastAsiaTheme="minorEastAsia" w:hAnsiTheme="minorHAnsi" w:cstheme="minorBidi"/>
          <w:noProof/>
          <w:szCs w:val="22"/>
        </w:rPr>
      </w:pPr>
      <w:hyperlink w:anchor="_Toc204947270" w:history="1">
        <w:r w:rsidR="00D82757">
          <w:rPr>
            <w:rStyle w:val="af4"/>
            <w:rFonts w:ascii="宋体" w:hAnsi="宋体"/>
            <w:noProof/>
          </w:rPr>
          <w:t>二、基金托管协议的依据、目的和原则</w:t>
        </w:r>
        <w:r w:rsidR="00D82757">
          <w:rPr>
            <w:noProof/>
          </w:rPr>
          <w:tab/>
        </w:r>
        <w:r w:rsidR="00D82757">
          <w:rPr>
            <w:noProof/>
          </w:rPr>
          <w:fldChar w:fldCharType="begin"/>
        </w:r>
        <w:r w:rsidR="00D82757">
          <w:rPr>
            <w:noProof/>
          </w:rPr>
          <w:instrText xml:space="preserve"> PAGEREF _Toc204947270 \h </w:instrText>
        </w:r>
        <w:r w:rsidR="00D82757">
          <w:rPr>
            <w:noProof/>
          </w:rPr>
        </w:r>
        <w:r w:rsidR="00D82757">
          <w:rPr>
            <w:noProof/>
          </w:rPr>
          <w:fldChar w:fldCharType="separate"/>
        </w:r>
        <w:r w:rsidR="007D4784">
          <w:rPr>
            <w:noProof/>
          </w:rPr>
          <w:t>5</w:t>
        </w:r>
        <w:r w:rsidR="00D82757">
          <w:rPr>
            <w:noProof/>
          </w:rPr>
          <w:fldChar w:fldCharType="end"/>
        </w:r>
      </w:hyperlink>
    </w:p>
    <w:p w14:paraId="251997DD" w14:textId="70E51180" w:rsidR="000F2133" w:rsidRDefault="00D16238">
      <w:pPr>
        <w:pStyle w:val="TOC2"/>
        <w:tabs>
          <w:tab w:val="right" w:leader="dot" w:pos="8494"/>
        </w:tabs>
        <w:rPr>
          <w:rFonts w:asciiTheme="minorHAnsi" w:eastAsiaTheme="minorEastAsia" w:hAnsiTheme="minorHAnsi" w:cstheme="minorBidi"/>
          <w:noProof/>
          <w:szCs w:val="22"/>
        </w:rPr>
      </w:pPr>
      <w:hyperlink w:anchor="_Toc204947271" w:history="1">
        <w:r w:rsidR="00D82757">
          <w:rPr>
            <w:rStyle w:val="af4"/>
            <w:rFonts w:ascii="宋体" w:hAnsi="宋体"/>
            <w:noProof/>
          </w:rPr>
          <w:t>三、基金托管人对基金管理人的业务监督和核查</w:t>
        </w:r>
        <w:r w:rsidR="00D82757">
          <w:rPr>
            <w:noProof/>
          </w:rPr>
          <w:tab/>
        </w:r>
        <w:r w:rsidR="00D82757">
          <w:rPr>
            <w:noProof/>
          </w:rPr>
          <w:fldChar w:fldCharType="begin"/>
        </w:r>
        <w:r w:rsidR="00D82757">
          <w:rPr>
            <w:noProof/>
          </w:rPr>
          <w:instrText xml:space="preserve"> PAGEREF _Toc204947271 \h </w:instrText>
        </w:r>
        <w:r w:rsidR="00D82757">
          <w:rPr>
            <w:noProof/>
          </w:rPr>
        </w:r>
        <w:r w:rsidR="00D82757">
          <w:rPr>
            <w:noProof/>
          </w:rPr>
          <w:fldChar w:fldCharType="separate"/>
        </w:r>
        <w:r w:rsidR="007D4784">
          <w:rPr>
            <w:noProof/>
          </w:rPr>
          <w:t>6</w:t>
        </w:r>
        <w:r w:rsidR="00D82757">
          <w:rPr>
            <w:noProof/>
          </w:rPr>
          <w:fldChar w:fldCharType="end"/>
        </w:r>
      </w:hyperlink>
    </w:p>
    <w:p w14:paraId="61E3BCCB" w14:textId="2A7BD7F0" w:rsidR="000F2133" w:rsidRDefault="00D16238">
      <w:pPr>
        <w:pStyle w:val="TOC2"/>
        <w:tabs>
          <w:tab w:val="right" w:leader="dot" w:pos="8494"/>
        </w:tabs>
        <w:rPr>
          <w:rFonts w:asciiTheme="minorHAnsi" w:eastAsiaTheme="minorEastAsia" w:hAnsiTheme="minorHAnsi" w:cstheme="minorBidi"/>
          <w:noProof/>
          <w:szCs w:val="22"/>
        </w:rPr>
      </w:pPr>
      <w:hyperlink w:anchor="_Toc204947272" w:history="1">
        <w:r w:rsidR="00D82757">
          <w:rPr>
            <w:rStyle w:val="af4"/>
            <w:rFonts w:ascii="宋体" w:hAnsi="宋体"/>
            <w:noProof/>
          </w:rPr>
          <w:t>四、基金管理人对基金托管人的业务核查</w:t>
        </w:r>
        <w:r w:rsidR="00D82757">
          <w:rPr>
            <w:noProof/>
          </w:rPr>
          <w:tab/>
        </w:r>
        <w:r w:rsidR="00D82757">
          <w:rPr>
            <w:noProof/>
          </w:rPr>
          <w:fldChar w:fldCharType="begin"/>
        </w:r>
        <w:r w:rsidR="00D82757">
          <w:rPr>
            <w:noProof/>
          </w:rPr>
          <w:instrText xml:space="preserve"> PAGEREF _Toc204947272 \h </w:instrText>
        </w:r>
        <w:r w:rsidR="00D82757">
          <w:rPr>
            <w:noProof/>
          </w:rPr>
        </w:r>
        <w:r w:rsidR="00D82757">
          <w:rPr>
            <w:noProof/>
          </w:rPr>
          <w:fldChar w:fldCharType="separate"/>
        </w:r>
        <w:r w:rsidR="007D4784">
          <w:rPr>
            <w:noProof/>
          </w:rPr>
          <w:t>17</w:t>
        </w:r>
        <w:r w:rsidR="00D82757">
          <w:rPr>
            <w:noProof/>
          </w:rPr>
          <w:fldChar w:fldCharType="end"/>
        </w:r>
      </w:hyperlink>
    </w:p>
    <w:p w14:paraId="78CEAAD5" w14:textId="6BA44746" w:rsidR="000F2133" w:rsidRDefault="00D16238">
      <w:pPr>
        <w:pStyle w:val="TOC2"/>
        <w:tabs>
          <w:tab w:val="right" w:leader="dot" w:pos="8494"/>
        </w:tabs>
        <w:rPr>
          <w:rFonts w:asciiTheme="minorHAnsi" w:eastAsiaTheme="minorEastAsia" w:hAnsiTheme="minorHAnsi" w:cstheme="minorBidi"/>
          <w:noProof/>
          <w:szCs w:val="22"/>
        </w:rPr>
      </w:pPr>
      <w:hyperlink w:anchor="_Toc204947273" w:history="1">
        <w:r w:rsidR="00D82757">
          <w:rPr>
            <w:rStyle w:val="af4"/>
            <w:rFonts w:ascii="宋体" w:hAnsi="宋体"/>
            <w:noProof/>
          </w:rPr>
          <w:t>五、基金财产的保管</w:t>
        </w:r>
        <w:r w:rsidR="00D82757">
          <w:rPr>
            <w:noProof/>
          </w:rPr>
          <w:tab/>
        </w:r>
        <w:r w:rsidR="00D82757">
          <w:rPr>
            <w:noProof/>
          </w:rPr>
          <w:fldChar w:fldCharType="begin"/>
        </w:r>
        <w:r w:rsidR="00D82757">
          <w:rPr>
            <w:noProof/>
          </w:rPr>
          <w:instrText xml:space="preserve"> PAGEREF _Toc204947273 \h </w:instrText>
        </w:r>
        <w:r w:rsidR="00D82757">
          <w:rPr>
            <w:noProof/>
          </w:rPr>
        </w:r>
        <w:r w:rsidR="00D82757">
          <w:rPr>
            <w:noProof/>
          </w:rPr>
          <w:fldChar w:fldCharType="separate"/>
        </w:r>
        <w:r w:rsidR="007D4784">
          <w:rPr>
            <w:noProof/>
          </w:rPr>
          <w:t>18</w:t>
        </w:r>
        <w:r w:rsidR="00D82757">
          <w:rPr>
            <w:noProof/>
          </w:rPr>
          <w:fldChar w:fldCharType="end"/>
        </w:r>
      </w:hyperlink>
    </w:p>
    <w:p w14:paraId="2B7CAD95" w14:textId="33B68B34" w:rsidR="000F2133" w:rsidRDefault="00D16238">
      <w:pPr>
        <w:pStyle w:val="TOC2"/>
        <w:tabs>
          <w:tab w:val="right" w:leader="dot" w:pos="8494"/>
        </w:tabs>
        <w:rPr>
          <w:rFonts w:asciiTheme="minorHAnsi" w:eastAsiaTheme="minorEastAsia" w:hAnsiTheme="minorHAnsi" w:cstheme="minorBidi"/>
          <w:noProof/>
          <w:szCs w:val="22"/>
        </w:rPr>
      </w:pPr>
      <w:hyperlink w:anchor="_Toc204947274" w:history="1">
        <w:r w:rsidR="00D82757">
          <w:rPr>
            <w:rStyle w:val="af4"/>
            <w:rFonts w:ascii="宋体" w:hAnsi="宋体"/>
            <w:noProof/>
          </w:rPr>
          <w:t>六、指令的发送、确认及执行</w:t>
        </w:r>
        <w:r w:rsidR="00D82757">
          <w:rPr>
            <w:noProof/>
          </w:rPr>
          <w:tab/>
        </w:r>
        <w:r w:rsidR="00D82757">
          <w:rPr>
            <w:noProof/>
          </w:rPr>
          <w:fldChar w:fldCharType="begin"/>
        </w:r>
        <w:r w:rsidR="00D82757">
          <w:rPr>
            <w:noProof/>
          </w:rPr>
          <w:instrText xml:space="preserve"> PAGEREF _Toc204947274 \h </w:instrText>
        </w:r>
        <w:r w:rsidR="00D82757">
          <w:rPr>
            <w:noProof/>
          </w:rPr>
        </w:r>
        <w:r w:rsidR="00D82757">
          <w:rPr>
            <w:noProof/>
          </w:rPr>
          <w:fldChar w:fldCharType="separate"/>
        </w:r>
        <w:r w:rsidR="007D4784">
          <w:rPr>
            <w:noProof/>
          </w:rPr>
          <w:t>21</w:t>
        </w:r>
        <w:r w:rsidR="00D82757">
          <w:rPr>
            <w:noProof/>
          </w:rPr>
          <w:fldChar w:fldCharType="end"/>
        </w:r>
      </w:hyperlink>
    </w:p>
    <w:p w14:paraId="691BFEE0" w14:textId="15D2F008" w:rsidR="000F2133" w:rsidRDefault="00D16238">
      <w:pPr>
        <w:pStyle w:val="TOC2"/>
        <w:tabs>
          <w:tab w:val="right" w:leader="dot" w:pos="8494"/>
        </w:tabs>
        <w:rPr>
          <w:rFonts w:asciiTheme="minorHAnsi" w:eastAsiaTheme="minorEastAsia" w:hAnsiTheme="minorHAnsi" w:cstheme="minorBidi"/>
          <w:noProof/>
          <w:szCs w:val="22"/>
        </w:rPr>
      </w:pPr>
      <w:hyperlink w:anchor="_Toc204947275" w:history="1">
        <w:r w:rsidR="00D82757">
          <w:rPr>
            <w:rStyle w:val="af4"/>
            <w:rFonts w:ascii="宋体" w:hAnsi="宋体"/>
            <w:noProof/>
          </w:rPr>
          <w:t>七、交易及清算交收安排</w:t>
        </w:r>
        <w:r w:rsidR="00D82757">
          <w:rPr>
            <w:noProof/>
          </w:rPr>
          <w:tab/>
        </w:r>
        <w:r w:rsidR="00D82757">
          <w:rPr>
            <w:noProof/>
          </w:rPr>
          <w:fldChar w:fldCharType="begin"/>
        </w:r>
        <w:r w:rsidR="00D82757">
          <w:rPr>
            <w:noProof/>
          </w:rPr>
          <w:instrText xml:space="preserve"> PAGEREF _Toc204947275 \h </w:instrText>
        </w:r>
        <w:r w:rsidR="00D82757">
          <w:rPr>
            <w:noProof/>
          </w:rPr>
        </w:r>
        <w:r w:rsidR="00D82757">
          <w:rPr>
            <w:noProof/>
          </w:rPr>
          <w:fldChar w:fldCharType="separate"/>
        </w:r>
        <w:r w:rsidR="007D4784">
          <w:rPr>
            <w:noProof/>
          </w:rPr>
          <w:t>26</w:t>
        </w:r>
        <w:r w:rsidR="00D82757">
          <w:rPr>
            <w:noProof/>
          </w:rPr>
          <w:fldChar w:fldCharType="end"/>
        </w:r>
      </w:hyperlink>
    </w:p>
    <w:p w14:paraId="720DB7BB" w14:textId="6E1773E4" w:rsidR="000F2133" w:rsidRDefault="00D16238">
      <w:pPr>
        <w:pStyle w:val="TOC2"/>
        <w:tabs>
          <w:tab w:val="right" w:leader="dot" w:pos="8494"/>
        </w:tabs>
        <w:rPr>
          <w:rFonts w:asciiTheme="minorHAnsi" w:eastAsiaTheme="minorEastAsia" w:hAnsiTheme="minorHAnsi" w:cstheme="minorBidi"/>
          <w:noProof/>
          <w:szCs w:val="22"/>
        </w:rPr>
      </w:pPr>
      <w:hyperlink w:anchor="_Toc204947276" w:history="1">
        <w:r w:rsidR="00D82757">
          <w:rPr>
            <w:rStyle w:val="af4"/>
            <w:rFonts w:ascii="宋体" w:hAnsi="宋体"/>
            <w:noProof/>
          </w:rPr>
          <w:t>八、基金资产净值计算、估值和会计核算</w:t>
        </w:r>
        <w:r w:rsidR="00D82757">
          <w:rPr>
            <w:noProof/>
          </w:rPr>
          <w:tab/>
        </w:r>
        <w:r w:rsidR="00D82757">
          <w:rPr>
            <w:noProof/>
          </w:rPr>
          <w:fldChar w:fldCharType="begin"/>
        </w:r>
        <w:r w:rsidR="00D82757">
          <w:rPr>
            <w:noProof/>
          </w:rPr>
          <w:instrText xml:space="preserve"> PAGEREF _Toc204947276 \h </w:instrText>
        </w:r>
        <w:r w:rsidR="00D82757">
          <w:rPr>
            <w:noProof/>
          </w:rPr>
        </w:r>
        <w:r w:rsidR="00D82757">
          <w:rPr>
            <w:noProof/>
          </w:rPr>
          <w:fldChar w:fldCharType="separate"/>
        </w:r>
        <w:r w:rsidR="007D4784">
          <w:rPr>
            <w:noProof/>
          </w:rPr>
          <w:t>29</w:t>
        </w:r>
        <w:r w:rsidR="00D82757">
          <w:rPr>
            <w:noProof/>
          </w:rPr>
          <w:fldChar w:fldCharType="end"/>
        </w:r>
      </w:hyperlink>
    </w:p>
    <w:p w14:paraId="134E7167" w14:textId="0636CD70" w:rsidR="000F2133" w:rsidRDefault="00D16238">
      <w:pPr>
        <w:pStyle w:val="TOC2"/>
        <w:tabs>
          <w:tab w:val="right" w:leader="dot" w:pos="8494"/>
        </w:tabs>
        <w:rPr>
          <w:rFonts w:asciiTheme="minorHAnsi" w:eastAsiaTheme="minorEastAsia" w:hAnsiTheme="minorHAnsi" w:cstheme="minorBidi"/>
          <w:noProof/>
          <w:szCs w:val="22"/>
        </w:rPr>
      </w:pPr>
      <w:hyperlink w:anchor="_Toc204947277" w:history="1">
        <w:r w:rsidR="00D82757">
          <w:rPr>
            <w:rStyle w:val="af4"/>
            <w:rFonts w:ascii="宋体" w:hAnsi="宋体"/>
            <w:noProof/>
          </w:rPr>
          <w:t>九、基金收益分配</w:t>
        </w:r>
        <w:r w:rsidR="00D82757">
          <w:rPr>
            <w:noProof/>
          </w:rPr>
          <w:tab/>
        </w:r>
        <w:r w:rsidR="00D82757">
          <w:rPr>
            <w:noProof/>
          </w:rPr>
          <w:fldChar w:fldCharType="begin"/>
        </w:r>
        <w:r w:rsidR="00D82757">
          <w:rPr>
            <w:noProof/>
          </w:rPr>
          <w:instrText xml:space="preserve"> PAGEREF _Toc204947277 \h </w:instrText>
        </w:r>
        <w:r w:rsidR="00D82757">
          <w:rPr>
            <w:noProof/>
          </w:rPr>
        </w:r>
        <w:r w:rsidR="00D82757">
          <w:rPr>
            <w:noProof/>
          </w:rPr>
          <w:fldChar w:fldCharType="separate"/>
        </w:r>
        <w:r w:rsidR="007D4784">
          <w:rPr>
            <w:noProof/>
          </w:rPr>
          <w:t>31</w:t>
        </w:r>
        <w:r w:rsidR="00D82757">
          <w:rPr>
            <w:noProof/>
          </w:rPr>
          <w:fldChar w:fldCharType="end"/>
        </w:r>
      </w:hyperlink>
    </w:p>
    <w:p w14:paraId="4361489F" w14:textId="1D0D0F64" w:rsidR="000F2133" w:rsidRDefault="00D16238">
      <w:pPr>
        <w:pStyle w:val="TOC2"/>
        <w:tabs>
          <w:tab w:val="right" w:leader="dot" w:pos="8494"/>
        </w:tabs>
        <w:rPr>
          <w:rFonts w:asciiTheme="minorHAnsi" w:eastAsiaTheme="minorEastAsia" w:hAnsiTheme="minorHAnsi" w:cstheme="minorBidi"/>
          <w:noProof/>
          <w:szCs w:val="22"/>
        </w:rPr>
      </w:pPr>
      <w:hyperlink w:anchor="_Toc204947278" w:history="1">
        <w:r w:rsidR="00D82757">
          <w:rPr>
            <w:rStyle w:val="af4"/>
            <w:rFonts w:ascii="宋体" w:hAnsi="宋体"/>
            <w:noProof/>
          </w:rPr>
          <w:t>十、基金信息披露</w:t>
        </w:r>
        <w:r w:rsidR="00D82757">
          <w:rPr>
            <w:noProof/>
          </w:rPr>
          <w:tab/>
        </w:r>
        <w:r w:rsidR="00D82757">
          <w:rPr>
            <w:noProof/>
          </w:rPr>
          <w:fldChar w:fldCharType="begin"/>
        </w:r>
        <w:r w:rsidR="00D82757">
          <w:rPr>
            <w:noProof/>
          </w:rPr>
          <w:instrText xml:space="preserve"> PAGEREF _Toc204947278 \h </w:instrText>
        </w:r>
        <w:r w:rsidR="00D82757">
          <w:rPr>
            <w:noProof/>
          </w:rPr>
        </w:r>
        <w:r w:rsidR="00D82757">
          <w:rPr>
            <w:noProof/>
          </w:rPr>
          <w:fldChar w:fldCharType="separate"/>
        </w:r>
        <w:r w:rsidR="007D4784">
          <w:rPr>
            <w:noProof/>
          </w:rPr>
          <w:t>32</w:t>
        </w:r>
        <w:r w:rsidR="00D82757">
          <w:rPr>
            <w:noProof/>
          </w:rPr>
          <w:fldChar w:fldCharType="end"/>
        </w:r>
      </w:hyperlink>
    </w:p>
    <w:p w14:paraId="062BCB31" w14:textId="375C69EB" w:rsidR="000F2133" w:rsidRDefault="00D16238">
      <w:pPr>
        <w:pStyle w:val="TOC2"/>
        <w:tabs>
          <w:tab w:val="right" w:leader="dot" w:pos="8494"/>
        </w:tabs>
        <w:rPr>
          <w:rFonts w:asciiTheme="minorHAnsi" w:eastAsiaTheme="minorEastAsia" w:hAnsiTheme="minorHAnsi" w:cstheme="minorBidi"/>
          <w:noProof/>
          <w:szCs w:val="22"/>
        </w:rPr>
      </w:pPr>
      <w:hyperlink w:anchor="_Toc204947279" w:history="1">
        <w:r w:rsidR="00D82757">
          <w:rPr>
            <w:rStyle w:val="af4"/>
            <w:rFonts w:ascii="宋体" w:hAnsi="宋体"/>
            <w:noProof/>
          </w:rPr>
          <w:t>十一、基金费用</w:t>
        </w:r>
        <w:r w:rsidR="00D82757">
          <w:rPr>
            <w:noProof/>
          </w:rPr>
          <w:tab/>
        </w:r>
        <w:r w:rsidR="00D82757">
          <w:rPr>
            <w:noProof/>
          </w:rPr>
          <w:fldChar w:fldCharType="begin"/>
        </w:r>
        <w:r w:rsidR="00D82757">
          <w:rPr>
            <w:noProof/>
          </w:rPr>
          <w:instrText xml:space="preserve"> PAGEREF _Toc204947279 \h </w:instrText>
        </w:r>
        <w:r w:rsidR="00D82757">
          <w:rPr>
            <w:noProof/>
          </w:rPr>
        </w:r>
        <w:r w:rsidR="00D82757">
          <w:rPr>
            <w:noProof/>
          </w:rPr>
          <w:fldChar w:fldCharType="separate"/>
        </w:r>
        <w:r w:rsidR="007D4784">
          <w:rPr>
            <w:noProof/>
          </w:rPr>
          <w:t>34</w:t>
        </w:r>
        <w:r w:rsidR="00D82757">
          <w:rPr>
            <w:noProof/>
          </w:rPr>
          <w:fldChar w:fldCharType="end"/>
        </w:r>
      </w:hyperlink>
    </w:p>
    <w:p w14:paraId="591EB898" w14:textId="25ABCCB9" w:rsidR="000F2133" w:rsidRDefault="00D16238">
      <w:pPr>
        <w:pStyle w:val="TOC2"/>
        <w:tabs>
          <w:tab w:val="right" w:leader="dot" w:pos="8494"/>
        </w:tabs>
        <w:rPr>
          <w:rFonts w:asciiTheme="minorHAnsi" w:eastAsiaTheme="minorEastAsia" w:hAnsiTheme="minorHAnsi" w:cstheme="minorBidi"/>
          <w:noProof/>
          <w:szCs w:val="22"/>
        </w:rPr>
      </w:pPr>
      <w:hyperlink w:anchor="_Toc204947280" w:history="1">
        <w:r w:rsidR="00D82757">
          <w:rPr>
            <w:rStyle w:val="af4"/>
            <w:rFonts w:ascii="宋体" w:hAnsi="宋体"/>
            <w:noProof/>
          </w:rPr>
          <w:t>十二、基金份额持有人名册的保管</w:t>
        </w:r>
        <w:r w:rsidR="00D82757">
          <w:rPr>
            <w:noProof/>
          </w:rPr>
          <w:tab/>
        </w:r>
        <w:r w:rsidR="00D82757">
          <w:rPr>
            <w:noProof/>
          </w:rPr>
          <w:fldChar w:fldCharType="begin"/>
        </w:r>
        <w:r w:rsidR="00D82757">
          <w:rPr>
            <w:noProof/>
          </w:rPr>
          <w:instrText xml:space="preserve"> PAGEREF _Toc204947280 \h </w:instrText>
        </w:r>
        <w:r w:rsidR="00D82757">
          <w:rPr>
            <w:noProof/>
          </w:rPr>
        </w:r>
        <w:r w:rsidR="00D82757">
          <w:rPr>
            <w:noProof/>
          </w:rPr>
          <w:fldChar w:fldCharType="separate"/>
        </w:r>
        <w:r w:rsidR="007D4784">
          <w:rPr>
            <w:noProof/>
          </w:rPr>
          <w:t>35</w:t>
        </w:r>
        <w:r w:rsidR="00D82757">
          <w:rPr>
            <w:noProof/>
          </w:rPr>
          <w:fldChar w:fldCharType="end"/>
        </w:r>
      </w:hyperlink>
    </w:p>
    <w:p w14:paraId="0A9C75FD" w14:textId="193D5224" w:rsidR="000F2133" w:rsidRDefault="00D16238">
      <w:pPr>
        <w:pStyle w:val="TOC2"/>
        <w:tabs>
          <w:tab w:val="right" w:leader="dot" w:pos="8494"/>
        </w:tabs>
        <w:rPr>
          <w:rFonts w:asciiTheme="minorHAnsi" w:eastAsiaTheme="minorEastAsia" w:hAnsiTheme="minorHAnsi" w:cstheme="minorBidi"/>
          <w:noProof/>
          <w:szCs w:val="22"/>
        </w:rPr>
      </w:pPr>
      <w:hyperlink w:anchor="_Toc204947281" w:history="1">
        <w:r w:rsidR="00D82757">
          <w:rPr>
            <w:rStyle w:val="af4"/>
            <w:rFonts w:ascii="宋体" w:hAnsi="宋体"/>
            <w:noProof/>
          </w:rPr>
          <w:t>十三、基金有关文件档案的保存</w:t>
        </w:r>
        <w:r w:rsidR="00D82757">
          <w:rPr>
            <w:noProof/>
          </w:rPr>
          <w:tab/>
        </w:r>
        <w:r w:rsidR="00D82757">
          <w:rPr>
            <w:noProof/>
          </w:rPr>
          <w:fldChar w:fldCharType="begin"/>
        </w:r>
        <w:r w:rsidR="00D82757">
          <w:rPr>
            <w:noProof/>
          </w:rPr>
          <w:instrText xml:space="preserve"> PAGEREF _Toc204947281 \h </w:instrText>
        </w:r>
        <w:r w:rsidR="00D82757">
          <w:rPr>
            <w:noProof/>
          </w:rPr>
        </w:r>
        <w:r w:rsidR="00D82757">
          <w:rPr>
            <w:noProof/>
          </w:rPr>
          <w:fldChar w:fldCharType="separate"/>
        </w:r>
        <w:r w:rsidR="007D4784">
          <w:rPr>
            <w:noProof/>
          </w:rPr>
          <w:t>36</w:t>
        </w:r>
        <w:r w:rsidR="00D82757">
          <w:rPr>
            <w:noProof/>
          </w:rPr>
          <w:fldChar w:fldCharType="end"/>
        </w:r>
      </w:hyperlink>
    </w:p>
    <w:p w14:paraId="2F672B6D" w14:textId="67C2D2ED" w:rsidR="000F2133" w:rsidRDefault="00D16238">
      <w:pPr>
        <w:pStyle w:val="TOC2"/>
        <w:tabs>
          <w:tab w:val="right" w:leader="dot" w:pos="8494"/>
        </w:tabs>
        <w:rPr>
          <w:rFonts w:asciiTheme="minorHAnsi" w:eastAsiaTheme="minorEastAsia" w:hAnsiTheme="minorHAnsi" w:cstheme="minorBidi"/>
          <w:noProof/>
          <w:szCs w:val="22"/>
        </w:rPr>
      </w:pPr>
      <w:hyperlink w:anchor="_Toc204947282" w:history="1">
        <w:r w:rsidR="00D82757">
          <w:rPr>
            <w:rStyle w:val="af4"/>
            <w:rFonts w:ascii="宋体" w:hAnsi="宋体"/>
            <w:noProof/>
          </w:rPr>
          <w:t>十四、基金管理人和基金托管人的更换</w:t>
        </w:r>
        <w:r w:rsidR="00D82757">
          <w:rPr>
            <w:noProof/>
          </w:rPr>
          <w:tab/>
        </w:r>
        <w:r w:rsidR="00D82757">
          <w:rPr>
            <w:noProof/>
          </w:rPr>
          <w:fldChar w:fldCharType="begin"/>
        </w:r>
        <w:r w:rsidR="00D82757">
          <w:rPr>
            <w:noProof/>
          </w:rPr>
          <w:instrText xml:space="preserve"> PAGEREF _Toc204947282 \h </w:instrText>
        </w:r>
        <w:r w:rsidR="00D82757">
          <w:rPr>
            <w:noProof/>
          </w:rPr>
        </w:r>
        <w:r w:rsidR="00D82757">
          <w:rPr>
            <w:noProof/>
          </w:rPr>
          <w:fldChar w:fldCharType="separate"/>
        </w:r>
        <w:r w:rsidR="007D4784">
          <w:rPr>
            <w:noProof/>
          </w:rPr>
          <w:t>37</w:t>
        </w:r>
        <w:r w:rsidR="00D82757">
          <w:rPr>
            <w:noProof/>
          </w:rPr>
          <w:fldChar w:fldCharType="end"/>
        </w:r>
      </w:hyperlink>
    </w:p>
    <w:p w14:paraId="23F9B723" w14:textId="2554EB11" w:rsidR="000F2133" w:rsidRDefault="00D16238">
      <w:pPr>
        <w:pStyle w:val="TOC2"/>
        <w:tabs>
          <w:tab w:val="right" w:leader="dot" w:pos="8494"/>
        </w:tabs>
        <w:rPr>
          <w:rFonts w:asciiTheme="minorHAnsi" w:eastAsiaTheme="minorEastAsia" w:hAnsiTheme="minorHAnsi" w:cstheme="minorBidi"/>
          <w:noProof/>
          <w:szCs w:val="22"/>
        </w:rPr>
      </w:pPr>
      <w:hyperlink w:anchor="_Toc204947283" w:history="1">
        <w:r w:rsidR="00D82757">
          <w:rPr>
            <w:rStyle w:val="af4"/>
            <w:rFonts w:ascii="宋体" w:hAnsi="宋体"/>
            <w:noProof/>
          </w:rPr>
          <w:t>十五、禁止行为</w:t>
        </w:r>
        <w:r w:rsidR="00D82757">
          <w:rPr>
            <w:noProof/>
          </w:rPr>
          <w:tab/>
        </w:r>
        <w:r w:rsidR="00D82757">
          <w:rPr>
            <w:noProof/>
          </w:rPr>
          <w:fldChar w:fldCharType="begin"/>
        </w:r>
        <w:r w:rsidR="00D82757">
          <w:rPr>
            <w:noProof/>
          </w:rPr>
          <w:instrText xml:space="preserve"> PAGEREF _Toc204947283 \h </w:instrText>
        </w:r>
        <w:r w:rsidR="00D82757">
          <w:rPr>
            <w:noProof/>
          </w:rPr>
        </w:r>
        <w:r w:rsidR="00D82757">
          <w:rPr>
            <w:noProof/>
          </w:rPr>
          <w:fldChar w:fldCharType="separate"/>
        </w:r>
        <w:r w:rsidR="007D4784">
          <w:rPr>
            <w:noProof/>
          </w:rPr>
          <w:t>38</w:t>
        </w:r>
        <w:r w:rsidR="00D82757">
          <w:rPr>
            <w:noProof/>
          </w:rPr>
          <w:fldChar w:fldCharType="end"/>
        </w:r>
      </w:hyperlink>
    </w:p>
    <w:p w14:paraId="3DF37895" w14:textId="0D235114" w:rsidR="000F2133" w:rsidRDefault="00D16238">
      <w:pPr>
        <w:pStyle w:val="TOC2"/>
        <w:tabs>
          <w:tab w:val="right" w:leader="dot" w:pos="8494"/>
        </w:tabs>
        <w:rPr>
          <w:rFonts w:asciiTheme="minorHAnsi" w:eastAsiaTheme="minorEastAsia" w:hAnsiTheme="minorHAnsi" w:cstheme="minorBidi"/>
          <w:noProof/>
          <w:szCs w:val="22"/>
        </w:rPr>
      </w:pPr>
      <w:hyperlink w:anchor="_Toc204947284" w:history="1">
        <w:r w:rsidR="00D82757">
          <w:rPr>
            <w:rStyle w:val="af4"/>
            <w:rFonts w:ascii="宋体" w:hAnsi="宋体"/>
            <w:noProof/>
          </w:rPr>
          <w:t>十六、托管协议的变更、终止与基金财产的清算</w:t>
        </w:r>
        <w:r w:rsidR="00D82757">
          <w:rPr>
            <w:noProof/>
          </w:rPr>
          <w:tab/>
        </w:r>
        <w:r w:rsidR="00D82757">
          <w:rPr>
            <w:noProof/>
          </w:rPr>
          <w:fldChar w:fldCharType="begin"/>
        </w:r>
        <w:r w:rsidR="00D82757">
          <w:rPr>
            <w:noProof/>
          </w:rPr>
          <w:instrText xml:space="preserve"> PAGEREF _Toc204947284 \h </w:instrText>
        </w:r>
        <w:r w:rsidR="00D82757">
          <w:rPr>
            <w:noProof/>
          </w:rPr>
        </w:r>
        <w:r w:rsidR="00D82757">
          <w:rPr>
            <w:noProof/>
          </w:rPr>
          <w:fldChar w:fldCharType="separate"/>
        </w:r>
        <w:r w:rsidR="007D4784">
          <w:rPr>
            <w:noProof/>
          </w:rPr>
          <w:t>39</w:t>
        </w:r>
        <w:r w:rsidR="00D82757">
          <w:rPr>
            <w:noProof/>
          </w:rPr>
          <w:fldChar w:fldCharType="end"/>
        </w:r>
      </w:hyperlink>
    </w:p>
    <w:p w14:paraId="4065AED1" w14:textId="190F73D5" w:rsidR="000F2133" w:rsidRDefault="00D16238">
      <w:pPr>
        <w:pStyle w:val="TOC2"/>
        <w:tabs>
          <w:tab w:val="right" w:leader="dot" w:pos="8494"/>
        </w:tabs>
        <w:rPr>
          <w:rFonts w:asciiTheme="minorHAnsi" w:eastAsiaTheme="minorEastAsia" w:hAnsiTheme="minorHAnsi" w:cstheme="minorBidi"/>
          <w:noProof/>
          <w:szCs w:val="22"/>
        </w:rPr>
      </w:pPr>
      <w:hyperlink w:anchor="_Toc204947285" w:history="1">
        <w:r w:rsidR="00D82757">
          <w:rPr>
            <w:rStyle w:val="af4"/>
            <w:rFonts w:ascii="宋体" w:hAnsi="宋体"/>
            <w:noProof/>
          </w:rPr>
          <w:t>十七、违约责任</w:t>
        </w:r>
        <w:r w:rsidR="00D82757">
          <w:rPr>
            <w:noProof/>
          </w:rPr>
          <w:tab/>
        </w:r>
        <w:r w:rsidR="00D82757">
          <w:rPr>
            <w:noProof/>
          </w:rPr>
          <w:fldChar w:fldCharType="begin"/>
        </w:r>
        <w:r w:rsidR="00D82757">
          <w:rPr>
            <w:noProof/>
          </w:rPr>
          <w:instrText xml:space="preserve"> PAGEREF _Toc204947285 \h </w:instrText>
        </w:r>
        <w:r w:rsidR="00D82757">
          <w:rPr>
            <w:noProof/>
          </w:rPr>
        </w:r>
        <w:r w:rsidR="00D82757">
          <w:rPr>
            <w:noProof/>
          </w:rPr>
          <w:fldChar w:fldCharType="separate"/>
        </w:r>
        <w:r w:rsidR="007D4784">
          <w:rPr>
            <w:noProof/>
          </w:rPr>
          <w:t>40</w:t>
        </w:r>
        <w:r w:rsidR="00D82757">
          <w:rPr>
            <w:noProof/>
          </w:rPr>
          <w:fldChar w:fldCharType="end"/>
        </w:r>
      </w:hyperlink>
    </w:p>
    <w:p w14:paraId="17F054BB" w14:textId="7EC4F2DC" w:rsidR="000F2133" w:rsidRDefault="00D16238">
      <w:pPr>
        <w:pStyle w:val="TOC2"/>
        <w:tabs>
          <w:tab w:val="right" w:leader="dot" w:pos="8494"/>
        </w:tabs>
        <w:rPr>
          <w:rFonts w:asciiTheme="minorHAnsi" w:eastAsiaTheme="minorEastAsia" w:hAnsiTheme="minorHAnsi" w:cstheme="minorBidi"/>
          <w:noProof/>
          <w:szCs w:val="22"/>
        </w:rPr>
      </w:pPr>
      <w:hyperlink w:anchor="_Toc204947286" w:history="1">
        <w:r w:rsidR="00D82757">
          <w:rPr>
            <w:rStyle w:val="af4"/>
            <w:rFonts w:ascii="宋体" w:hAnsi="宋体"/>
            <w:noProof/>
          </w:rPr>
          <w:t>十八、争议解决方式</w:t>
        </w:r>
        <w:r w:rsidR="00D82757">
          <w:rPr>
            <w:noProof/>
          </w:rPr>
          <w:tab/>
        </w:r>
        <w:r w:rsidR="00D82757">
          <w:rPr>
            <w:noProof/>
          </w:rPr>
          <w:fldChar w:fldCharType="begin"/>
        </w:r>
        <w:r w:rsidR="00D82757">
          <w:rPr>
            <w:noProof/>
          </w:rPr>
          <w:instrText xml:space="preserve"> PAGEREF _Toc204947286 \h </w:instrText>
        </w:r>
        <w:r w:rsidR="00D82757">
          <w:rPr>
            <w:noProof/>
          </w:rPr>
        </w:r>
        <w:r w:rsidR="00D82757">
          <w:rPr>
            <w:noProof/>
          </w:rPr>
          <w:fldChar w:fldCharType="separate"/>
        </w:r>
        <w:r w:rsidR="007D4784">
          <w:rPr>
            <w:noProof/>
          </w:rPr>
          <w:t>41</w:t>
        </w:r>
        <w:r w:rsidR="00D82757">
          <w:rPr>
            <w:noProof/>
          </w:rPr>
          <w:fldChar w:fldCharType="end"/>
        </w:r>
      </w:hyperlink>
    </w:p>
    <w:p w14:paraId="79EF4460" w14:textId="4C7330CE" w:rsidR="000F2133" w:rsidRDefault="00D16238">
      <w:pPr>
        <w:pStyle w:val="TOC2"/>
        <w:tabs>
          <w:tab w:val="right" w:leader="dot" w:pos="8494"/>
        </w:tabs>
        <w:rPr>
          <w:rFonts w:asciiTheme="minorHAnsi" w:eastAsiaTheme="minorEastAsia" w:hAnsiTheme="minorHAnsi" w:cstheme="minorBidi"/>
          <w:noProof/>
          <w:szCs w:val="22"/>
        </w:rPr>
      </w:pPr>
      <w:hyperlink w:anchor="_Toc204947287" w:history="1">
        <w:r w:rsidR="00D82757">
          <w:rPr>
            <w:rStyle w:val="af4"/>
            <w:rFonts w:ascii="宋体" w:hAnsi="宋体"/>
            <w:noProof/>
          </w:rPr>
          <w:t>十九、托管协议的效力</w:t>
        </w:r>
        <w:r w:rsidR="00D82757">
          <w:rPr>
            <w:noProof/>
          </w:rPr>
          <w:tab/>
        </w:r>
        <w:r w:rsidR="00D82757">
          <w:rPr>
            <w:noProof/>
          </w:rPr>
          <w:fldChar w:fldCharType="begin"/>
        </w:r>
        <w:r w:rsidR="00D82757">
          <w:rPr>
            <w:noProof/>
          </w:rPr>
          <w:instrText xml:space="preserve"> PAGEREF _Toc204947287 \h </w:instrText>
        </w:r>
        <w:r w:rsidR="00D82757">
          <w:rPr>
            <w:noProof/>
          </w:rPr>
        </w:r>
        <w:r w:rsidR="00D82757">
          <w:rPr>
            <w:noProof/>
          </w:rPr>
          <w:fldChar w:fldCharType="separate"/>
        </w:r>
        <w:r w:rsidR="007D4784">
          <w:rPr>
            <w:noProof/>
          </w:rPr>
          <w:t>42</w:t>
        </w:r>
        <w:r w:rsidR="00D82757">
          <w:rPr>
            <w:noProof/>
          </w:rPr>
          <w:fldChar w:fldCharType="end"/>
        </w:r>
      </w:hyperlink>
    </w:p>
    <w:p w14:paraId="6B1F0AC9" w14:textId="58D19FAA" w:rsidR="000F2133" w:rsidRDefault="00D16238">
      <w:pPr>
        <w:pStyle w:val="TOC2"/>
        <w:tabs>
          <w:tab w:val="right" w:leader="dot" w:pos="8494"/>
        </w:tabs>
        <w:rPr>
          <w:rFonts w:asciiTheme="minorHAnsi" w:eastAsiaTheme="minorEastAsia" w:hAnsiTheme="minorHAnsi" w:cstheme="minorBidi"/>
          <w:noProof/>
          <w:szCs w:val="22"/>
        </w:rPr>
      </w:pPr>
      <w:hyperlink w:anchor="_Toc204947288" w:history="1">
        <w:r w:rsidR="00D82757">
          <w:rPr>
            <w:rStyle w:val="af4"/>
            <w:rFonts w:ascii="宋体" w:hAnsi="宋体"/>
            <w:noProof/>
          </w:rPr>
          <w:t>二十、其他事项</w:t>
        </w:r>
        <w:r w:rsidR="00D82757">
          <w:rPr>
            <w:noProof/>
          </w:rPr>
          <w:tab/>
        </w:r>
        <w:r w:rsidR="00D82757">
          <w:rPr>
            <w:noProof/>
          </w:rPr>
          <w:fldChar w:fldCharType="begin"/>
        </w:r>
        <w:r w:rsidR="00D82757">
          <w:rPr>
            <w:noProof/>
          </w:rPr>
          <w:instrText xml:space="preserve"> PAGEREF _Toc204947288 \h </w:instrText>
        </w:r>
        <w:r w:rsidR="00D82757">
          <w:rPr>
            <w:noProof/>
          </w:rPr>
        </w:r>
        <w:r w:rsidR="00D82757">
          <w:rPr>
            <w:noProof/>
          </w:rPr>
          <w:fldChar w:fldCharType="separate"/>
        </w:r>
        <w:r w:rsidR="007D4784">
          <w:rPr>
            <w:noProof/>
          </w:rPr>
          <w:t>43</w:t>
        </w:r>
        <w:r w:rsidR="00D82757">
          <w:rPr>
            <w:noProof/>
          </w:rPr>
          <w:fldChar w:fldCharType="end"/>
        </w:r>
      </w:hyperlink>
    </w:p>
    <w:p w14:paraId="20EDC139" w14:textId="4A0FA999" w:rsidR="000F2133" w:rsidRDefault="00D16238">
      <w:pPr>
        <w:pStyle w:val="TOC2"/>
        <w:tabs>
          <w:tab w:val="right" w:leader="dot" w:pos="8494"/>
        </w:tabs>
        <w:rPr>
          <w:rFonts w:asciiTheme="minorHAnsi" w:eastAsiaTheme="minorEastAsia" w:hAnsiTheme="minorHAnsi" w:cstheme="minorBidi"/>
          <w:noProof/>
          <w:szCs w:val="22"/>
        </w:rPr>
      </w:pPr>
      <w:hyperlink w:anchor="_Toc204947289" w:history="1">
        <w:r w:rsidR="00D82757">
          <w:rPr>
            <w:rStyle w:val="af4"/>
            <w:rFonts w:ascii="宋体" w:hAnsi="宋体"/>
            <w:noProof/>
          </w:rPr>
          <w:t>二十一、托管协议的签订</w:t>
        </w:r>
        <w:r w:rsidR="00D82757">
          <w:rPr>
            <w:noProof/>
          </w:rPr>
          <w:tab/>
        </w:r>
        <w:r w:rsidR="00D82757">
          <w:rPr>
            <w:noProof/>
          </w:rPr>
          <w:fldChar w:fldCharType="begin"/>
        </w:r>
        <w:r w:rsidR="00D82757">
          <w:rPr>
            <w:noProof/>
          </w:rPr>
          <w:instrText xml:space="preserve"> PAGEREF _Toc204947289 \h </w:instrText>
        </w:r>
        <w:r w:rsidR="00D82757">
          <w:rPr>
            <w:noProof/>
          </w:rPr>
        </w:r>
        <w:r w:rsidR="00D82757">
          <w:rPr>
            <w:noProof/>
          </w:rPr>
          <w:fldChar w:fldCharType="separate"/>
        </w:r>
        <w:r w:rsidR="007D4784">
          <w:rPr>
            <w:noProof/>
          </w:rPr>
          <w:t>44</w:t>
        </w:r>
        <w:r w:rsidR="00D82757">
          <w:rPr>
            <w:noProof/>
          </w:rPr>
          <w:fldChar w:fldCharType="end"/>
        </w:r>
      </w:hyperlink>
    </w:p>
    <w:p w14:paraId="6B5BF543" w14:textId="77777777" w:rsidR="000F2133" w:rsidRDefault="00D82757">
      <w:pPr>
        <w:spacing w:line="360" w:lineRule="auto"/>
        <w:rPr>
          <w:rFonts w:ascii="宋体" w:hAnsi="宋体"/>
          <w:szCs w:val="21"/>
        </w:rPr>
      </w:pPr>
      <w:r>
        <w:rPr>
          <w:rFonts w:ascii="宋体" w:hAnsi="宋体"/>
          <w:szCs w:val="21"/>
        </w:rPr>
        <w:fldChar w:fldCharType="end"/>
      </w:r>
    </w:p>
    <w:p w14:paraId="41DCF0CB" w14:textId="77777777" w:rsidR="000F2133" w:rsidRDefault="00D82757">
      <w:pPr>
        <w:spacing w:line="360" w:lineRule="auto"/>
        <w:rPr>
          <w:rFonts w:ascii="宋体" w:hAnsi="宋体"/>
          <w:szCs w:val="21"/>
        </w:rPr>
      </w:pPr>
      <w:r>
        <w:rPr>
          <w:rFonts w:ascii="宋体" w:hAnsi="宋体"/>
          <w:szCs w:val="21"/>
        </w:rPr>
        <w:br w:type="page"/>
      </w:r>
    </w:p>
    <w:p w14:paraId="540E737C" w14:textId="0D4C71D5" w:rsidR="000F2133" w:rsidRDefault="00D82757">
      <w:pPr>
        <w:widowControl/>
        <w:spacing w:line="360" w:lineRule="auto"/>
        <w:ind w:firstLineChars="200" w:firstLine="420"/>
        <w:rPr>
          <w:rFonts w:ascii="宋体" w:hAnsi="宋体" w:cs="Arial"/>
          <w:kern w:val="0"/>
          <w:szCs w:val="21"/>
        </w:rPr>
      </w:pPr>
      <w:r>
        <w:rPr>
          <w:rFonts w:ascii="宋体" w:hAnsi="宋体" w:cs="Arial" w:hint="eastAsia"/>
          <w:kern w:val="0"/>
          <w:szCs w:val="21"/>
        </w:rPr>
        <w:lastRenderedPageBreak/>
        <w:t>鉴于</w:t>
      </w:r>
      <w:r>
        <w:rPr>
          <w:rFonts w:ascii="宋体" w:hAnsi="宋体" w:cs="Arial" w:hint="eastAsia"/>
          <w:szCs w:val="21"/>
        </w:rPr>
        <w:t>中欧基金管理有限公司</w:t>
      </w:r>
      <w:r>
        <w:rPr>
          <w:rFonts w:ascii="宋体" w:hAnsi="宋体" w:cs="Arial" w:hint="eastAsia"/>
          <w:kern w:val="0"/>
          <w:szCs w:val="21"/>
        </w:rPr>
        <w:t>系一家依照中国法律合法成立并有效存续的有限责任公司，按照相关法律法规的规定具备担任基金管理人的资格和能力，拟募集发行中欧</w:t>
      </w:r>
      <w:r w:rsidR="005B4A95">
        <w:rPr>
          <w:rFonts w:ascii="宋体" w:hAnsi="宋体" w:cs="Arial" w:hint="eastAsia"/>
          <w:kern w:val="0"/>
          <w:szCs w:val="21"/>
        </w:rPr>
        <w:t>全景智选</w:t>
      </w:r>
      <w:r>
        <w:rPr>
          <w:rFonts w:ascii="宋体" w:hAnsi="宋体" w:cs="Arial" w:hint="eastAsia"/>
          <w:kern w:val="0"/>
          <w:szCs w:val="21"/>
        </w:rPr>
        <w:t>混合型证券投资基金（以下简称“基金”或“本基金”）；</w:t>
      </w:r>
    </w:p>
    <w:p w14:paraId="497150C9" w14:textId="704BDC31" w:rsidR="000F2133" w:rsidRDefault="00D82757">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sidR="005B4A95">
        <w:rPr>
          <w:rFonts w:ascii="宋体" w:hAnsi="宋体" w:cs="Arial" w:hint="eastAsia"/>
          <w:kern w:val="0"/>
          <w:szCs w:val="21"/>
        </w:rPr>
        <w:t>中信银行</w:t>
      </w:r>
      <w:r>
        <w:rPr>
          <w:rFonts w:ascii="宋体" w:hAnsi="宋体" w:cs="Arial" w:hint="eastAsia"/>
          <w:kern w:val="0"/>
          <w:szCs w:val="21"/>
        </w:rPr>
        <w:t>股份有限公司系一家依照中国法律合法成立并有效存续的银行，按照相关法律法规的规定具备担任基金托管人的资格和能力；</w:t>
      </w:r>
    </w:p>
    <w:p w14:paraId="1B3508B6" w14:textId="452AA051" w:rsidR="000F2133" w:rsidRDefault="00D82757">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Pr>
          <w:rFonts w:ascii="宋体" w:hAnsi="宋体" w:cs="Arial" w:hint="eastAsia"/>
          <w:szCs w:val="21"/>
        </w:rPr>
        <w:t>中欧基金管理有限公司</w:t>
      </w:r>
      <w:r>
        <w:rPr>
          <w:rFonts w:ascii="宋体" w:hAnsi="宋体" w:cs="Arial" w:hint="eastAsia"/>
          <w:kern w:val="0"/>
          <w:szCs w:val="21"/>
        </w:rPr>
        <w:t>拟担任中欧</w:t>
      </w:r>
      <w:r w:rsidR="005B4A95">
        <w:rPr>
          <w:rFonts w:ascii="宋体" w:hAnsi="宋体" w:cs="Arial" w:hint="eastAsia"/>
          <w:kern w:val="0"/>
          <w:szCs w:val="21"/>
        </w:rPr>
        <w:t>全景智选</w:t>
      </w:r>
      <w:r>
        <w:rPr>
          <w:rFonts w:ascii="宋体" w:hAnsi="宋体" w:cs="Arial" w:hint="eastAsia"/>
          <w:kern w:val="0"/>
          <w:szCs w:val="21"/>
        </w:rPr>
        <w:t>混合型证券投资基金的基金管理人，</w:t>
      </w:r>
      <w:r w:rsidR="005B4A95">
        <w:rPr>
          <w:rFonts w:ascii="宋体" w:hAnsi="宋体" w:cs="Arial" w:hint="eastAsia"/>
          <w:kern w:val="0"/>
          <w:szCs w:val="21"/>
        </w:rPr>
        <w:t>中信银行</w:t>
      </w:r>
      <w:r>
        <w:rPr>
          <w:rFonts w:ascii="宋体" w:hAnsi="宋体" w:cs="Arial" w:hint="eastAsia"/>
          <w:kern w:val="0"/>
          <w:szCs w:val="21"/>
        </w:rPr>
        <w:t>股份有限公司拟担任中欧</w:t>
      </w:r>
      <w:r w:rsidR="005B4A95">
        <w:rPr>
          <w:rFonts w:ascii="宋体" w:hAnsi="宋体" w:cs="Arial" w:hint="eastAsia"/>
          <w:kern w:val="0"/>
          <w:szCs w:val="21"/>
        </w:rPr>
        <w:t>全景智选</w:t>
      </w:r>
      <w:r>
        <w:rPr>
          <w:rFonts w:ascii="宋体" w:hAnsi="宋体" w:cs="Arial" w:hint="eastAsia"/>
          <w:kern w:val="0"/>
          <w:szCs w:val="21"/>
        </w:rPr>
        <w:t>混合型证券投资基金的基金托管人；</w:t>
      </w:r>
    </w:p>
    <w:p w14:paraId="5C9BF1DA" w14:textId="4DCF5CB4" w:rsidR="000F2133" w:rsidRDefault="00D82757">
      <w:pPr>
        <w:widowControl/>
        <w:spacing w:line="360" w:lineRule="auto"/>
        <w:ind w:firstLineChars="200" w:firstLine="420"/>
        <w:rPr>
          <w:rFonts w:ascii="宋体" w:hAnsi="宋体" w:cs="Arial"/>
          <w:kern w:val="0"/>
          <w:szCs w:val="21"/>
        </w:rPr>
      </w:pPr>
      <w:r>
        <w:rPr>
          <w:rFonts w:ascii="宋体" w:hAnsi="宋体" w:cs="Arial" w:hint="eastAsia"/>
          <w:kern w:val="0"/>
          <w:szCs w:val="21"/>
        </w:rPr>
        <w:t>为明确中欧</w:t>
      </w:r>
      <w:r w:rsidR="005B4A95">
        <w:rPr>
          <w:rFonts w:ascii="宋体" w:hAnsi="宋体" w:cs="Arial" w:hint="eastAsia"/>
          <w:kern w:val="0"/>
          <w:szCs w:val="21"/>
        </w:rPr>
        <w:t>全景智选</w:t>
      </w:r>
      <w:r>
        <w:rPr>
          <w:rFonts w:ascii="宋体" w:hAnsi="宋体" w:cs="Arial" w:hint="eastAsia"/>
          <w:kern w:val="0"/>
          <w:szCs w:val="21"/>
        </w:rPr>
        <w:t>混合型证券投资基金的基金管理人和基金托管人之间的权利义务关系，特制订本托管协议；</w:t>
      </w:r>
    </w:p>
    <w:p w14:paraId="659A19D3" w14:textId="36CDF2C2" w:rsidR="000F2133" w:rsidRDefault="00D82757">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除非另有约定，《</w:t>
      </w:r>
      <w:r>
        <w:rPr>
          <w:rFonts w:ascii="宋体" w:hAnsi="宋体" w:cs="Arial" w:hint="eastAsia"/>
          <w:szCs w:val="21"/>
        </w:rPr>
        <w:t>中欧</w:t>
      </w:r>
      <w:r w:rsidR="005B4A95">
        <w:rPr>
          <w:rFonts w:ascii="宋体" w:hAnsi="宋体" w:cs="Arial" w:hint="eastAsia"/>
          <w:szCs w:val="21"/>
        </w:rPr>
        <w:t>全景智选</w:t>
      </w:r>
      <w:r>
        <w:rPr>
          <w:rFonts w:ascii="宋体" w:hAnsi="宋体" w:cs="Arial" w:hint="eastAsia"/>
          <w:szCs w:val="21"/>
        </w:rPr>
        <w:t>混合型证券投资基金</w:t>
      </w:r>
      <w:r>
        <w:rPr>
          <w:rFonts w:ascii="宋体" w:hAnsi="宋体" w:cs="Arial" w:hint="eastAsia"/>
          <w:kern w:val="0"/>
          <w:szCs w:val="21"/>
          <w:lang w:val="en-GB"/>
        </w:rPr>
        <w:t>基金合同》(以下简称“基金合同”或“《基金合同》”)中定义的术语在用于本托管协议时应具有相同的含义，若有抵触应以基金合同为准。</w:t>
      </w:r>
    </w:p>
    <w:p w14:paraId="63DDA77D" w14:textId="77777777" w:rsidR="000F2133" w:rsidRDefault="00D82757">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若本基金实施</w:t>
      </w:r>
      <w:proofErr w:type="gramStart"/>
      <w:r>
        <w:rPr>
          <w:rFonts w:ascii="宋体" w:hAnsi="宋体" w:cs="Arial" w:hint="eastAsia"/>
          <w:kern w:val="0"/>
          <w:szCs w:val="21"/>
          <w:lang w:val="en-GB"/>
        </w:rPr>
        <w:t>侧袋机制</w:t>
      </w:r>
      <w:proofErr w:type="gramEnd"/>
      <w:r>
        <w:rPr>
          <w:rFonts w:ascii="宋体" w:hAnsi="宋体" w:cs="Arial" w:hint="eastAsia"/>
          <w:kern w:val="0"/>
          <w:szCs w:val="21"/>
          <w:lang w:val="en-GB"/>
        </w:rPr>
        <w:t>的，</w:t>
      </w:r>
      <w:proofErr w:type="gramStart"/>
      <w:r>
        <w:rPr>
          <w:rFonts w:ascii="宋体" w:hAnsi="宋体" w:cs="Arial" w:hint="eastAsia"/>
          <w:kern w:val="0"/>
          <w:szCs w:val="21"/>
          <w:lang w:val="en-GB"/>
        </w:rPr>
        <w:t>侧袋机制</w:t>
      </w:r>
      <w:proofErr w:type="gramEnd"/>
      <w:r>
        <w:rPr>
          <w:rFonts w:ascii="宋体" w:hAnsi="宋体" w:cs="Arial" w:hint="eastAsia"/>
          <w:kern w:val="0"/>
          <w:szCs w:val="21"/>
          <w:lang w:val="en-GB"/>
        </w:rPr>
        <w:t>实施期间的相关安排按照基金合同和招募说明书的规定执行。</w:t>
      </w:r>
    </w:p>
    <w:p w14:paraId="496F5F92" w14:textId="77777777" w:rsidR="000F2133" w:rsidRDefault="000F2133">
      <w:pPr>
        <w:widowControl/>
        <w:spacing w:line="360" w:lineRule="auto"/>
        <w:ind w:firstLineChars="200" w:firstLine="420"/>
        <w:rPr>
          <w:rFonts w:ascii="宋体" w:hAnsi="宋体" w:cs="Arial"/>
          <w:kern w:val="0"/>
          <w:szCs w:val="21"/>
          <w:lang w:val="en-GB"/>
        </w:rPr>
      </w:pPr>
    </w:p>
    <w:p w14:paraId="50B232DD" w14:textId="77777777" w:rsidR="000F2133" w:rsidRDefault="000F2133">
      <w:pPr>
        <w:spacing w:line="360" w:lineRule="auto"/>
        <w:rPr>
          <w:rFonts w:ascii="宋体" w:hAnsi="宋体"/>
          <w:szCs w:val="21"/>
          <w:lang w:val="en-GB"/>
        </w:rPr>
      </w:pPr>
    </w:p>
    <w:p w14:paraId="5F56256B"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5" w:name="_Toc348082029"/>
      <w:bookmarkStart w:id="6" w:name="_Toc204947269"/>
      <w:r>
        <w:rPr>
          <w:rFonts w:ascii="宋体" w:eastAsia="宋体" w:hAnsi="宋体" w:hint="eastAsia"/>
          <w:sz w:val="21"/>
          <w:szCs w:val="21"/>
        </w:rPr>
        <w:lastRenderedPageBreak/>
        <w:t>一、基金托管协议当事人</w:t>
      </w:r>
      <w:bookmarkEnd w:id="5"/>
      <w:bookmarkEnd w:id="6"/>
    </w:p>
    <w:p w14:paraId="06E6719C" w14:textId="77777777" w:rsidR="000F2133" w:rsidRDefault="00D82757">
      <w:r>
        <w:rPr>
          <w:rFonts w:hint="eastAsia"/>
        </w:rPr>
        <w:t>（一）基金管理人</w:t>
      </w:r>
    </w:p>
    <w:p w14:paraId="51A12B30"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名称：中欧基金管理有限公司</w:t>
      </w:r>
    </w:p>
    <w:p w14:paraId="2F02AF2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住所：中国（上海）自由贸易试验区陆家嘴环路479号8层</w:t>
      </w:r>
    </w:p>
    <w:p w14:paraId="15060F10"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邮政编码：200120</w:t>
      </w:r>
    </w:p>
    <w:p w14:paraId="247C8C84"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法定代表人： 窦玉明</w:t>
      </w:r>
    </w:p>
    <w:p w14:paraId="5927642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成立时间： 2006年7月19日</w:t>
      </w:r>
    </w:p>
    <w:p w14:paraId="573A92A5"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批准设立机关：中国证券监督管理委员会</w:t>
      </w:r>
    </w:p>
    <w:p w14:paraId="7D18B9A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批准设立文号：证</w:t>
      </w:r>
      <w:proofErr w:type="gramStart"/>
      <w:r>
        <w:rPr>
          <w:rFonts w:ascii="宋体" w:hAnsi="宋体" w:cs="Arial" w:hint="eastAsia"/>
          <w:szCs w:val="21"/>
        </w:rPr>
        <w:t>监基金字</w:t>
      </w:r>
      <w:proofErr w:type="gramEnd"/>
      <w:r>
        <w:rPr>
          <w:rFonts w:ascii="宋体" w:hAnsi="宋体" w:cs="Arial" w:hint="eastAsia"/>
          <w:szCs w:val="21"/>
        </w:rPr>
        <w:t>[2006]102号</w:t>
      </w:r>
    </w:p>
    <w:p w14:paraId="3897233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组织形式：有限责任公司</w:t>
      </w:r>
    </w:p>
    <w:p w14:paraId="192EF662"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注册资本：2.20亿元人民币</w:t>
      </w:r>
    </w:p>
    <w:p w14:paraId="39AEDBAD"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存续期间：持续经营</w:t>
      </w:r>
    </w:p>
    <w:p w14:paraId="042E6008" w14:textId="23299150" w:rsidR="000F2133" w:rsidRDefault="00D82757">
      <w:pPr>
        <w:spacing w:line="360" w:lineRule="auto"/>
        <w:ind w:firstLineChars="200" w:firstLine="420"/>
        <w:rPr>
          <w:rFonts w:ascii="宋体" w:hAnsi="宋体" w:cs="Arial"/>
          <w:szCs w:val="21"/>
        </w:rPr>
      </w:pPr>
      <w:r>
        <w:rPr>
          <w:rFonts w:ascii="宋体" w:hAnsi="宋体" w:cs="Arial" w:hint="eastAsia"/>
          <w:szCs w:val="21"/>
        </w:rPr>
        <w:t>经营范围：基金募集；基金销售；资产管理以及中国证监会许可的其它业务。</w:t>
      </w:r>
    </w:p>
    <w:p w14:paraId="0CB86EC6" w14:textId="77777777" w:rsidR="00AB7492" w:rsidRDefault="00AB7492">
      <w:pPr>
        <w:spacing w:line="360" w:lineRule="auto"/>
        <w:ind w:firstLineChars="200" w:firstLine="420"/>
        <w:rPr>
          <w:rFonts w:ascii="宋体" w:hAnsi="宋体" w:cs="Arial"/>
          <w:szCs w:val="21"/>
        </w:rPr>
      </w:pPr>
    </w:p>
    <w:p w14:paraId="0226C0C4" w14:textId="77777777" w:rsidR="000F2133" w:rsidRDefault="00D82757">
      <w:r>
        <w:rPr>
          <w:rFonts w:hint="eastAsia"/>
        </w:rPr>
        <w:t>（二）基金托管人</w:t>
      </w:r>
    </w:p>
    <w:p w14:paraId="073FC66A" w14:textId="77777777" w:rsidR="00AB7492" w:rsidRDefault="00AB7492" w:rsidP="00AB7492">
      <w:pPr>
        <w:spacing w:line="360" w:lineRule="auto"/>
        <w:ind w:firstLineChars="200" w:firstLine="420"/>
        <w:rPr>
          <w:szCs w:val="28"/>
        </w:rPr>
      </w:pPr>
      <w:r>
        <w:rPr>
          <w:szCs w:val="28"/>
        </w:rPr>
        <w:t>名称：</w:t>
      </w:r>
      <w:r>
        <w:rPr>
          <w:color w:val="000000"/>
          <w:szCs w:val="28"/>
        </w:rPr>
        <w:t>中信银行股份有限公司（简称</w:t>
      </w:r>
      <w:r>
        <w:rPr>
          <w:color w:val="000000"/>
          <w:szCs w:val="28"/>
        </w:rPr>
        <w:t>“</w:t>
      </w:r>
      <w:r>
        <w:rPr>
          <w:color w:val="000000"/>
          <w:szCs w:val="28"/>
        </w:rPr>
        <w:t>中信银行</w:t>
      </w:r>
      <w:r>
        <w:rPr>
          <w:color w:val="000000"/>
          <w:szCs w:val="28"/>
        </w:rPr>
        <w:t>”</w:t>
      </w:r>
      <w:r>
        <w:rPr>
          <w:color w:val="000000"/>
          <w:szCs w:val="28"/>
        </w:rPr>
        <w:t>）</w:t>
      </w:r>
    </w:p>
    <w:p w14:paraId="34AB8DBA" w14:textId="77777777" w:rsidR="00AB7492" w:rsidRDefault="00AB7492" w:rsidP="00AB7492">
      <w:pPr>
        <w:spacing w:line="360" w:lineRule="auto"/>
        <w:ind w:firstLineChars="200" w:firstLine="420"/>
        <w:rPr>
          <w:color w:val="000000"/>
          <w:szCs w:val="28"/>
        </w:rPr>
      </w:pPr>
      <w:r>
        <w:rPr>
          <w:szCs w:val="28"/>
        </w:rPr>
        <w:t>住所：</w:t>
      </w:r>
      <w:r>
        <w:rPr>
          <w:rFonts w:hint="eastAsia"/>
          <w:color w:val="000000"/>
          <w:szCs w:val="28"/>
        </w:rPr>
        <w:t>北京市朝阳区光华路</w:t>
      </w:r>
      <w:r>
        <w:rPr>
          <w:rFonts w:hint="eastAsia"/>
          <w:color w:val="000000"/>
          <w:szCs w:val="28"/>
        </w:rPr>
        <w:t>10</w:t>
      </w:r>
      <w:r>
        <w:rPr>
          <w:rFonts w:hint="eastAsia"/>
          <w:color w:val="000000"/>
          <w:szCs w:val="28"/>
        </w:rPr>
        <w:t>号院</w:t>
      </w:r>
      <w:r>
        <w:rPr>
          <w:rFonts w:hint="eastAsia"/>
          <w:color w:val="000000"/>
          <w:szCs w:val="28"/>
        </w:rPr>
        <w:t>1</w:t>
      </w:r>
      <w:r>
        <w:rPr>
          <w:rFonts w:hint="eastAsia"/>
          <w:color w:val="000000"/>
          <w:szCs w:val="28"/>
        </w:rPr>
        <w:t>号楼</w:t>
      </w:r>
      <w:r>
        <w:rPr>
          <w:rFonts w:hint="eastAsia"/>
          <w:color w:val="000000"/>
          <w:szCs w:val="28"/>
        </w:rPr>
        <w:t>6-30</w:t>
      </w:r>
      <w:r>
        <w:rPr>
          <w:rFonts w:hint="eastAsia"/>
          <w:color w:val="000000"/>
          <w:szCs w:val="28"/>
        </w:rPr>
        <w:t>层、</w:t>
      </w:r>
      <w:r>
        <w:rPr>
          <w:rFonts w:hint="eastAsia"/>
          <w:color w:val="000000"/>
          <w:szCs w:val="28"/>
        </w:rPr>
        <w:t>32-42</w:t>
      </w:r>
      <w:r>
        <w:rPr>
          <w:rFonts w:hint="eastAsia"/>
          <w:color w:val="000000"/>
          <w:szCs w:val="28"/>
        </w:rPr>
        <w:t>层</w:t>
      </w:r>
    </w:p>
    <w:p w14:paraId="3468DB68" w14:textId="77777777" w:rsidR="00AB7492" w:rsidRDefault="00AB7492" w:rsidP="00AB7492">
      <w:pPr>
        <w:spacing w:line="360" w:lineRule="auto"/>
        <w:ind w:firstLineChars="200" w:firstLine="420"/>
        <w:rPr>
          <w:szCs w:val="28"/>
        </w:rPr>
      </w:pPr>
      <w:r>
        <w:rPr>
          <w:szCs w:val="28"/>
        </w:rPr>
        <w:t>办公地址：</w:t>
      </w:r>
      <w:r>
        <w:rPr>
          <w:rFonts w:hint="eastAsia"/>
          <w:color w:val="000000"/>
          <w:szCs w:val="28"/>
        </w:rPr>
        <w:t>北京市朝阳区光华路</w:t>
      </w:r>
      <w:r>
        <w:rPr>
          <w:rFonts w:hint="eastAsia"/>
          <w:color w:val="000000"/>
          <w:szCs w:val="28"/>
        </w:rPr>
        <w:t>10</w:t>
      </w:r>
      <w:r>
        <w:rPr>
          <w:rFonts w:hint="eastAsia"/>
          <w:color w:val="000000"/>
          <w:szCs w:val="28"/>
        </w:rPr>
        <w:t>号院</w:t>
      </w:r>
      <w:r>
        <w:rPr>
          <w:rFonts w:hint="eastAsia"/>
          <w:color w:val="000000"/>
          <w:szCs w:val="28"/>
        </w:rPr>
        <w:t>1</w:t>
      </w:r>
      <w:r>
        <w:rPr>
          <w:rFonts w:hint="eastAsia"/>
          <w:color w:val="000000"/>
          <w:szCs w:val="28"/>
        </w:rPr>
        <w:t>号楼</w:t>
      </w:r>
      <w:r>
        <w:rPr>
          <w:rFonts w:hint="eastAsia"/>
          <w:color w:val="000000"/>
          <w:szCs w:val="28"/>
        </w:rPr>
        <w:t>6-30</w:t>
      </w:r>
      <w:r>
        <w:rPr>
          <w:rFonts w:hint="eastAsia"/>
          <w:color w:val="000000"/>
          <w:szCs w:val="28"/>
        </w:rPr>
        <w:t>层、</w:t>
      </w:r>
      <w:r>
        <w:rPr>
          <w:rFonts w:hint="eastAsia"/>
          <w:color w:val="000000"/>
          <w:szCs w:val="28"/>
        </w:rPr>
        <w:t>32-42</w:t>
      </w:r>
      <w:r>
        <w:rPr>
          <w:rFonts w:hint="eastAsia"/>
          <w:color w:val="000000"/>
          <w:szCs w:val="28"/>
        </w:rPr>
        <w:t>层</w:t>
      </w:r>
    </w:p>
    <w:p w14:paraId="35B5FF85" w14:textId="77777777" w:rsidR="00AB7492" w:rsidRDefault="00AB7492" w:rsidP="00AB7492">
      <w:pPr>
        <w:spacing w:line="360" w:lineRule="auto"/>
        <w:ind w:firstLineChars="200" w:firstLine="420"/>
        <w:rPr>
          <w:color w:val="000000"/>
          <w:szCs w:val="28"/>
        </w:rPr>
      </w:pPr>
      <w:r>
        <w:rPr>
          <w:color w:val="000000"/>
          <w:szCs w:val="28"/>
        </w:rPr>
        <w:t>法定代表人：</w:t>
      </w:r>
      <w:r>
        <w:rPr>
          <w:rFonts w:hint="eastAsia"/>
          <w:color w:val="000000"/>
          <w:szCs w:val="28"/>
        </w:rPr>
        <w:t>方合英</w:t>
      </w:r>
    </w:p>
    <w:p w14:paraId="221869E2" w14:textId="77777777" w:rsidR="00AB7492" w:rsidRDefault="00AB7492" w:rsidP="00AB7492">
      <w:pPr>
        <w:spacing w:line="360" w:lineRule="auto"/>
        <w:ind w:firstLineChars="200" w:firstLine="420"/>
        <w:rPr>
          <w:szCs w:val="28"/>
        </w:rPr>
      </w:pPr>
      <w:r>
        <w:rPr>
          <w:szCs w:val="28"/>
        </w:rPr>
        <w:t>成立时间：</w:t>
      </w:r>
      <w:r>
        <w:rPr>
          <w:color w:val="000000"/>
          <w:szCs w:val="28"/>
        </w:rPr>
        <w:t>1987</w:t>
      </w:r>
      <w:r>
        <w:rPr>
          <w:color w:val="000000"/>
          <w:szCs w:val="28"/>
        </w:rPr>
        <w:t>年</w:t>
      </w:r>
      <w:r>
        <w:rPr>
          <w:color w:val="000000"/>
          <w:szCs w:val="28"/>
        </w:rPr>
        <w:t>4</w:t>
      </w:r>
      <w:r>
        <w:rPr>
          <w:color w:val="000000"/>
          <w:szCs w:val="28"/>
        </w:rPr>
        <w:t>月</w:t>
      </w:r>
      <w:r>
        <w:rPr>
          <w:color w:val="000000"/>
          <w:szCs w:val="28"/>
        </w:rPr>
        <w:t>20</w:t>
      </w:r>
      <w:r>
        <w:rPr>
          <w:color w:val="000000"/>
          <w:szCs w:val="28"/>
        </w:rPr>
        <w:t>日</w:t>
      </w:r>
    </w:p>
    <w:p w14:paraId="1DA2D167" w14:textId="77777777" w:rsidR="00AB7492" w:rsidRDefault="00AB7492" w:rsidP="00AB7492">
      <w:pPr>
        <w:spacing w:line="360" w:lineRule="auto"/>
        <w:ind w:firstLineChars="200" w:firstLine="420"/>
        <w:rPr>
          <w:szCs w:val="28"/>
        </w:rPr>
      </w:pPr>
      <w:r>
        <w:rPr>
          <w:szCs w:val="28"/>
        </w:rPr>
        <w:t>组织形式：股份有限公司</w:t>
      </w:r>
    </w:p>
    <w:p w14:paraId="0A482F24" w14:textId="77777777" w:rsidR="00AB7492" w:rsidRDefault="00AB7492" w:rsidP="00AB7492">
      <w:pPr>
        <w:spacing w:line="360" w:lineRule="auto"/>
        <w:ind w:firstLineChars="200" w:firstLine="420"/>
        <w:rPr>
          <w:szCs w:val="28"/>
        </w:rPr>
      </w:pPr>
      <w:r>
        <w:rPr>
          <w:szCs w:val="28"/>
        </w:rPr>
        <w:t>注册资本：</w:t>
      </w:r>
      <w:r>
        <w:rPr>
          <w:color w:val="000000"/>
          <w:szCs w:val="28"/>
        </w:rPr>
        <w:t>489.35</w:t>
      </w:r>
      <w:r>
        <w:rPr>
          <w:color w:val="000000"/>
          <w:szCs w:val="28"/>
        </w:rPr>
        <w:t>亿元人民币</w:t>
      </w:r>
    </w:p>
    <w:p w14:paraId="0E453FF0" w14:textId="77777777" w:rsidR="00AB7492" w:rsidRDefault="00AB7492" w:rsidP="00AB7492">
      <w:pPr>
        <w:spacing w:line="360" w:lineRule="auto"/>
        <w:ind w:firstLineChars="200" w:firstLine="420"/>
        <w:rPr>
          <w:szCs w:val="28"/>
        </w:rPr>
      </w:pPr>
      <w:r>
        <w:rPr>
          <w:szCs w:val="28"/>
        </w:rPr>
        <w:t>存续期间：持续经营</w:t>
      </w:r>
    </w:p>
    <w:p w14:paraId="11B29516" w14:textId="66FFF009" w:rsidR="00AB7492" w:rsidRDefault="005C1490" w:rsidP="00AB7492">
      <w:pPr>
        <w:spacing w:line="360" w:lineRule="auto"/>
        <w:ind w:firstLineChars="200" w:firstLine="420"/>
        <w:rPr>
          <w:szCs w:val="28"/>
        </w:rPr>
      </w:pPr>
      <w:r w:rsidRPr="005C1490">
        <w:rPr>
          <w:rFonts w:hint="eastAsia"/>
          <w:szCs w:val="28"/>
        </w:rPr>
        <w:t>批准设立机关及</w:t>
      </w:r>
      <w:r w:rsidR="00AB7492">
        <w:rPr>
          <w:rFonts w:hint="eastAsia"/>
          <w:szCs w:val="28"/>
        </w:rPr>
        <w:t>批准设立文号：中华人民共和国国务院办公厅国办函</w:t>
      </w:r>
      <w:r w:rsidR="00AB7492">
        <w:rPr>
          <w:rFonts w:hint="eastAsia"/>
          <w:szCs w:val="28"/>
        </w:rPr>
        <w:t>[1987]14</w:t>
      </w:r>
      <w:r w:rsidR="00AB7492">
        <w:rPr>
          <w:rFonts w:hint="eastAsia"/>
          <w:szCs w:val="28"/>
        </w:rPr>
        <w:t>号</w:t>
      </w:r>
    </w:p>
    <w:p w14:paraId="0B0E17A1" w14:textId="77777777" w:rsidR="00AB7492" w:rsidRDefault="00AB7492" w:rsidP="00AB7492">
      <w:pPr>
        <w:spacing w:line="360" w:lineRule="auto"/>
        <w:ind w:firstLineChars="200" w:firstLine="420"/>
        <w:rPr>
          <w:szCs w:val="28"/>
        </w:rPr>
      </w:pPr>
      <w:r>
        <w:rPr>
          <w:szCs w:val="28"/>
        </w:rPr>
        <w:t>基金托管业务批准文号：</w:t>
      </w:r>
      <w:r>
        <w:rPr>
          <w:color w:val="000000"/>
          <w:szCs w:val="28"/>
        </w:rPr>
        <w:t>中国证监会证</w:t>
      </w:r>
      <w:proofErr w:type="gramStart"/>
      <w:r>
        <w:rPr>
          <w:color w:val="000000"/>
          <w:szCs w:val="28"/>
        </w:rPr>
        <w:t>监基</w:t>
      </w:r>
      <w:r>
        <w:rPr>
          <w:rFonts w:hint="eastAsia"/>
          <w:color w:val="000000"/>
          <w:szCs w:val="28"/>
        </w:rPr>
        <w:t>金</w:t>
      </w:r>
      <w:r>
        <w:rPr>
          <w:color w:val="000000"/>
          <w:szCs w:val="28"/>
        </w:rPr>
        <w:t>字</w:t>
      </w:r>
      <w:proofErr w:type="gramEnd"/>
      <w:r>
        <w:rPr>
          <w:rFonts w:hint="eastAsia"/>
          <w:color w:val="000000"/>
          <w:szCs w:val="28"/>
        </w:rPr>
        <w:t>[</w:t>
      </w:r>
      <w:r>
        <w:rPr>
          <w:color w:val="000000"/>
          <w:szCs w:val="28"/>
        </w:rPr>
        <w:t>2004</w:t>
      </w:r>
      <w:r>
        <w:rPr>
          <w:rFonts w:hint="eastAsia"/>
          <w:color w:val="000000"/>
          <w:szCs w:val="28"/>
        </w:rPr>
        <w:t>]</w:t>
      </w:r>
      <w:r>
        <w:rPr>
          <w:color w:val="000000"/>
          <w:szCs w:val="28"/>
        </w:rPr>
        <w:t>125</w:t>
      </w:r>
      <w:r>
        <w:rPr>
          <w:color w:val="000000"/>
          <w:szCs w:val="28"/>
        </w:rPr>
        <w:t>号</w:t>
      </w:r>
    </w:p>
    <w:p w14:paraId="2DAB150C"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7" w:name="_Toc348082030"/>
      <w:bookmarkStart w:id="8" w:name="_Toc204947270"/>
      <w:r>
        <w:rPr>
          <w:rFonts w:ascii="宋体" w:eastAsia="宋体" w:hAnsi="宋体" w:hint="eastAsia"/>
          <w:sz w:val="21"/>
          <w:szCs w:val="21"/>
        </w:rPr>
        <w:lastRenderedPageBreak/>
        <w:t>二、基金托管协议的依据、目的和原则</w:t>
      </w:r>
      <w:bookmarkEnd w:id="7"/>
      <w:bookmarkEnd w:id="8"/>
    </w:p>
    <w:p w14:paraId="17534148" w14:textId="77777777" w:rsidR="000F2133" w:rsidRDefault="00D82757">
      <w:pPr>
        <w:spacing w:line="360" w:lineRule="auto"/>
        <w:ind w:firstLineChars="200" w:firstLine="420"/>
        <w:rPr>
          <w:rFonts w:ascii="宋体" w:hAnsi="宋体"/>
          <w:szCs w:val="21"/>
        </w:rPr>
      </w:pPr>
      <w:r>
        <w:rPr>
          <w:rFonts w:ascii="宋体" w:hAnsi="宋体" w:cs="Arial" w:hint="eastAsia"/>
          <w:szCs w:val="21"/>
        </w:rPr>
        <w:t>（一）订立托管协议的依据</w:t>
      </w:r>
    </w:p>
    <w:p w14:paraId="6FFC2B6A" w14:textId="347A31AD" w:rsidR="000F2133" w:rsidRDefault="00D82757">
      <w:pPr>
        <w:spacing w:line="360" w:lineRule="auto"/>
        <w:ind w:firstLineChars="200" w:firstLine="420"/>
        <w:rPr>
          <w:rFonts w:ascii="宋体" w:hAnsi="宋体" w:cs="Arial"/>
          <w:szCs w:val="21"/>
        </w:rPr>
      </w:pPr>
      <w:r>
        <w:rPr>
          <w:rFonts w:ascii="宋体" w:hAnsi="宋体" w:cs="Arial" w:hint="eastAsia"/>
          <w:szCs w:val="21"/>
        </w:rPr>
        <w:t>本协议依据《中华人民共和国证券投资基金法》(以下简称“《基金法》”)、《公开募集证券投资基金运作管理办法》（以下简称“《运作办法》”）、《公开募集开放式证券投资基金流动性风险管理规定》</w:t>
      </w:r>
      <w:r>
        <w:rPr>
          <w:rFonts w:cs="Arial" w:hint="eastAsia"/>
          <w:szCs w:val="21"/>
        </w:rPr>
        <w:t>（以下</w:t>
      </w:r>
      <w:r>
        <w:rPr>
          <w:rFonts w:cs="Arial"/>
          <w:szCs w:val="21"/>
        </w:rPr>
        <w:t>简称</w:t>
      </w:r>
      <w:r>
        <w:rPr>
          <w:rFonts w:cs="Arial"/>
          <w:szCs w:val="21"/>
        </w:rPr>
        <w:t>“</w:t>
      </w:r>
      <w:r>
        <w:rPr>
          <w:rFonts w:cs="Arial" w:hint="eastAsia"/>
          <w:szCs w:val="21"/>
        </w:rPr>
        <w:t>《流动性</w:t>
      </w:r>
      <w:r>
        <w:rPr>
          <w:rFonts w:cs="Arial"/>
          <w:szCs w:val="21"/>
        </w:rPr>
        <w:t>风险管理规定</w:t>
      </w:r>
      <w:r>
        <w:rPr>
          <w:rFonts w:cs="Arial" w:hint="eastAsia"/>
          <w:szCs w:val="21"/>
        </w:rPr>
        <w:t>》</w:t>
      </w:r>
      <w:r>
        <w:rPr>
          <w:rFonts w:cs="Arial"/>
          <w:szCs w:val="21"/>
        </w:rPr>
        <w:t>”</w:t>
      </w:r>
      <w:r>
        <w:rPr>
          <w:rFonts w:cs="Arial" w:hint="eastAsia"/>
          <w:szCs w:val="21"/>
        </w:rPr>
        <w:t>）、《公开募集证券投资基金信息披露管理办法》（以下简称</w:t>
      </w:r>
      <w:r>
        <w:rPr>
          <w:rFonts w:cs="Arial"/>
          <w:szCs w:val="21"/>
        </w:rPr>
        <w:t>“</w:t>
      </w:r>
      <w:r>
        <w:rPr>
          <w:rFonts w:cs="Arial" w:hint="eastAsia"/>
          <w:szCs w:val="21"/>
        </w:rPr>
        <w:t>《信息披露办法》</w:t>
      </w:r>
      <w:r>
        <w:rPr>
          <w:rFonts w:cs="Arial"/>
          <w:szCs w:val="21"/>
        </w:rPr>
        <w:t>”</w:t>
      </w:r>
      <w:r>
        <w:rPr>
          <w:rFonts w:cs="Arial" w:hint="eastAsia"/>
          <w:szCs w:val="21"/>
        </w:rPr>
        <w:t>）</w:t>
      </w:r>
      <w:r>
        <w:rPr>
          <w:rFonts w:ascii="宋体" w:hAnsi="宋体" w:cs="Arial" w:hint="eastAsia"/>
          <w:szCs w:val="21"/>
        </w:rPr>
        <w:t>等有关法律法规、基金合同及其他有关规定制订。</w:t>
      </w:r>
    </w:p>
    <w:p w14:paraId="381A6D8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（二）订立托管协议的目的</w:t>
      </w:r>
    </w:p>
    <w:p w14:paraId="68E9B7BA" w14:textId="77777777" w:rsidR="000F2133" w:rsidRDefault="00D82757">
      <w:pPr>
        <w:spacing w:line="360" w:lineRule="auto"/>
        <w:ind w:firstLineChars="200" w:firstLine="420"/>
        <w:rPr>
          <w:rFonts w:ascii="宋体" w:hAnsi="宋体"/>
          <w:szCs w:val="21"/>
        </w:rPr>
      </w:pPr>
      <w:r>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93A3DE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（三）订立托管协议的原则</w:t>
      </w:r>
    </w:p>
    <w:p w14:paraId="7A668164"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基金管理人和基金托管人本着平等自愿、诚实信用、充分保护基金份额持有人合法权益的原则，经协商一致，签订本协议。</w:t>
      </w:r>
    </w:p>
    <w:p w14:paraId="497EC06E" w14:textId="77777777" w:rsidR="000F2133" w:rsidRDefault="000F2133">
      <w:pPr>
        <w:spacing w:line="360" w:lineRule="auto"/>
        <w:rPr>
          <w:rFonts w:ascii="宋体" w:hAnsi="宋体"/>
          <w:szCs w:val="21"/>
        </w:rPr>
      </w:pPr>
    </w:p>
    <w:p w14:paraId="1EA91368"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9" w:name="_Toc348082031"/>
      <w:bookmarkStart w:id="10" w:name="_Toc204947271"/>
      <w:r>
        <w:rPr>
          <w:rFonts w:ascii="宋体" w:eastAsia="宋体" w:hAnsi="宋体" w:hint="eastAsia"/>
          <w:sz w:val="21"/>
          <w:szCs w:val="21"/>
        </w:rPr>
        <w:lastRenderedPageBreak/>
        <w:t>三、基金托管人对基金管理人的业务监督和核查</w:t>
      </w:r>
      <w:bookmarkEnd w:id="9"/>
      <w:bookmarkEnd w:id="10"/>
    </w:p>
    <w:p w14:paraId="575A2F4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（一）基金托管人根据有关法律法规的规定以及《基金合同》的约定，对基金投资范围、投资比例、投资限制、关联方交易等进行监督。</w:t>
      </w:r>
    </w:p>
    <w:p w14:paraId="39D4C755" w14:textId="77777777" w:rsidR="000F2133" w:rsidRDefault="00D82757">
      <w:pPr>
        <w:spacing w:line="360" w:lineRule="auto"/>
        <w:ind w:firstLineChars="200" w:firstLine="420"/>
        <w:rPr>
          <w:rFonts w:ascii="宋体" w:hAnsi="宋体" w:cs="Arial"/>
          <w:szCs w:val="21"/>
        </w:rPr>
      </w:pPr>
      <w:bookmarkStart w:id="11" w:name="OLE_LINK1"/>
      <w:bookmarkStart w:id="12" w:name="OLE_LINK2"/>
      <w:r>
        <w:rPr>
          <w:rFonts w:ascii="宋体" w:hAnsi="宋体" w:cs="Arial" w:hint="eastAsia"/>
          <w:szCs w:val="21"/>
        </w:rPr>
        <w:t>1.本基金的投资范围为：</w:t>
      </w:r>
    </w:p>
    <w:p w14:paraId="307A86FB"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本基金的投资范围为具有良好流动性的金融工具，包括国内依法发行上市的股票（包括主板、创业板、</w:t>
      </w:r>
      <w:proofErr w:type="gramStart"/>
      <w:r>
        <w:rPr>
          <w:rFonts w:ascii="宋体" w:hAnsi="宋体" w:cs="Arial" w:hint="eastAsia"/>
          <w:szCs w:val="21"/>
        </w:rPr>
        <w:t>科创板</w:t>
      </w:r>
      <w:proofErr w:type="gramEnd"/>
      <w:r>
        <w:rPr>
          <w:rFonts w:ascii="宋体" w:hAnsi="宋体" w:cs="Arial" w:hint="eastAsia"/>
          <w:szCs w:val="21"/>
        </w:rPr>
        <w:t>以及其他经中国证监会允许发行上市的股票）、存托凭证、港股通标的股票、债券（包括国债、地方政府债、政府支持机构债、金融债、企业债、公司债、央行票据、中期票据、短期融资</w:t>
      </w:r>
      <w:proofErr w:type="gramStart"/>
      <w:r>
        <w:rPr>
          <w:rFonts w:ascii="宋体" w:hAnsi="宋体" w:cs="Arial" w:hint="eastAsia"/>
          <w:szCs w:val="21"/>
        </w:rPr>
        <w:t>券</w:t>
      </w:r>
      <w:proofErr w:type="gramEnd"/>
      <w:r>
        <w:rPr>
          <w:rFonts w:ascii="宋体" w:hAnsi="宋体" w:cs="Arial" w:hint="eastAsia"/>
          <w:szCs w:val="21"/>
        </w:rPr>
        <w:t>、超短期融资</w:t>
      </w:r>
      <w:proofErr w:type="gramStart"/>
      <w:r>
        <w:rPr>
          <w:rFonts w:ascii="宋体" w:hAnsi="宋体" w:cs="Arial" w:hint="eastAsia"/>
          <w:szCs w:val="21"/>
        </w:rPr>
        <w:t>券</w:t>
      </w:r>
      <w:proofErr w:type="gramEnd"/>
      <w:r>
        <w:rPr>
          <w:rFonts w:ascii="宋体" w:hAnsi="宋体" w:cs="Arial" w:hint="eastAsia"/>
          <w:szCs w:val="21"/>
        </w:rPr>
        <w:t>、可转换债券、可交换债券、公开发行的次级债、分离交易可转债</w:t>
      </w:r>
      <w:proofErr w:type="gramStart"/>
      <w:r>
        <w:rPr>
          <w:rFonts w:ascii="宋体" w:hAnsi="宋体" w:cs="Arial" w:hint="eastAsia"/>
          <w:szCs w:val="21"/>
        </w:rPr>
        <w:t>的纯债部分</w:t>
      </w:r>
      <w:proofErr w:type="gramEnd"/>
      <w:r>
        <w:rPr>
          <w:rFonts w:ascii="宋体" w:hAnsi="宋体" w:cs="Arial" w:hint="eastAsia"/>
          <w:szCs w:val="21"/>
        </w:rPr>
        <w:t>）、资产支持证券、债券回购、银行存款、同业存单、现金、衍生工具（包括国债期货、股指期货、股票期权）、信用衍生品（不含合约类信用衍生品）以及法律法规或中国证监会允许基金投资的其他金融工具（但须符合中国证监会的相关规定）。</w:t>
      </w:r>
    </w:p>
    <w:p w14:paraId="679918BB"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本基金可根据法律法规的规定参与融资业务。</w:t>
      </w:r>
    </w:p>
    <w:p w14:paraId="3026438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如法律法规或监管机构以后允许基金投资其他品种，基金管理人在履行适当程序后，可以将其纳入投资范围。</w:t>
      </w:r>
    </w:p>
    <w:p w14:paraId="58F5B452"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2.本基金各类品种的投资比例、投资限制为：</w:t>
      </w:r>
    </w:p>
    <w:p w14:paraId="65139CA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（1）基金的投资组合比例为：</w:t>
      </w:r>
    </w:p>
    <w:p w14:paraId="727B2BCF"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投资组合中股票及存托凭证投资比例为基金资产的60%-95%；投资于港股通标的股票的比例不超过全部股票及存托凭证资产的50%；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14:paraId="7702DB91"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如果法律法规或监管机构变更投资品种的投资比例限制，基金管理人在履行适当程序后，可以调整上述投资品种的投资比例。</w:t>
      </w:r>
    </w:p>
    <w:p w14:paraId="05FBB2B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（2）本基金投资组合遵循以下投资限制：</w:t>
      </w:r>
    </w:p>
    <w:p w14:paraId="7C14F0B6" w14:textId="4ED08526" w:rsidR="000F2133" w:rsidRDefault="00D82757">
      <w:pPr>
        <w:spacing w:line="360" w:lineRule="auto"/>
        <w:ind w:firstLineChars="200" w:firstLine="420"/>
        <w:rPr>
          <w:rFonts w:ascii="宋体" w:hAnsi="宋体" w:cs="Arial"/>
          <w:szCs w:val="21"/>
        </w:rPr>
      </w:pPr>
      <w:r>
        <w:rPr>
          <w:rFonts w:ascii="宋体" w:hAnsi="宋体" w:cs="Arial" w:hint="eastAsia"/>
          <w:szCs w:val="21"/>
        </w:rPr>
        <w:t xml:space="preserve">1）本基金投资组合中股票及存托凭证投资比例为基金资产的60%-95%；投资于港股通标的股票的比例不超过全部股票及存托凭证资产的50%； </w:t>
      </w:r>
    </w:p>
    <w:p w14:paraId="4A637A71" w14:textId="3090F1B3" w:rsidR="000F2133" w:rsidRDefault="00D82757">
      <w:pPr>
        <w:spacing w:line="360" w:lineRule="auto"/>
        <w:ind w:firstLineChars="200" w:firstLine="420"/>
        <w:rPr>
          <w:rFonts w:ascii="宋体" w:hAnsi="宋体" w:cs="Arial"/>
          <w:szCs w:val="21"/>
        </w:rPr>
      </w:pPr>
      <w:r>
        <w:rPr>
          <w:rFonts w:ascii="宋体" w:hAnsi="宋体" w:cs="Arial" w:hint="eastAsia"/>
          <w:szCs w:val="21"/>
        </w:rPr>
        <w:t>2）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14:paraId="655D127F" w14:textId="43953346" w:rsidR="000F2133" w:rsidRDefault="00D82757">
      <w:pPr>
        <w:spacing w:line="360" w:lineRule="auto"/>
        <w:ind w:firstLineChars="200" w:firstLine="420"/>
        <w:rPr>
          <w:rFonts w:ascii="宋体" w:hAnsi="宋体" w:cs="Arial"/>
          <w:szCs w:val="21"/>
        </w:rPr>
      </w:pPr>
      <w:r>
        <w:rPr>
          <w:rFonts w:ascii="宋体" w:hAnsi="宋体" w:cs="Arial" w:hint="eastAsia"/>
          <w:szCs w:val="21"/>
        </w:rPr>
        <w:t>3）本基金持有一家公司发行的证券，其市值（同一家公司在内地和香港同时上市的A+H</w:t>
      </w:r>
      <w:r>
        <w:rPr>
          <w:rFonts w:ascii="宋体" w:hAnsi="宋体" w:cs="Arial" w:hint="eastAsia"/>
          <w:szCs w:val="21"/>
        </w:rPr>
        <w:lastRenderedPageBreak/>
        <w:t>股合计计算）不超过基金资产净值的10％；</w:t>
      </w:r>
    </w:p>
    <w:p w14:paraId="3E9B7CFC" w14:textId="71CC1B96" w:rsidR="000F2133" w:rsidRDefault="00D82757">
      <w:pPr>
        <w:spacing w:line="360" w:lineRule="auto"/>
        <w:ind w:firstLineChars="200" w:firstLine="420"/>
        <w:rPr>
          <w:rFonts w:ascii="宋体" w:hAnsi="宋体" w:cs="Arial"/>
          <w:szCs w:val="21"/>
        </w:rPr>
      </w:pPr>
      <w:r>
        <w:rPr>
          <w:rFonts w:ascii="宋体" w:hAnsi="宋体" w:cs="Arial" w:hint="eastAsia"/>
          <w:szCs w:val="21"/>
        </w:rPr>
        <w:t>4）本基金管理人管理的</w:t>
      </w:r>
      <w:r w:rsidR="00093EE1" w:rsidRPr="00093EE1">
        <w:rPr>
          <w:rFonts w:ascii="宋体" w:hAnsi="宋体" w:cs="Arial" w:hint="eastAsia"/>
          <w:szCs w:val="21"/>
        </w:rPr>
        <w:t>且由基金托管人托管的</w:t>
      </w:r>
      <w:r>
        <w:rPr>
          <w:rFonts w:ascii="宋体" w:hAnsi="宋体" w:cs="Arial" w:hint="eastAsia"/>
          <w:szCs w:val="21"/>
        </w:rPr>
        <w:t>全部基金持有一家公司发行的证券（同一家公司在内地和香港同时上市的A+H股合计计算）不超过该证券的10％，完全按照有关指数的构成比例进行证券投资的基金品种可以不受此条款规定的比例限制；</w:t>
      </w:r>
    </w:p>
    <w:p w14:paraId="6E16AA22" w14:textId="2C257BCD" w:rsidR="000F2133" w:rsidRDefault="00D82757">
      <w:pPr>
        <w:spacing w:line="360" w:lineRule="auto"/>
        <w:ind w:firstLineChars="200" w:firstLine="420"/>
        <w:rPr>
          <w:rFonts w:ascii="宋体" w:hAnsi="宋体" w:cs="Arial"/>
          <w:szCs w:val="21"/>
        </w:rPr>
      </w:pPr>
      <w:r>
        <w:rPr>
          <w:rFonts w:ascii="宋体" w:hAnsi="宋体" w:cs="Arial" w:hint="eastAsia"/>
          <w:szCs w:val="21"/>
        </w:rPr>
        <w:t>5）本基金投资于同一原始权益人的各类资产支持证券的比例，不得超过基金资产净值的10％；</w:t>
      </w:r>
    </w:p>
    <w:p w14:paraId="7689CB57" w14:textId="350B3B18" w:rsidR="000F2133" w:rsidRDefault="00D82757">
      <w:pPr>
        <w:spacing w:line="360" w:lineRule="auto"/>
        <w:ind w:firstLineChars="200" w:firstLine="420"/>
        <w:rPr>
          <w:rFonts w:ascii="宋体" w:hAnsi="宋体" w:cs="Arial"/>
          <w:szCs w:val="21"/>
        </w:rPr>
      </w:pPr>
      <w:r>
        <w:rPr>
          <w:rFonts w:ascii="宋体" w:hAnsi="宋体" w:cs="Arial" w:hint="eastAsia"/>
          <w:szCs w:val="21"/>
        </w:rPr>
        <w:t>6）本基金持有的全部资产支持证券，其市值不得超过基金资产净值的20％；</w:t>
      </w:r>
    </w:p>
    <w:p w14:paraId="1F4AC583" w14:textId="0AE6D679" w:rsidR="000F2133" w:rsidRDefault="00D82757">
      <w:pPr>
        <w:spacing w:line="360" w:lineRule="auto"/>
        <w:ind w:firstLineChars="200" w:firstLine="420"/>
        <w:rPr>
          <w:rFonts w:ascii="宋体" w:hAnsi="宋体" w:cs="Arial"/>
          <w:szCs w:val="21"/>
        </w:rPr>
      </w:pPr>
      <w:r>
        <w:rPr>
          <w:rFonts w:ascii="宋体" w:hAnsi="宋体" w:cs="Arial" w:hint="eastAsia"/>
          <w:szCs w:val="21"/>
        </w:rPr>
        <w:t>7）本基金持有的同一(指同一信用级别)资产支持证券的比例，不得超过该资产支持证券规模的10％；</w:t>
      </w:r>
    </w:p>
    <w:p w14:paraId="128804A4" w14:textId="59C7D01C" w:rsidR="000F2133" w:rsidRDefault="00D82757">
      <w:pPr>
        <w:spacing w:line="360" w:lineRule="auto"/>
        <w:ind w:firstLineChars="200" w:firstLine="420"/>
        <w:rPr>
          <w:rFonts w:ascii="宋体" w:hAnsi="宋体" w:cs="Arial"/>
          <w:szCs w:val="21"/>
        </w:rPr>
      </w:pPr>
      <w:r>
        <w:rPr>
          <w:rFonts w:ascii="宋体" w:hAnsi="宋体" w:cs="Arial" w:hint="eastAsia"/>
          <w:szCs w:val="21"/>
        </w:rPr>
        <w:t>8）本基金管理人管理的</w:t>
      </w:r>
      <w:r w:rsidR="00093EE1" w:rsidRPr="00093EE1">
        <w:rPr>
          <w:rFonts w:ascii="宋体" w:hAnsi="宋体" w:cs="Arial" w:hint="eastAsia"/>
          <w:szCs w:val="21"/>
        </w:rPr>
        <w:t>且由基金托管人托管的</w:t>
      </w:r>
      <w:r>
        <w:rPr>
          <w:rFonts w:ascii="宋体" w:hAnsi="宋体" w:cs="Arial" w:hint="eastAsia"/>
          <w:szCs w:val="21"/>
        </w:rPr>
        <w:t>全部基金投资于同一原始权益人的各类资产支持证券，不得超过其各类资产支持证券合计规模的10％；</w:t>
      </w:r>
    </w:p>
    <w:p w14:paraId="0726B716" w14:textId="2D9E0156" w:rsidR="000F2133" w:rsidRDefault="00D82757">
      <w:pPr>
        <w:spacing w:line="360" w:lineRule="auto"/>
        <w:ind w:firstLineChars="200" w:firstLine="420"/>
        <w:rPr>
          <w:rFonts w:ascii="宋体" w:hAnsi="宋体" w:cs="Arial"/>
          <w:szCs w:val="21"/>
        </w:rPr>
      </w:pPr>
      <w:r>
        <w:rPr>
          <w:rFonts w:ascii="宋体" w:hAnsi="宋体" w:cs="Arial"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734A809C" w14:textId="21A5FD63" w:rsidR="000F2133" w:rsidRDefault="00D82757">
      <w:pPr>
        <w:spacing w:line="360" w:lineRule="auto"/>
        <w:ind w:firstLineChars="200" w:firstLine="420"/>
        <w:rPr>
          <w:rFonts w:ascii="宋体" w:hAnsi="宋体" w:cs="Arial"/>
          <w:szCs w:val="21"/>
        </w:rPr>
      </w:pPr>
      <w:r>
        <w:rPr>
          <w:rFonts w:ascii="宋体" w:hAnsi="宋体" w:cs="Arial" w:hint="eastAsia"/>
          <w:szCs w:val="21"/>
        </w:rPr>
        <w:t>10）基金财产参与股票发行申购，本基金所申报的金额不超过本基金的总资产，本基金所申报的股票数量不超过拟发行股票公司本次发行股票的总量；</w:t>
      </w:r>
    </w:p>
    <w:p w14:paraId="0C34D4AA" w14:textId="77F67AD4" w:rsidR="000F2133" w:rsidRDefault="00D82757">
      <w:pPr>
        <w:spacing w:line="360" w:lineRule="auto"/>
        <w:ind w:firstLineChars="200" w:firstLine="420"/>
        <w:rPr>
          <w:rFonts w:ascii="宋体" w:hAnsi="宋体" w:cs="Arial"/>
          <w:szCs w:val="21"/>
        </w:rPr>
      </w:pPr>
      <w:r>
        <w:rPr>
          <w:rFonts w:ascii="宋体" w:hAnsi="宋体" w:cs="Arial" w:hint="eastAsia"/>
          <w:szCs w:val="21"/>
        </w:rPr>
        <w:t>11）本基金不得持有信用保护卖方属性的信用衍生品，不得持有合约类信用衍生品，持有的信用衍生品的名义本金不得超过本基金对应受保护债券面值的100%；</w:t>
      </w:r>
    </w:p>
    <w:p w14:paraId="61CF3820" w14:textId="45D31C3D" w:rsidR="000F2133" w:rsidRDefault="00D82757">
      <w:pPr>
        <w:spacing w:line="360" w:lineRule="auto"/>
        <w:ind w:firstLineChars="200" w:firstLine="420"/>
        <w:rPr>
          <w:rFonts w:ascii="宋体" w:hAnsi="宋体" w:cs="Arial"/>
          <w:szCs w:val="21"/>
        </w:rPr>
      </w:pPr>
      <w:r>
        <w:rPr>
          <w:rFonts w:ascii="宋体" w:hAnsi="宋体" w:cs="Arial" w:hint="eastAsia"/>
          <w:szCs w:val="21"/>
        </w:rPr>
        <w:t>12）本基金投资于同一信用保护卖方的各类信用衍生品的名义本金合计不得超过基金资产净值的10%；</w:t>
      </w:r>
    </w:p>
    <w:p w14:paraId="65A91092" w14:textId="47F19642" w:rsidR="000F2133" w:rsidRDefault="00D82757">
      <w:pPr>
        <w:spacing w:line="360" w:lineRule="auto"/>
        <w:ind w:firstLineChars="200" w:firstLine="420"/>
        <w:rPr>
          <w:rFonts w:ascii="宋体" w:hAnsi="宋体" w:cs="Arial"/>
          <w:szCs w:val="21"/>
        </w:rPr>
      </w:pPr>
      <w:r>
        <w:rPr>
          <w:rFonts w:ascii="宋体" w:hAnsi="宋体" w:cs="Arial" w:hint="eastAsia"/>
          <w:szCs w:val="21"/>
        </w:rPr>
        <w:t>因证券、期货市场波动、证券发行人合并、基金规模变动等基金管理人之外的因素致使基金不符合前述11）、12）所规定比例限制的，基金管理人应在3个月之内进行调整；</w:t>
      </w:r>
    </w:p>
    <w:p w14:paraId="21ED8EED" w14:textId="680DA1F2" w:rsidR="000F2133" w:rsidRDefault="00D82757">
      <w:pPr>
        <w:spacing w:line="360" w:lineRule="auto"/>
        <w:ind w:firstLineChars="200" w:firstLine="420"/>
        <w:rPr>
          <w:rFonts w:ascii="宋体" w:hAnsi="宋体" w:cs="Arial"/>
          <w:szCs w:val="21"/>
        </w:rPr>
      </w:pPr>
      <w:r>
        <w:rPr>
          <w:rFonts w:ascii="宋体" w:hAnsi="宋体" w:cs="Arial" w:hint="eastAsia"/>
          <w:szCs w:val="21"/>
        </w:rPr>
        <w:t>13）本基金管理人管理的</w:t>
      </w:r>
      <w:r w:rsidR="00093EE1" w:rsidRPr="00093EE1">
        <w:rPr>
          <w:rFonts w:ascii="宋体" w:hAnsi="宋体" w:cs="Arial" w:hint="eastAsia"/>
          <w:szCs w:val="21"/>
        </w:rPr>
        <w:t>且由基金托管人托管的</w:t>
      </w:r>
      <w:r>
        <w:rPr>
          <w:rFonts w:ascii="宋体" w:hAnsi="宋体" w:cs="Arial" w:hint="eastAsia"/>
          <w:szCs w:val="21"/>
        </w:rPr>
        <w:t>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190E46D" w14:textId="15B2C98C" w:rsidR="000F2133" w:rsidRDefault="00D82757">
      <w:pPr>
        <w:spacing w:line="360" w:lineRule="auto"/>
        <w:ind w:firstLineChars="200" w:firstLine="420"/>
        <w:rPr>
          <w:rFonts w:ascii="宋体" w:hAnsi="宋体" w:cs="Arial"/>
          <w:szCs w:val="21"/>
        </w:rPr>
      </w:pPr>
      <w:r>
        <w:rPr>
          <w:rFonts w:ascii="宋体" w:hAnsi="宋体" w:cs="Arial" w:hint="eastAsia"/>
          <w:szCs w:val="21"/>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E980AA2" w14:textId="77A09CDF" w:rsidR="000F2133" w:rsidRDefault="00D82757">
      <w:pPr>
        <w:spacing w:line="360" w:lineRule="auto"/>
        <w:ind w:firstLineChars="200" w:firstLine="420"/>
        <w:rPr>
          <w:rFonts w:ascii="宋体" w:hAnsi="宋体" w:cs="Arial"/>
          <w:szCs w:val="21"/>
        </w:rPr>
      </w:pPr>
      <w:r>
        <w:rPr>
          <w:rFonts w:ascii="宋体" w:hAnsi="宋体" w:cs="Arial" w:hint="eastAsia"/>
          <w:szCs w:val="21"/>
        </w:rPr>
        <w:lastRenderedPageBreak/>
        <w:t>15）本基金与私募类</w:t>
      </w:r>
      <w:proofErr w:type="gramStart"/>
      <w:r>
        <w:rPr>
          <w:rFonts w:ascii="宋体" w:hAnsi="宋体" w:cs="Arial" w:hint="eastAsia"/>
          <w:szCs w:val="21"/>
        </w:rPr>
        <w:t>证券资管产品</w:t>
      </w:r>
      <w:proofErr w:type="gramEnd"/>
      <w:r>
        <w:rPr>
          <w:rFonts w:ascii="宋体" w:hAnsi="宋体" w:cs="Arial" w:hint="eastAsia"/>
          <w:szCs w:val="21"/>
        </w:rPr>
        <w:t>及中国证监会认定的其他主体为交易对手开展逆回购交易的，可接受质押品的资质要求应当与基金合同约定的投资范围保持一致；</w:t>
      </w:r>
    </w:p>
    <w:p w14:paraId="49DCA4F2" w14:textId="67AF1F28" w:rsidR="000F2133" w:rsidRDefault="00D82757">
      <w:pPr>
        <w:spacing w:line="360" w:lineRule="auto"/>
        <w:ind w:firstLineChars="200" w:firstLine="420"/>
        <w:rPr>
          <w:rFonts w:ascii="宋体" w:hAnsi="宋体" w:cs="Arial"/>
          <w:szCs w:val="21"/>
        </w:rPr>
      </w:pPr>
      <w:r>
        <w:rPr>
          <w:rFonts w:ascii="宋体" w:hAnsi="宋体" w:cs="Arial" w:hint="eastAsia"/>
          <w:szCs w:val="21"/>
        </w:rPr>
        <w:t>16）本基金</w:t>
      </w:r>
      <w:proofErr w:type="gramStart"/>
      <w:r>
        <w:rPr>
          <w:rFonts w:ascii="宋体" w:hAnsi="宋体" w:cs="Arial" w:hint="eastAsia"/>
          <w:szCs w:val="21"/>
        </w:rPr>
        <w:t>若参</w:t>
      </w:r>
      <w:proofErr w:type="gramEnd"/>
      <w:r>
        <w:rPr>
          <w:rFonts w:ascii="宋体" w:hAnsi="宋体" w:cs="Arial" w:hint="eastAsia"/>
          <w:szCs w:val="21"/>
        </w:rPr>
        <w:t>与国债期货、股指期货交易的，需遵守下列投资比例限制：</w:t>
      </w:r>
    </w:p>
    <w:p w14:paraId="30B0A551" w14:textId="10A51A57" w:rsidR="000F2133" w:rsidRDefault="00B80138">
      <w:pPr>
        <w:spacing w:line="360" w:lineRule="auto"/>
        <w:ind w:firstLineChars="200" w:firstLine="420"/>
        <w:rPr>
          <w:rFonts w:ascii="宋体" w:hAnsi="宋体" w:cs="Arial"/>
          <w:szCs w:val="21"/>
        </w:rPr>
      </w:pPr>
      <w:r>
        <w:rPr>
          <w:rFonts w:ascii="宋体" w:hAnsi="宋体" w:cs="Arial" w:hint="eastAsia"/>
          <w:szCs w:val="21"/>
        </w:rPr>
        <w:t>①</w:t>
      </w:r>
      <w:r w:rsidR="00D82757">
        <w:rPr>
          <w:rFonts w:ascii="宋体" w:hAnsi="宋体" w:cs="Arial" w:hint="eastAsia"/>
          <w:szCs w:val="21"/>
        </w:rPr>
        <w:t>本基金在任何交易日日终，持有的买入股指期货合约价值，不得超过基金资产净值的10%；</w:t>
      </w:r>
    </w:p>
    <w:p w14:paraId="03C2E042" w14:textId="24E2E0EB" w:rsidR="000F2133" w:rsidRDefault="00B80138">
      <w:pPr>
        <w:spacing w:line="360" w:lineRule="auto"/>
        <w:ind w:firstLineChars="200" w:firstLine="420"/>
        <w:rPr>
          <w:rFonts w:ascii="宋体" w:hAnsi="宋体" w:cs="Arial"/>
          <w:szCs w:val="21"/>
        </w:rPr>
      </w:pPr>
      <w:r>
        <w:rPr>
          <w:rFonts w:ascii="宋体" w:hAnsi="宋体" w:cs="Arial" w:hint="eastAsia"/>
          <w:szCs w:val="21"/>
        </w:rPr>
        <w:t>②</w:t>
      </w:r>
      <w:r w:rsidR="00D82757">
        <w:rPr>
          <w:rFonts w:ascii="宋体" w:hAnsi="宋体" w:cs="Arial" w:hint="eastAsia"/>
          <w:szCs w:val="21"/>
        </w:rPr>
        <w:t>本基金在任何交易日日终，持有的买入国债期货合约价值，不得超过基金资产净值的15%；</w:t>
      </w:r>
    </w:p>
    <w:p w14:paraId="6621F08F" w14:textId="3159CFE6" w:rsidR="000F2133" w:rsidRDefault="00B80138">
      <w:pPr>
        <w:spacing w:line="360" w:lineRule="auto"/>
        <w:ind w:firstLineChars="200" w:firstLine="420"/>
        <w:rPr>
          <w:rFonts w:ascii="宋体" w:hAnsi="宋体" w:cs="Arial"/>
          <w:szCs w:val="21"/>
        </w:rPr>
      </w:pPr>
      <w:r>
        <w:rPr>
          <w:rFonts w:ascii="宋体" w:hAnsi="宋体" w:cs="Arial" w:hint="eastAsia"/>
          <w:szCs w:val="21"/>
        </w:rPr>
        <w:t>③</w:t>
      </w:r>
      <w:r w:rsidR="00D82757">
        <w:rPr>
          <w:rFonts w:ascii="宋体" w:hAnsi="宋体" w:cs="Arial" w:hint="eastAsia"/>
          <w:szCs w:val="21"/>
        </w:rPr>
        <w:t>本基金在任何交易日日终，持有的卖出股指期货合约价值不得超过基金持有的股票总市值的20%；</w:t>
      </w:r>
    </w:p>
    <w:p w14:paraId="3F167AB6" w14:textId="7B649981" w:rsidR="000F2133" w:rsidRDefault="00B80138">
      <w:pPr>
        <w:spacing w:line="360" w:lineRule="auto"/>
        <w:ind w:firstLineChars="200" w:firstLine="420"/>
        <w:rPr>
          <w:rFonts w:ascii="宋体" w:hAnsi="宋体" w:cs="Arial"/>
          <w:szCs w:val="21"/>
        </w:rPr>
      </w:pPr>
      <w:r>
        <w:rPr>
          <w:rFonts w:ascii="宋体" w:hAnsi="宋体" w:cs="Arial" w:hint="eastAsia"/>
          <w:szCs w:val="21"/>
        </w:rPr>
        <w:t>④</w:t>
      </w:r>
      <w:r w:rsidR="00D82757">
        <w:rPr>
          <w:rFonts w:ascii="宋体" w:hAnsi="宋体" w:cs="Arial" w:hint="eastAsia"/>
          <w:szCs w:val="21"/>
        </w:rPr>
        <w:t>本基金在任何交易日日终，持有的卖出国债期货合约价值不得超过基金持有的债券总市值的30%；</w:t>
      </w:r>
    </w:p>
    <w:p w14:paraId="5C6E6D02" w14:textId="0F43AC9A" w:rsidR="000F2133" w:rsidRDefault="00B80138">
      <w:pPr>
        <w:spacing w:line="360" w:lineRule="auto"/>
        <w:ind w:firstLineChars="200" w:firstLine="420"/>
        <w:rPr>
          <w:rFonts w:ascii="宋体" w:hAnsi="宋体" w:cs="Arial"/>
          <w:szCs w:val="21"/>
        </w:rPr>
      </w:pPr>
      <w:r>
        <w:rPr>
          <w:rFonts w:ascii="宋体" w:hAnsi="宋体" w:cs="Arial" w:hint="eastAsia"/>
          <w:szCs w:val="21"/>
        </w:rPr>
        <w:t>⑤</w:t>
      </w:r>
      <w:r w:rsidR="00D82757">
        <w:rPr>
          <w:rFonts w:ascii="宋体" w:hAnsi="宋体" w:cs="Arial" w:hint="eastAsia"/>
          <w:szCs w:val="21"/>
        </w:rPr>
        <w:t>本基金在任何交易日内交易（不包括平仓）的股指期货合约的成交金额不得超过上一交易日基金资产净值的20%；</w:t>
      </w:r>
    </w:p>
    <w:p w14:paraId="1358DE37" w14:textId="0B06CBF5" w:rsidR="000F2133" w:rsidRDefault="00B80138">
      <w:pPr>
        <w:spacing w:line="360" w:lineRule="auto"/>
        <w:ind w:firstLineChars="200" w:firstLine="420"/>
        <w:rPr>
          <w:rFonts w:ascii="宋体" w:hAnsi="宋体" w:cs="Arial"/>
          <w:szCs w:val="21"/>
        </w:rPr>
      </w:pPr>
      <w:r>
        <w:rPr>
          <w:rFonts w:ascii="宋体" w:hAnsi="宋体" w:cs="Arial" w:hint="eastAsia"/>
          <w:szCs w:val="21"/>
        </w:rPr>
        <w:t>⑥</w:t>
      </w:r>
      <w:r w:rsidR="00D82757">
        <w:rPr>
          <w:rFonts w:ascii="宋体" w:hAnsi="宋体" w:cs="Arial" w:hint="eastAsia"/>
          <w:szCs w:val="21"/>
        </w:rPr>
        <w:t>本基金在任何交易日内交易（不包括平仓）的国债期货合约的成交金额不得超过上一交易日基金资产净值的30%；</w:t>
      </w:r>
    </w:p>
    <w:p w14:paraId="53519A74" w14:textId="70EF5D47" w:rsidR="000F2133" w:rsidRDefault="00B80138">
      <w:pPr>
        <w:spacing w:line="360" w:lineRule="auto"/>
        <w:ind w:firstLineChars="200" w:firstLine="420"/>
        <w:rPr>
          <w:rFonts w:ascii="宋体" w:hAnsi="宋体" w:cs="Arial"/>
          <w:szCs w:val="21"/>
        </w:rPr>
      </w:pPr>
      <w:r>
        <w:rPr>
          <w:rFonts w:ascii="宋体" w:hAnsi="宋体" w:cs="Arial" w:hint="eastAsia"/>
          <w:szCs w:val="21"/>
        </w:rPr>
        <w:t>⑦</w:t>
      </w:r>
      <w:r w:rsidR="00D82757">
        <w:rPr>
          <w:rFonts w:ascii="宋体" w:hAnsi="宋体" w:cs="Arial" w:hint="eastAsia"/>
          <w:szCs w:val="21"/>
        </w:rPr>
        <w:t>本基金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7C9F3000" w14:textId="3AC82D7E" w:rsidR="000F2133" w:rsidRDefault="00B80138">
      <w:pPr>
        <w:spacing w:line="360" w:lineRule="auto"/>
        <w:ind w:firstLineChars="200" w:firstLine="420"/>
        <w:rPr>
          <w:rFonts w:ascii="宋体" w:hAnsi="宋体" w:cs="Arial"/>
          <w:szCs w:val="21"/>
        </w:rPr>
      </w:pPr>
      <w:r>
        <w:rPr>
          <w:rFonts w:ascii="宋体" w:hAnsi="宋体" w:cs="Arial" w:hint="eastAsia"/>
          <w:szCs w:val="21"/>
        </w:rPr>
        <w:t>⑧</w:t>
      </w:r>
      <w:r w:rsidR="00D82757">
        <w:rPr>
          <w:rFonts w:ascii="宋体" w:hAnsi="宋体" w:cs="Arial" w:hint="eastAsia"/>
          <w:szCs w:val="21"/>
        </w:rPr>
        <w:t>本基金所持有的股票市值和买入、卖出股指期货合约价值，合计（轧差计算）应当符合基金合同关于股票投资比例的有关约定；</w:t>
      </w:r>
    </w:p>
    <w:p w14:paraId="0201645E" w14:textId="2C8605DA" w:rsidR="000F2133" w:rsidRDefault="00D82757">
      <w:pPr>
        <w:spacing w:line="360" w:lineRule="auto"/>
        <w:ind w:firstLineChars="200" w:firstLine="420"/>
        <w:rPr>
          <w:rFonts w:ascii="宋体" w:hAnsi="宋体" w:cs="Arial"/>
          <w:szCs w:val="21"/>
        </w:rPr>
      </w:pPr>
      <w:r>
        <w:rPr>
          <w:rFonts w:ascii="宋体" w:hAnsi="宋体" w:cs="Arial" w:hint="eastAsia"/>
          <w:szCs w:val="21"/>
        </w:rPr>
        <w:t>17）本基金</w:t>
      </w:r>
      <w:proofErr w:type="gramStart"/>
      <w:r>
        <w:rPr>
          <w:rFonts w:ascii="宋体" w:hAnsi="宋体" w:cs="Arial" w:hint="eastAsia"/>
          <w:szCs w:val="21"/>
        </w:rPr>
        <w:t>若参</w:t>
      </w:r>
      <w:proofErr w:type="gramEnd"/>
      <w:r>
        <w:rPr>
          <w:rFonts w:ascii="宋体" w:hAnsi="宋体" w:cs="Arial" w:hint="eastAsia"/>
          <w:szCs w:val="21"/>
        </w:rPr>
        <w:t>与股票期权交易的，需遵守下列投资比例限制：</w:t>
      </w:r>
    </w:p>
    <w:p w14:paraId="0A742113" w14:textId="5E4628AE" w:rsidR="000F2133" w:rsidRDefault="00B80138">
      <w:pPr>
        <w:spacing w:line="360" w:lineRule="auto"/>
        <w:ind w:firstLineChars="200" w:firstLine="420"/>
        <w:rPr>
          <w:rFonts w:ascii="宋体" w:hAnsi="宋体" w:cs="Arial"/>
          <w:szCs w:val="21"/>
        </w:rPr>
      </w:pPr>
      <w:r>
        <w:rPr>
          <w:rFonts w:ascii="宋体" w:hAnsi="宋体" w:cs="Arial" w:hint="eastAsia"/>
          <w:szCs w:val="21"/>
        </w:rPr>
        <w:t>①</w:t>
      </w:r>
      <w:r w:rsidR="00D82757">
        <w:rPr>
          <w:rFonts w:ascii="宋体" w:hAnsi="宋体" w:cs="Arial" w:hint="eastAsia"/>
          <w:szCs w:val="21"/>
        </w:rPr>
        <w:t>本基金因未平仓的期权合约支付和收取的权利金总额不得超过基金资产净值的10%；</w:t>
      </w:r>
    </w:p>
    <w:p w14:paraId="24258EDA" w14:textId="6C70922E" w:rsidR="000F2133" w:rsidRDefault="00B80138">
      <w:pPr>
        <w:spacing w:line="360" w:lineRule="auto"/>
        <w:ind w:firstLineChars="200" w:firstLine="420"/>
        <w:rPr>
          <w:rFonts w:ascii="宋体" w:hAnsi="宋体" w:cs="Arial"/>
          <w:szCs w:val="21"/>
        </w:rPr>
      </w:pPr>
      <w:r>
        <w:rPr>
          <w:rFonts w:ascii="宋体" w:hAnsi="宋体" w:cs="Arial" w:hint="eastAsia"/>
          <w:szCs w:val="21"/>
        </w:rPr>
        <w:t>②</w:t>
      </w:r>
      <w:r w:rsidR="00D82757">
        <w:rPr>
          <w:rFonts w:ascii="宋体" w:hAnsi="宋体" w:cs="Arial" w:hint="eastAsia"/>
          <w:szCs w:val="21"/>
        </w:rPr>
        <w:t>本基金开仓卖出认购期权的，应持有足额标的证券；开仓卖出认沽期权的，应持有合约行权所需的全额现金或交易所规则认可的可冲抵期权保证金的现金等价物；</w:t>
      </w:r>
    </w:p>
    <w:p w14:paraId="4FE60D76" w14:textId="1043BD3A" w:rsidR="000F2133" w:rsidRDefault="00B80138">
      <w:pPr>
        <w:spacing w:line="360" w:lineRule="auto"/>
        <w:ind w:firstLineChars="200" w:firstLine="420"/>
        <w:rPr>
          <w:rFonts w:ascii="宋体" w:hAnsi="宋体" w:cs="Arial"/>
          <w:szCs w:val="21"/>
        </w:rPr>
      </w:pPr>
      <w:r>
        <w:rPr>
          <w:rFonts w:ascii="宋体" w:hAnsi="宋体" w:cs="Arial" w:hint="eastAsia"/>
          <w:szCs w:val="21"/>
        </w:rPr>
        <w:t>③</w:t>
      </w:r>
      <w:r w:rsidR="00D82757">
        <w:rPr>
          <w:rFonts w:ascii="宋体" w:hAnsi="宋体" w:cs="Arial" w:hint="eastAsia"/>
          <w:szCs w:val="21"/>
        </w:rPr>
        <w:t>本基金未平仓的期权合约面值不得超过基金资产净值的20%。其中，合约面值按照行权价乘以合约乘数计算；</w:t>
      </w:r>
    </w:p>
    <w:p w14:paraId="479F5560" w14:textId="11BF1F4F" w:rsidR="000F2133" w:rsidRDefault="00D82757">
      <w:pPr>
        <w:spacing w:line="360" w:lineRule="auto"/>
        <w:ind w:firstLineChars="200" w:firstLine="420"/>
        <w:rPr>
          <w:rFonts w:ascii="宋体" w:hAnsi="宋体" w:cs="Arial"/>
          <w:szCs w:val="21"/>
        </w:rPr>
      </w:pPr>
      <w:r>
        <w:rPr>
          <w:rFonts w:ascii="宋体" w:hAnsi="宋体" w:cs="Arial" w:hint="eastAsia"/>
          <w:szCs w:val="21"/>
        </w:rPr>
        <w:t>18）本基金参与融资的，每个交易日日终，本基金持有的融资买入股票与其他有价证券市值之和，不得超过基金资产净值的95%；</w:t>
      </w:r>
    </w:p>
    <w:p w14:paraId="469B1C71" w14:textId="6C20C6E1" w:rsidR="000F2133" w:rsidRDefault="00D82757">
      <w:pPr>
        <w:spacing w:line="360" w:lineRule="auto"/>
        <w:ind w:firstLineChars="200" w:firstLine="420"/>
        <w:rPr>
          <w:rFonts w:ascii="宋体" w:hAnsi="宋体" w:cs="Arial"/>
          <w:szCs w:val="21"/>
        </w:rPr>
      </w:pPr>
      <w:r>
        <w:rPr>
          <w:rFonts w:ascii="宋体" w:hAnsi="宋体" w:cs="Arial" w:hint="eastAsia"/>
          <w:szCs w:val="21"/>
        </w:rPr>
        <w:t>19）本基金资产总值不超过基金资产净值的140%；</w:t>
      </w:r>
    </w:p>
    <w:p w14:paraId="479EE95A" w14:textId="407A93E2" w:rsidR="000F2133" w:rsidRDefault="00D82757">
      <w:pPr>
        <w:spacing w:line="360" w:lineRule="auto"/>
        <w:ind w:firstLineChars="200" w:firstLine="420"/>
        <w:rPr>
          <w:rFonts w:ascii="宋体" w:hAnsi="宋体" w:cs="Arial"/>
          <w:szCs w:val="21"/>
        </w:rPr>
      </w:pPr>
      <w:r>
        <w:rPr>
          <w:rFonts w:ascii="宋体" w:hAnsi="宋体" w:cs="Arial" w:hint="eastAsia"/>
          <w:szCs w:val="21"/>
        </w:rPr>
        <w:t>20）本基金投资存托凭证的比例限制依照内地上市交易的股票执行，与内地上市交易的股</w:t>
      </w:r>
      <w:r>
        <w:rPr>
          <w:rFonts w:ascii="宋体" w:hAnsi="宋体" w:cs="Arial" w:hint="eastAsia"/>
          <w:szCs w:val="21"/>
        </w:rPr>
        <w:lastRenderedPageBreak/>
        <w:t>票合并计算；</w:t>
      </w:r>
    </w:p>
    <w:p w14:paraId="366AF46B" w14:textId="39881F8A" w:rsidR="000F2133" w:rsidRDefault="00D82757">
      <w:pPr>
        <w:spacing w:line="360" w:lineRule="auto"/>
        <w:ind w:firstLineChars="200" w:firstLine="420"/>
        <w:rPr>
          <w:rFonts w:ascii="宋体" w:hAnsi="宋体" w:cs="Arial"/>
          <w:szCs w:val="21"/>
        </w:rPr>
      </w:pPr>
      <w:r>
        <w:rPr>
          <w:rFonts w:ascii="宋体" w:hAnsi="宋体" w:cs="Arial" w:hint="eastAsia"/>
          <w:szCs w:val="21"/>
        </w:rPr>
        <w:t>21）法律法规及中国证监会规定的和基金合同约定的其他投资限制。</w:t>
      </w:r>
    </w:p>
    <w:p w14:paraId="4219E75D" w14:textId="5B1CDF04" w:rsidR="000F2133" w:rsidRDefault="00D82757">
      <w:pPr>
        <w:spacing w:line="360" w:lineRule="auto"/>
        <w:ind w:firstLineChars="200" w:firstLine="420"/>
        <w:rPr>
          <w:rFonts w:ascii="宋体" w:hAnsi="宋体" w:cs="Arial"/>
          <w:szCs w:val="21"/>
        </w:rPr>
      </w:pPr>
      <w:r>
        <w:rPr>
          <w:rFonts w:ascii="宋体" w:hAnsi="宋体" w:cs="Arial" w:hint="eastAsia"/>
          <w:szCs w:val="21"/>
        </w:rPr>
        <w:t>除上述2）、9）、11）、12）、14）、15）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6CDAF87"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8B69AA5"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法律法规或监管部门取消或调整上述限制，如适用于本基金，基金管理人在履行适当程序后，则本基金投资不再受相关限制或按照调整后的规定执行。</w:t>
      </w:r>
    </w:p>
    <w:p w14:paraId="5B094B2F"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3.</w:t>
      </w:r>
      <w:r>
        <w:rPr>
          <w:rFonts w:hint="eastAsia"/>
        </w:rPr>
        <w:t xml:space="preserve"> </w:t>
      </w:r>
      <w:r>
        <w:rPr>
          <w:rFonts w:ascii="宋体" w:hAnsi="宋体" w:cs="Arial" w:hint="eastAsia"/>
          <w:szCs w:val="21"/>
        </w:rPr>
        <w:t>禁止行为</w:t>
      </w:r>
    </w:p>
    <w:p w14:paraId="23DEF99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为维护基金份额持有人的合法权益，基金财产不得用于下列投资或者活动：</w:t>
      </w:r>
    </w:p>
    <w:p w14:paraId="2675941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（1）承销证券；</w:t>
      </w:r>
    </w:p>
    <w:p w14:paraId="07BFB6F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（2）违反规定向他人贷款或者提供担保；</w:t>
      </w:r>
    </w:p>
    <w:p w14:paraId="60DBD6F5"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（3）从事承担无限责任的投资；</w:t>
      </w:r>
    </w:p>
    <w:p w14:paraId="6CD2670B"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（4）买卖其他基金份额，但是法律法规或中国证监会另有规定的除外；</w:t>
      </w:r>
    </w:p>
    <w:p w14:paraId="5EC7FC5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（5）向其基金管理人、基金托管人出资；</w:t>
      </w:r>
    </w:p>
    <w:p w14:paraId="3929873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（6）从事内幕交易、操纵证券交易价格及其他不正当的证券交易活动；</w:t>
      </w:r>
    </w:p>
    <w:p w14:paraId="09359730"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（7）法律、行政法规和中国证监会规定禁止的其他活动。</w:t>
      </w:r>
    </w:p>
    <w:p w14:paraId="67F5BB1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0E92D1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法律、行政法规或监管部门取消或调整上述限制，如适用于本基金，基金管理人在履行适当程序后，则本基金投资按照取消或调整后的规定执行。</w:t>
      </w:r>
    </w:p>
    <w:bookmarkEnd w:id="11"/>
    <w:bookmarkEnd w:id="12"/>
    <w:p w14:paraId="5CB8F762"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（二）基金托管人根据有关法律法规的规定及《基金合同》的约定，对基金管理人选择存</w:t>
      </w:r>
      <w:r>
        <w:rPr>
          <w:rFonts w:ascii="宋体" w:hAnsi="宋体" w:cs="Arial" w:hint="eastAsia"/>
          <w:szCs w:val="21"/>
        </w:rPr>
        <w:lastRenderedPageBreak/>
        <w:t>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3EF760E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本基金投资银行存款应符合如下规定：</w:t>
      </w:r>
    </w:p>
    <w:p w14:paraId="334DC394" w14:textId="77777777" w:rsidR="000F2133" w:rsidRDefault="00D82757">
      <w:pPr>
        <w:spacing w:line="360" w:lineRule="auto"/>
        <w:ind w:firstLineChars="200" w:firstLine="420"/>
        <w:rPr>
          <w:rFonts w:ascii="宋体" w:hAnsi="宋体"/>
        </w:rPr>
      </w:pPr>
      <w:r>
        <w:rPr>
          <w:rFonts w:ascii="宋体" w:hAnsi="宋体" w:cs="Arial" w:hint="eastAsia"/>
          <w:szCs w:val="21"/>
        </w:rPr>
        <w:t xml:space="preserve">1. </w:t>
      </w:r>
      <w:r>
        <w:rPr>
          <w:rFonts w:hAnsi="宋体"/>
        </w:rPr>
        <w:t>本基金投资</w:t>
      </w:r>
      <w:r>
        <w:rPr>
          <w:rFonts w:hAnsi="宋体" w:hint="eastAsia"/>
        </w:rPr>
        <w:t>于有固定期限银行存款</w:t>
      </w:r>
      <w:r>
        <w:rPr>
          <w:rFonts w:hAnsi="宋体"/>
        </w:rPr>
        <w:t>的比例不得超过基金资产净值的</w:t>
      </w:r>
      <w:r>
        <w:t>30</w:t>
      </w:r>
      <w:r>
        <w:rPr>
          <w:rFonts w:hAnsi="宋体"/>
        </w:rPr>
        <w:t>%</w:t>
      </w:r>
      <w:r>
        <w:rPr>
          <w:rFonts w:hAnsi="宋体"/>
        </w:rPr>
        <w:t>，</w:t>
      </w:r>
      <w:r>
        <w:rPr>
          <w:rFonts w:hAnsi="宋体" w:hint="eastAsia"/>
        </w:rPr>
        <w:t>但投资于有存款期限，</w:t>
      </w:r>
      <w:r>
        <w:rPr>
          <w:rFonts w:hAnsi="宋体"/>
        </w:rPr>
        <w:t>根据协议可提前支取的银行存款，不受</w:t>
      </w:r>
      <w:r>
        <w:rPr>
          <w:rFonts w:hAnsi="宋体" w:hint="eastAsia"/>
        </w:rPr>
        <w:t>上述比例</w:t>
      </w:r>
      <w:r>
        <w:rPr>
          <w:rFonts w:hAnsi="宋体"/>
        </w:rPr>
        <w:t>限制；</w:t>
      </w:r>
      <w:r>
        <w:rPr>
          <w:rFonts w:hAnsi="宋体" w:hint="eastAsia"/>
        </w:rPr>
        <w:t>投资于</w:t>
      </w:r>
      <w:r>
        <w:rPr>
          <w:rFonts w:hAnsi="宋体"/>
        </w:rPr>
        <w:t>具有基金托管</w:t>
      </w:r>
      <w:r>
        <w:rPr>
          <w:rFonts w:hAnsi="宋体" w:hint="eastAsia"/>
        </w:rPr>
        <w:t>人</w:t>
      </w:r>
      <w:r>
        <w:rPr>
          <w:rFonts w:hAnsi="宋体"/>
        </w:rPr>
        <w:t>资格的同一</w:t>
      </w:r>
      <w:r>
        <w:rPr>
          <w:rFonts w:hAnsi="宋体" w:hint="eastAsia"/>
        </w:rPr>
        <w:t>商业</w:t>
      </w:r>
      <w:r>
        <w:rPr>
          <w:rFonts w:hAnsi="宋体"/>
        </w:rPr>
        <w:t>银行</w:t>
      </w:r>
      <w:r>
        <w:rPr>
          <w:rFonts w:hAnsi="宋体" w:hint="eastAsia"/>
        </w:rPr>
        <w:t>的银行</w:t>
      </w:r>
      <w:r>
        <w:rPr>
          <w:rFonts w:hAnsi="宋体"/>
        </w:rPr>
        <w:t>存款</w:t>
      </w:r>
      <w:r>
        <w:rPr>
          <w:rFonts w:hAnsi="宋体" w:hint="eastAsia"/>
        </w:rPr>
        <w:t>、同业存单占基金资产净值的比例合计</w:t>
      </w:r>
      <w:r>
        <w:rPr>
          <w:rFonts w:hAnsi="宋体"/>
        </w:rPr>
        <w:t>不得超过</w:t>
      </w:r>
      <w:r>
        <w:t>20%</w:t>
      </w:r>
      <w:r>
        <w:rPr>
          <w:rFonts w:hAnsi="宋体"/>
        </w:rPr>
        <w:t>；</w:t>
      </w:r>
      <w:r>
        <w:rPr>
          <w:rFonts w:hAnsi="宋体" w:hint="eastAsia"/>
        </w:rPr>
        <w:t>投资于</w:t>
      </w:r>
      <w:r>
        <w:rPr>
          <w:rFonts w:hAnsi="宋体"/>
        </w:rPr>
        <w:t>不具有基金托管</w:t>
      </w:r>
      <w:r>
        <w:rPr>
          <w:rFonts w:hAnsi="宋体" w:hint="eastAsia"/>
        </w:rPr>
        <w:t>人</w:t>
      </w:r>
      <w:r>
        <w:rPr>
          <w:rFonts w:hAnsi="宋体"/>
        </w:rPr>
        <w:t>资格的同一商业银行的</w:t>
      </w:r>
      <w:r>
        <w:rPr>
          <w:rFonts w:hAnsi="宋体" w:hint="eastAsia"/>
        </w:rPr>
        <w:t>银行</w:t>
      </w:r>
      <w:r>
        <w:rPr>
          <w:rFonts w:hAnsi="宋体"/>
        </w:rPr>
        <w:t>存款</w:t>
      </w:r>
      <w:r>
        <w:rPr>
          <w:rFonts w:hAnsi="宋体" w:hint="eastAsia"/>
        </w:rPr>
        <w:t>、同业存单占基金资产净值的比例合计</w:t>
      </w:r>
      <w:r>
        <w:rPr>
          <w:rFonts w:hAnsi="宋体"/>
        </w:rPr>
        <w:t>不得超过</w:t>
      </w:r>
      <w:r>
        <w:t>5%</w:t>
      </w:r>
      <w:r>
        <w:rPr>
          <w:rFonts w:hAnsi="宋体"/>
        </w:rPr>
        <w:t>。</w:t>
      </w:r>
    </w:p>
    <w:p w14:paraId="4954E50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有关法律法规或监管部门制定或修改新的定期存款投资政策，基金管理人履行适当程序后，可相应调整投资组合限制的规定。</w:t>
      </w:r>
    </w:p>
    <w:p w14:paraId="58E3E6DB"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szCs w:val="21"/>
        </w:rPr>
        <w:t>.</w:t>
      </w:r>
      <w:r>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3A1C562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1</w:t>
      </w:r>
      <w:r>
        <w:rPr>
          <w:rFonts w:ascii="宋体" w:hAnsi="宋体" w:cs="Arial" w:hint="eastAsia"/>
          <w:szCs w:val="21"/>
        </w:rPr>
        <w:t>）基金管理人负责控制信用风险。信用风险主要包括存款银行的信用等级、存款银行的支付能力等涉及到存款银行选择方面的风险。因选择存款银行不当造成基金财产损失的，由基金管理人承担责任。</w:t>
      </w:r>
    </w:p>
    <w:p w14:paraId="6C229E10"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0716C1F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）基金管理人须加强内部风险控制制度的建设。如因基金管理人员工职务行为导致基金财产受到损失的，需由基金管理人在其责任范围内承担由此造成的损失。</w:t>
      </w:r>
    </w:p>
    <w:p w14:paraId="0F1C588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（4）基金管理人与基金托管人在开展基金存款业务时，应严格遵守《基金法》、《运作办法》等有关法律法规，以及国家有关账户管理、利率管理、支付结算等的各项规定。</w:t>
      </w:r>
    </w:p>
    <w:p w14:paraId="4D7D2289" w14:textId="7E439E4F" w:rsidR="000F2133" w:rsidRDefault="00D82757">
      <w:pPr>
        <w:spacing w:line="360" w:lineRule="auto"/>
        <w:ind w:firstLineChars="200" w:firstLine="420"/>
        <w:rPr>
          <w:rFonts w:ascii="宋体" w:hAnsi="宋体" w:cs="Arial"/>
          <w:szCs w:val="21"/>
        </w:rPr>
      </w:pPr>
      <w:r>
        <w:rPr>
          <w:rFonts w:ascii="宋体" w:hAnsi="宋体" w:cs="Arial" w:hint="eastAsia"/>
          <w:szCs w:val="21"/>
        </w:rPr>
        <w:t>（三）基金投资银行存款协议的签订、账户开设与管理、投资指令与资金划付、</w:t>
      </w:r>
      <w:r w:rsidR="001F3177" w:rsidRPr="001F3177">
        <w:rPr>
          <w:rFonts w:ascii="宋体" w:hAnsi="宋体" w:cs="Arial" w:hint="eastAsia"/>
          <w:szCs w:val="21"/>
        </w:rPr>
        <w:t>存款凭证传递、</w:t>
      </w:r>
      <w:r>
        <w:rPr>
          <w:rFonts w:ascii="宋体" w:hAnsi="宋体" w:cs="Arial" w:hint="eastAsia"/>
          <w:szCs w:val="21"/>
        </w:rPr>
        <w:t>账目核对、到期兑付、提前支取、基金投资银行存款的监督</w:t>
      </w:r>
    </w:p>
    <w:p w14:paraId="54A2C66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1.基金投资银行存款协议的签订</w:t>
      </w:r>
    </w:p>
    <w:p w14:paraId="03A20EB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lastRenderedPageBreak/>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7B1B969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（2）基金托管人依据相关法规对《总体合作协议》和《存款协议书》的内容进行复核，审查存款银行资格等。</w:t>
      </w:r>
    </w:p>
    <w:p w14:paraId="6C6DE2D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（3）基金管理人应在《存款协议书》中明确存款证实书或其他有效存款凭证的办理方式、邮寄地址、联系人和联系电话，以及存款证实书或其他有效凭证在邮寄过程中遗失后，存款余额的确认及兑付办法等。</w:t>
      </w:r>
    </w:p>
    <w:p w14:paraId="4EA46231"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（4）由存款银行指定的存放存款的分支机构（以下简称“存款分支机构</w:t>
      </w:r>
      <w:r>
        <w:rPr>
          <w:rFonts w:ascii="宋体" w:hAnsi="宋体" w:cs="Arial"/>
          <w:szCs w:val="21"/>
        </w:rPr>
        <w:t>”</w:t>
      </w:r>
      <w:r>
        <w:rPr>
          <w:rFonts w:ascii="宋体" w:hAnsi="宋体" w:cs="Arial" w:hint="eastAsia"/>
          <w:szCs w:val="21"/>
        </w:rPr>
        <w:t>）寄送或上门交付存款证实书或其他有效存款凭证的，基金托管人可向存款分支机构的上级行发出存款余额</w:t>
      </w:r>
      <w:proofErr w:type="gramStart"/>
      <w:r>
        <w:rPr>
          <w:rFonts w:ascii="宋体" w:hAnsi="宋体" w:cs="Arial" w:hint="eastAsia"/>
          <w:szCs w:val="21"/>
        </w:rPr>
        <w:t>询</w:t>
      </w:r>
      <w:proofErr w:type="gramEnd"/>
      <w:r>
        <w:rPr>
          <w:rFonts w:ascii="宋体" w:hAnsi="宋体" w:cs="Arial" w:hint="eastAsia"/>
          <w:szCs w:val="21"/>
        </w:rPr>
        <w:t>证函，存款分支机构及其上级行应予配合。</w:t>
      </w:r>
    </w:p>
    <w:p w14:paraId="1357D70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（5）基金管理人应在《存款协议书》中规定，基金存放到期或提前兑付的资金应全部划转到指定的基金托管账户，并在《存款协议书》写明账户名称和账号，未划入指定账户的，由存款银行承担一切责任。</w:t>
      </w:r>
    </w:p>
    <w:p w14:paraId="2BE11098" w14:textId="18FC7E99" w:rsidR="000F2133" w:rsidRDefault="00D82757">
      <w:pPr>
        <w:spacing w:line="480" w:lineRule="exact"/>
        <w:ind w:firstLineChars="200" w:firstLine="420"/>
        <w:rPr>
          <w:rFonts w:ascii="宋体" w:hAnsi="宋体" w:cs="Arial"/>
          <w:szCs w:val="21"/>
        </w:rPr>
      </w:pPr>
      <w:r>
        <w:rPr>
          <w:rFonts w:ascii="宋体" w:hAnsi="宋体" w:cs="Arial" w:hint="eastAsia"/>
          <w:szCs w:val="21"/>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w:t>
      </w:r>
      <w:r w:rsidR="004A3ED9" w:rsidRPr="004A3ED9">
        <w:rPr>
          <w:rFonts w:ascii="宋体" w:hAnsi="宋体" w:cs="Arial" w:hint="eastAsia"/>
          <w:szCs w:val="21"/>
        </w:rPr>
        <w:t>以</w:t>
      </w:r>
      <w:r>
        <w:rPr>
          <w:rFonts w:ascii="宋体" w:hAnsi="宋体" w:cs="Arial" w:hint="eastAsia"/>
          <w:szCs w:val="21"/>
        </w:rPr>
        <w:t>加盖公章</w:t>
      </w:r>
      <w:r w:rsidR="004A3ED9" w:rsidRPr="004A3ED9">
        <w:rPr>
          <w:rFonts w:ascii="宋体" w:hAnsi="宋体" w:cs="Arial" w:hint="eastAsia"/>
          <w:szCs w:val="21"/>
        </w:rPr>
        <w:t>的</w:t>
      </w:r>
      <w:r>
        <w:rPr>
          <w:rFonts w:ascii="宋体" w:hAnsi="宋体" w:cs="Arial" w:hint="eastAsia"/>
          <w:szCs w:val="21"/>
        </w:rPr>
        <w:t>书面</w:t>
      </w:r>
      <w:r w:rsidR="004A3ED9" w:rsidRPr="004A3ED9">
        <w:rPr>
          <w:rFonts w:ascii="宋体" w:hAnsi="宋体" w:cs="Arial" w:hint="eastAsia"/>
          <w:szCs w:val="21"/>
        </w:rPr>
        <w:t>形式</w:t>
      </w:r>
      <w:r>
        <w:rPr>
          <w:rFonts w:ascii="宋体" w:hAnsi="宋体" w:cs="Arial" w:hint="eastAsia"/>
          <w:szCs w:val="21"/>
        </w:rPr>
        <w:t>通知对方。</w:t>
      </w:r>
    </w:p>
    <w:p w14:paraId="74466404"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（7）基金管理人应在《存款协议书》中规定，因定期存款产生的存单不得被质押或以任何方式被抵押，不得用于转让和背书。</w:t>
      </w:r>
    </w:p>
    <w:p w14:paraId="4B77F4A0"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2.基金投资银行存款时的账户开设与管理</w:t>
      </w:r>
    </w:p>
    <w:p w14:paraId="53F06BAD"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（1）基金投资于银行存款时，基金管理人应当依据基金管理人与存款银行签订的《总体合作协议》、《存款协议书》等，以基金的名义在存款银行总行或授权分行指定的分支机构开立银行账户。</w:t>
      </w:r>
    </w:p>
    <w:p w14:paraId="495FA59D"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（2）基金投资于银行存款时的预留印鉴由基金托管人保管和使用。</w:t>
      </w:r>
    </w:p>
    <w:p w14:paraId="756142B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3.存款凭证传递、账目核对及到期兑付</w:t>
      </w:r>
    </w:p>
    <w:p w14:paraId="2F4A2A2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（1）存款证实书等存款凭证传递</w:t>
      </w:r>
    </w:p>
    <w:p w14:paraId="4B40A7D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存款资金只能存放于存款银行总行或者其授权分行指定的分支机构。基金管理人应在《存</w:t>
      </w:r>
      <w:r>
        <w:rPr>
          <w:rFonts w:ascii="宋体" w:hAnsi="宋体" w:cs="Arial" w:hint="eastAsia"/>
          <w:szCs w:val="21"/>
        </w:rPr>
        <w:lastRenderedPageBreak/>
        <w:t>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0A738C05"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（2）存款凭证的遗失补办</w:t>
      </w:r>
    </w:p>
    <w:p w14:paraId="0DCF560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存款凭证在邮寄过程中遗失的，由基金管理人向存款银行提出补办申请，基金管理人应督促存款银行尽快补办存款凭证，并按以上（1）的方式快递或上门交付至基金托管人，原存款凭证自动作废。</w:t>
      </w:r>
    </w:p>
    <w:p w14:paraId="66247647"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（3）账目核对</w:t>
      </w:r>
    </w:p>
    <w:p w14:paraId="1FDA67E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每个工作日，基金管理人应与基金托管人核对各项银行存款投资余额及应计利息。</w:t>
      </w:r>
    </w:p>
    <w:p w14:paraId="18D19251" w14:textId="77777777" w:rsidR="000F2133" w:rsidRDefault="00D82757">
      <w:pPr>
        <w:spacing w:line="480" w:lineRule="exact"/>
        <w:ind w:firstLineChars="200" w:firstLine="420"/>
        <w:rPr>
          <w:rFonts w:ascii="宋体" w:hAnsi="宋体" w:cs="Arial"/>
          <w:szCs w:val="21"/>
        </w:rPr>
      </w:pPr>
      <w:r>
        <w:rPr>
          <w:rFonts w:ascii="宋体" w:hAnsi="宋体" w:cs="Arial" w:hint="eastAsia"/>
          <w:szCs w:val="21"/>
        </w:rPr>
        <w:t>基金管理人应在《存款协议书》中规定，对于存期超过3个月的定期存款，基金托管人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3AE6EF23" w14:textId="77777777" w:rsidR="000F2133" w:rsidRDefault="00D82757">
      <w:pPr>
        <w:spacing w:line="480" w:lineRule="exact"/>
        <w:ind w:firstLineChars="200" w:firstLine="420"/>
        <w:rPr>
          <w:rFonts w:ascii="宋体" w:hAnsi="宋体" w:cs="Arial"/>
          <w:szCs w:val="21"/>
        </w:rPr>
      </w:pPr>
      <w:r>
        <w:rPr>
          <w:rFonts w:ascii="宋体" w:hAnsi="宋体" w:cs="Arial" w:hint="eastAsia"/>
          <w:szCs w:val="21"/>
        </w:rPr>
        <w:t>存款银行应配合基金托管人对存款凭证的</w:t>
      </w:r>
      <w:proofErr w:type="gramStart"/>
      <w:r>
        <w:rPr>
          <w:rFonts w:ascii="宋体" w:hAnsi="宋体" w:cs="Arial" w:hint="eastAsia"/>
          <w:szCs w:val="21"/>
        </w:rPr>
        <w:t>询</w:t>
      </w:r>
      <w:proofErr w:type="gramEnd"/>
      <w:r>
        <w:rPr>
          <w:rFonts w:ascii="宋体" w:hAnsi="宋体" w:cs="Arial" w:hint="eastAsia"/>
          <w:szCs w:val="21"/>
        </w:rPr>
        <w:t>证，并在</w:t>
      </w:r>
      <w:proofErr w:type="gramStart"/>
      <w:r>
        <w:rPr>
          <w:rFonts w:ascii="宋体" w:hAnsi="宋体" w:cs="Arial" w:hint="eastAsia"/>
          <w:szCs w:val="21"/>
        </w:rPr>
        <w:t>询</w:t>
      </w:r>
      <w:proofErr w:type="gramEnd"/>
      <w:r>
        <w:rPr>
          <w:rFonts w:ascii="宋体" w:hAnsi="宋体" w:cs="Arial" w:hint="eastAsia"/>
          <w:szCs w:val="21"/>
        </w:rPr>
        <w:t>证函上加盖存款银行公章寄送至基金托管人指定联系人。</w:t>
      </w:r>
    </w:p>
    <w:p w14:paraId="4870F705"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（4）到期兑付</w:t>
      </w:r>
    </w:p>
    <w:p w14:paraId="30C14479"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基金管理人提前通知基金托管人通过快递将存款凭证原件寄给存款银行分支机构指定的会计主管。存款银行未收到存款凭证原件的，应与基金托管人电话询问。存款到期</w:t>
      </w:r>
      <w:proofErr w:type="gramStart"/>
      <w:r>
        <w:rPr>
          <w:rFonts w:ascii="宋体" w:hAnsi="宋体" w:cs="Arial" w:hint="eastAsia"/>
          <w:szCs w:val="21"/>
        </w:rPr>
        <w:t>前基金</w:t>
      </w:r>
      <w:proofErr w:type="gramEnd"/>
      <w:r>
        <w:rPr>
          <w:rFonts w:ascii="宋体" w:hAnsi="宋体" w:cs="Arial" w:hint="eastAsia"/>
          <w:szCs w:val="21"/>
        </w:rPr>
        <w:t>管理人与存款银行确认存款凭证收到并于到期日兑付存款本息事宜。</w:t>
      </w:r>
    </w:p>
    <w:p w14:paraId="016C9EA4"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3F0EB46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w:t>
      </w:r>
      <w:r>
        <w:rPr>
          <w:rFonts w:ascii="宋体" w:hAnsi="宋体" w:cs="Arial" w:hint="eastAsia"/>
          <w:szCs w:val="21"/>
        </w:rPr>
        <w:lastRenderedPageBreak/>
        <w:t>协议书》约定利率和实际延期天数支付延期利息。</w:t>
      </w:r>
    </w:p>
    <w:p w14:paraId="322B771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4.提前支取</w:t>
      </w:r>
    </w:p>
    <w:p w14:paraId="4884579D"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如果在存款期限内，由于基金规模发生缩减的原因或者出于流动性管理的需要等原因，基金管理人可以提前支取全部或部分资金。</w:t>
      </w:r>
    </w:p>
    <w:p w14:paraId="18220CF6"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提前支取的具体事项按照基金管理人与存款银行签订的《存款协议书》执行。</w:t>
      </w:r>
    </w:p>
    <w:p w14:paraId="6D57F48F"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5.基金投资银行存款的监督</w:t>
      </w:r>
    </w:p>
    <w:p w14:paraId="624DFED1" w14:textId="0824FA97" w:rsidR="000F2133" w:rsidRDefault="00D82757">
      <w:pPr>
        <w:spacing w:line="360" w:lineRule="auto"/>
        <w:ind w:firstLineChars="200" w:firstLine="420"/>
        <w:rPr>
          <w:rFonts w:ascii="宋体" w:hAnsi="宋体" w:cs="Arial"/>
          <w:szCs w:val="21"/>
        </w:rPr>
      </w:pPr>
      <w:r>
        <w:rPr>
          <w:rFonts w:ascii="宋体" w:hAnsi="宋体" w:cs="Arial" w:hint="eastAsia"/>
          <w:szCs w:val="21"/>
        </w:rPr>
        <w:t>基金托管人发现基金管理人在进行存款投资时有违反有关法律法规的规定及《基金合同》的约定的行为，应及时以书面形式通知基金管理人在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工作日内纠正。基金管理人对基金托管人通知的违规事项未能在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工作日内纠正的，基金托管人应报告中国证监会。基金托管人发现基金管理人有重大违规行为，应立即报告中国证监会，同时通知基金管理人在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工作日内纠正或拒绝结算，若因基金管理人拒不执行造成基金财产损失的，相关损失由基金管理人承担，基金托管人不承担</w:t>
      </w:r>
      <w:r w:rsidR="00C2779C">
        <w:rPr>
          <w:rFonts w:ascii="宋体" w:hAnsi="宋体" w:cs="Arial" w:hint="eastAsia"/>
          <w:szCs w:val="21"/>
        </w:rPr>
        <w:t>相应</w:t>
      </w:r>
      <w:r>
        <w:rPr>
          <w:rFonts w:ascii="宋体" w:hAnsi="宋体" w:cs="Arial" w:hint="eastAsia"/>
          <w:szCs w:val="21"/>
        </w:rPr>
        <w:t>责任。</w:t>
      </w:r>
    </w:p>
    <w:p w14:paraId="65359547"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包括对其不时地更新）进行交易。在基金存续期间基金管理人可以调整交易对手名单，但应将调整结果至少提前一个工作日书面通知基金托管人。新名单确定时已与本次剔除的交易对手所进行但尚未结算的交易，仍应按照相关协议进行结算，但不得再发生新的交易。如基金管理人根据市场需要临时调整银行间债券交易对手名单及结算方式的，应向基金托管人说明理由，并在与交易对手发生交易前</w:t>
      </w:r>
      <w:r>
        <w:rPr>
          <w:rFonts w:ascii="宋体" w:hAnsi="宋体" w:cs="Arial"/>
          <w:szCs w:val="21"/>
        </w:rPr>
        <w:t>3个交易</w:t>
      </w:r>
      <w:proofErr w:type="gramStart"/>
      <w:r>
        <w:rPr>
          <w:rFonts w:ascii="宋体" w:hAnsi="宋体" w:cs="Arial"/>
          <w:szCs w:val="21"/>
        </w:rPr>
        <w:t>日内与</w:t>
      </w:r>
      <w:proofErr w:type="gramEnd"/>
      <w:r>
        <w:rPr>
          <w:rFonts w:ascii="宋体" w:hAnsi="宋体" w:cs="Arial"/>
          <w:szCs w:val="21"/>
        </w:rPr>
        <w:t>基金托管人协商解决。</w:t>
      </w:r>
    </w:p>
    <w:p w14:paraId="53ACC093" w14:textId="01A6C4EB"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基金管理人负责对交易对手的资信控制，按银行间债券市场的交易规则进行交易，并负责</w:t>
      </w:r>
      <w:r>
        <w:rPr>
          <w:rFonts w:ascii="宋体" w:hAnsi="宋体" w:cs="Arial"/>
          <w:szCs w:val="21"/>
        </w:rPr>
        <w:t>处理</w:t>
      </w:r>
      <w:r>
        <w:rPr>
          <w:rFonts w:ascii="宋体" w:hAnsi="宋体" w:cs="Arial" w:hint="eastAsia"/>
          <w:szCs w:val="21"/>
        </w:rPr>
        <w:t>因交易对手不履行合同而造成的纠纷及损失。若未履约的交易对手在基金管理人确定的时间内仍未承担违约责任及其他相关法律责任的，基金管理人可以（但无义务）对相应损失先行予以承担，然后再向相关交易对手追偿，基金托管人应当提供必要的协助。基金托管人则根据银行间债券市场成交单对合同履行情况进行监督。如基金托管人事后发现基金管理人没有</w:t>
      </w:r>
      <w:r>
        <w:rPr>
          <w:rFonts w:ascii="宋体" w:hAnsi="宋体" w:cs="Arial" w:hint="eastAsia"/>
          <w:szCs w:val="21"/>
        </w:rPr>
        <w:lastRenderedPageBreak/>
        <w:t>按照事先约定的交易对手进行交易时，基金托管人应及时提醒基金管理人，基金托管人不承担由此造成的任何损失和责任。</w:t>
      </w:r>
    </w:p>
    <w:p w14:paraId="2564A3F1"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（五）本基金投资流通受限证券，应遵守《关于基金投资非公开发行股票等流通受限证券有关问题的通知》等有关监管规定。</w:t>
      </w:r>
    </w:p>
    <w:p w14:paraId="20F2148B"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1.流通受限证券与上文所述的流动性受限资产的范围并不完全一致，包括由法律法规或中国证监会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cs="Arial" w:hint="eastAsia"/>
          <w:szCs w:val="21"/>
        </w:rPr>
        <w:t>券</w:t>
      </w:r>
      <w:proofErr w:type="gramEnd"/>
      <w:r>
        <w:rPr>
          <w:rFonts w:ascii="宋体" w:hAnsi="宋体" w:cs="Arial" w:hint="eastAsia"/>
          <w:szCs w:val="21"/>
        </w:rPr>
        <w:t>等流通受限证券。</w:t>
      </w:r>
    </w:p>
    <w:p w14:paraId="020AD09F"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73F2191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本基金不得投资未经中国证监会批准的非公开发行证券。</w:t>
      </w:r>
    </w:p>
    <w:p w14:paraId="29BA2D9A"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本基金不得投资有</w:t>
      </w:r>
      <w:proofErr w:type="gramStart"/>
      <w:r>
        <w:rPr>
          <w:rFonts w:ascii="宋体" w:hAnsi="宋体" w:cs="Arial" w:hint="eastAsia"/>
          <w:szCs w:val="21"/>
        </w:rPr>
        <w:t>锁定期但锁定</w:t>
      </w:r>
      <w:proofErr w:type="gramEnd"/>
      <w:r>
        <w:rPr>
          <w:rFonts w:ascii="宋体" w:hAnsi="宋体" w:cs="Arial" w:hint="eastAsia"/>
          <w:szCs w:val="21"/>
        </w:rPr>
        <w:t>期不明确的证券。</w:t>
      </w:r>
    </w:p>
    <w:p w14:paraId="66744309"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153CA529"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基金管理人应至少</w:t>
      </w:r>
      <w:proofErr w:type="gramStart"/>
      <w:r>
        <w:rPr>
          <w:rFonts w:ascii="宋体" w:hAnsi="宋体" w:cs="Arial" w:hint="eastAsia"/>
          <w:szCs w:val="21"/>
        </w:rPr>
        <w:t>于首次</w:t>
      </w:r>
      <w:proofErr w:type="gramEnd"/>
      <w:r>
        <w:rPr>
          <w:rFonts w:ascii="宋体" w:hAnsi="宋体" w:cs="Arial" w:hint="eastAsia"/>
          <w:szCs w:val="21"/>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5298D728" w14:textId="0DAE28A8" w:rsidR="000F2133" w:rsidRDefault="00D82757">
      <w:pPr>
        <w:spacing w:line="360" w:lineRule="auto"/>
        <w:ind w:firstLineChars="200" w:firstLine="420"/>
        <w:rPr>
          <w:rFonts w:ascii="宋体" w:hAnsi="宋体" w:cs="Arial"/>
          <w:szCs w:val="21"/>
        </w:rPr>
      </w:pPr>
      <w:r>
        <w:rPr>
          <w:rFonts w:ascii="宋体" w:hAnsi="宋体" w:cs="Arial" w:hint="eastAsia"/>
          <w:szCs w:val="21"/>
        </w:rPr>
        <w:t>基金管理人对本基金投资流通受限证券的流动性风险负责，对相关风险采取积极有效的措施，力争在合理的时间内有效解决基金运作的流动性问题。如因基金巨额赎回或市场发生剧烈变动等原因而导致基金现金周转困难时，基金管理人应按照基金合同约定处理。对本基金因投资流通受限证券导致的流动性风险，基金托管人不承担</w:t>
      </w:r>
      <w:r w:rsidR="00C2779C">
        <w:rPr>
          <w:rFonts w:ascii="宋体" w:hAnsi="宋体" w:cs="Arial" w:hint="eastAsia"/>
          <w:szCs w:val="21"/>
        </w:rPr>
        <w:t>相应</w:t>
      </w:r>
      <w:r>
        <w:rPr>
          <w:rFonts w:ascii="宋体" w:hAnsi="宋体" w:cs="Arial" w:hint="eastAsia"/>
          <w:szCs w:val="21"/>
        </w:rPr>
        <w:t>责任。</w:t>
      </w:r>
    </w:p>
    <w:p w14:paraId="4C82FB63"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cs="Arial" w:hint="eastAsia"/>
          <w:szCs w:val="21"/>
        </w:rPr>
        <w:t>于拟执行</w:t>
      </w:r>
      <w:proofErr w:type="gramEnd"/>
      <w:r>
        <w:rPr>
          <w:rFonts w:ascii="宋体" w:hAnsi="宋体" w:cs="Arial" w:hint="eastAsia"/>
          <w:szCs w:val="21"/>
        </w:rPr>
        <w:t>投资指令前两个工作日将上述信息书面发至基金托管人，保证基金托管人有足够的时间进行审核。</w:t>
      </w:r>
    </w:p>
    <w:p w14:paraId="57F2E75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由于基金管理人未按上述约定及时提供有关证券的具体的必要的信息，致使基金托管人</w:t>
      </w:r>
      <w:r>
        <w:rPr>
          <w:rFonts w:ascii="宋体" w:hAnsi="宋体" w:cs="Arial" w:hint="eastAsia"/>
          <w:szCs w:val="21"/>
        </w:rPr>
        <w:lastRenderedPageBreak/>
        <w:t>无法审核认购指令而影响认购款项划拨的，基金托管人免于承担责任。</w:t>
      </w:r>
    </w:p>
    <w:p w14:paraId="1CA207C4"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0F10BA28"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基金管理</w:t>
      </w:r>
      <w:r>
        <w:rPr>
          <w:rFonts w:ascii="宋体" w:hAnsi="宋体" w:cs="Arial" w:hint="eastAsia"/>
          <w:szCs w:val="21"/>
        </w:rPr>
        <w:t>人</w:t>
      </w:r>
      <w:r>
        <w:rPr>
          <w:rFonts w:ascii="宋体" w:hAnsi="宋体" w:cs="Arial"/>
          <w:szCs w:val="21"/>
        </w:rPr>
        <w:t>应在基金投资非公开发行股票后两个交易日内，在中国证监会</w:t>
      </w:r>
      <w:r>
        <w:rPr>
          <w:rFonts w:ascii="宋体" w:hAnsi="宋体" w:cs="Arial" w:hint="eastAsia"/>
          <w:szCs w:val="21"/>
        </w:rPr>
        <w:t>规定</w:t>
      </w:r>
      <w:r>
        <w:rPr>
          <w:rFonts w:ascii="宋体" w:hAnsi="宋体" w:cs="Arial"/>
          <w:szCs w:val="21"/>
        </w:rPr>
        <w:t>媒介披露所投资非公开发行股票的名称、数量、总成本、账面价值，以及总成本和账面价值占基金资产净值的比例、锁定期等信息。</w:t>
      </w:r>
    </w:p>
    <w:p w14:paraId="0FC23CB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20614D0D"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七）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FD5BBF8" w14:textId="68269391" w:rsidR="000F2133" w:rsidRDefault="00D82757">
      <w:pPr>
        <w:spacing w:line="360" w:lineRule="auto"/>
        <w:ind w:firstLineChars="200" w:firstLine="420"/>
        <w:rPr>
          <w:rFonts w:ascii="宋体" w:hAnsi="宋体"/>
        </w:rPr>
      </w:pPr>
      <w:r>
        <w:rPr>
          <w:rFonts w:ascii="宋体" w:hAnsi="宋体" w:cs="Arial" w:hint="eastAsia"/>
          <w:szCs w:val="21"/>
        </w:rPr>
        <w:t>（</w:t>
      </w:r>
      <w:r>
        <w:rPr>
          <w:rFonts w:ascii="宋体" w:hAnsi="宋体" w:cs="Arial"/>
          <w:szCs w:val="21"/>
        </w:rPr>
        <w:t>八</w:t>
      </w:r>
      <w:r>
        <w:rPr>
          <w:rFonts w:ascii="宋体" w:hAnsi="宋体" w:cs="Arial" w:hint="eastAsia"/>
          <w:szCs w:val="21"/>
        </w:rPr>
        <w:t>）</w:t>
      </w:r>
      <w:r>
        <w:rPr>
          <w:rFonts w:ascii="宋体" w:hAnsi="宋体" w:hint="eastAsia"/>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sidR="00C2779C">
        <w:rPr>
          <w:rFonts w:ascii="宋体" w:hAnsi="宋体" w:hint="eastAsia"/>
        </w:rPr>
        <w:t>合理</w:t>
      </w:r>
      <w:r>
        <w:rPr>
          <w:rFonts w:ascii="宋体" w:hAnsi="宋体" w:hint="eastAsia"/>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55990789" w14:textId="29473303" w:rsidR="000F2133" w:rsidRDefault="00D82757">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九</w:t>
      </w:r>
      <w:r>
        <w:rPr>
          <w:rFonts w:ascii="宋体" w:hAnsi="宋体" w:cs="Arial" w:hint="eastAsia"/>
          <w:szCs w:val="21"/>
        </w:rPr>
        <w:t>）基金管理人有义务配合和协助基金托管人依照法律法规、《基金合同》和本托管协议对基金业务执行核查。包括但不限于：对基金托管人发出的提示，基金管理人应在规定时间内答复并改正，或就基金托管人的</w:t>
      </w:r>
      <w:r w:rsidR="00C2779C">
        <w:rPr>
          <w:rFonts w:ascii="宋体" w:hAnsi="宋体" w:cs="Arial" w:hint="eastAsia"/>
          <w:szCs w:val="21"/>
        </w:rPr>
        <w:t>合理</w:t>
      </w:r>
      <w:r w:rsidRPr="00C2779C">
        <w:rPr>
          <w:rFonts w:ascii="宋体" w:hAnsi="宋体" w:cs="Arial" w:hint="eastAsia"/>
          <w:szCs w:val="21"/>
        </w:rPr>
        <w:t>疑义</w:t>
      </w:r>
      <w:r>
        <w:rPr>
          <w:rFonts w:ascii="宋体" w:hAnsi="宋体" w:cs="Arial" w:hint="eastAsia"/>
          <w:szCs w:val="21"/>
        </w:rPr>
        <w:t>进行解释或举证；对基金托管人按照法律法规、基金合同和本托管协议的要求需向中国证监会报送基金监督报告的事项，基金管理人应积极配合提供相关数据资料和信息等。</w:t>
      </w:r>
    </w:p>
    <w:p w14:paraId="6AC308EE"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（十）</w:t>
      </w:r>
      <w:proofErr w:type="gramStart"/>
      <w:r>
        <w:rPr>
          <w:rFonts w:ascii="宋体" w:hAnsi="宋体" w:cs="Arial" w:hint="eastAsia"/>
          <w:szCs w:val="21"/>
        </w:rPr>
        <w:t>若基金</w:t>
      </w:r>
      <w:proofErr w:type="gramEnd"/>
      <w:r>
        <w:rPr>
          <w:rFonts w:ascii="宋体" w:hAnsi="宋体" w:cs="Arial" w:hint="eastAsia"/>
          <w:szCs w:val="21"/>
        </w:rPr>
        <w:t>托管人发现基金管理人依据交易程序已经生效的指令违反法律、行政法规和其他有关规定，或者违反基金合同约定的，应当立即通知基金管理人及时纠正，由此造成的损</w:t>
      </w:r>
      <w:r>
        <w:rPr>
          <w:rFonts w:ascii="宋体" w:hAnsi="宋体" w:cs="Arial" w:hint="eastAsia"/>
          <w:szCs w:val="21"/>
        </w:rPr>
        <w:lastRenderedPageBreak/>
        <w:t>失由基金管理人承担，基金托管人在履行其通知义务后，予以免责。</w:t>
      </w:r>
    </w:p>
    <w:p w14:paraId="573A7D75"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（十</w:t>
      </w:r>
      <w:r>
        <w:rPr>
          <w:rFonts w:ascii="宋体" w:hAnsi="宋体" w:cs="Arial"/>
          <w:szCs w:val="21"/>
        </w:rPr>
        <w:t>一</w:t>
      </w:r>
      <w:r>
        <w:rPr>
          <w:rFonts w:ascii="宋体" w:hAnsi="宋体" w:cs="Arial" w:hint="eastAsia"/>
          <w:szCs w:val="21"/>
        </w:rPr>
        <w:t>）基金托管人发现基金管理人有重大违规行为，应及时报告中国证监会，同时通知基金管理人限期纠正。</w:t>
      </w:r>
    </w:p>
    <w:p w14:paraId="79EBDA07" w14:textId="77777777" w:rsidR="000F2133" w:rsidRDefault="00D82757">
      <w:pPr>
        <w:pStyle w:val="2"/>
        <w:spacing w:beforeLines="100" w:before="312" w:afterLines="50" w:after="156" w:line="360" w:lineRule="auto"/>
        <w:jc w:val="center"/>
        <w:rPr>
          <w:rFonts w:ascii="宋体" w:eastAsia="宋体" w:hAnsi="宋体"/>
          <w:sz w:val="21"/>
          <w:szCs w:val="21"/>
        </w:rPr>
      </w:pPr>
      <w:bookmarkStart w:id="13" w:name="_Toc110830492"/>
      <w:bookmarkStart w:id="14" w:name="_Toc89163368"/>
      <w:bookmarkStart w:id="15" w:name="_Toc86726439"/>
      <w:bookmarkStart w:id="16" w:name="_Toc118774803"/>
      <w:bookmarkStart w:id="17" w:name="_Toc110761796"/>
      <w:bookmarkStart w:id="18" w:name="_Toc86727355"/>
      <w:bookmarkStart w:id="19" w:name="_Toc119402710"/>
      <w:bookmarkStart w:id="20" w:name="_Toc86737929"/>
      <w:bookmarkStart w:id="21" w:name="_Toc86225291"/>
      <w:bookmarkStart w:id="22" w:name="_Toc108512358"/>
      <w:bookmarkStart w:id="23" w:name="_Toc120435783"/>
      <w:bookmarkStart w:id="24" w:name="_Toc110765660"/>
      <w:bookmarkStart w:id="25" w:name="_Toc86649722"/>
      <w:bookmarkStart w:id="26" w:name="_Toc86223242"/>
      <w:bookmarkStart w:id="27" w:name="_Toc118212950"/>
      <w:bookmarkStart w:id="28" w:name="_Toc118972648"/>
      <w:r>
        <w:rPr>
          <w:rFonts w:ascii="宋体" w:eastAsia="宋体" w:hAnsi="宋体"/>
          <w:sz w:val="21"/>
          <w:szCs w:val="21"/>
        </w:rPr>
        <w:br w:type="page"/>
      </w:r>
      <w:bookmarkStart w:id="29" w:name="_Toc348082032"/>
      <w:bookmarkStart w:id="30" w:name="_Toc204947272"/>
      <w:r>
        <w:rPr>
          <w:rFonts w:ascii="宋体" w:eastAsia="宋体" w:hAnsi="宋体" w:hint="eastAsia"/>
          <w:sz w:val="21"/>
          <w:szCs w:val="21"/>
        </w:rPr>
        <w:lastRenderedPageBreak/>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818274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01A83FB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2EA01BC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cs="Arial" w:hint="eastAsia"/>
          <w:szCs w:val="21"/>
        </w:rPr>
        <w:t>供基金</w:t>
      </w:r>
      <w:proofErr w:type="gramEnd"/>
      <w:r>
        <w:rPr>
          <w:rFonts w:ascii="宋体" w:hAnsi="宋体" w:cs="Arial" w:hint="eastAsia"/>
          <w:szCs w:val="21"/>
        </w:rPr>
        <w:t>管理人核查托管财产的完整性和真实性。</w:t>
      </w:r>
    </w:p>
    <w:p w14:paraId="4F5771A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（四）基金管理人发现基金托管人有重大违规行为，应及时报告中国证监会，同时通知基金托管人限期纠正，并将纠正结果报告中国证监会。</w:t>
      </w:r>
    </w:p>
    <w:p w14:paraId="68AFBB0A" w14:textId="77777777" w:rsidR="000F2133" w:rsidRDefault="000F2133">
      <w:pPr>
        <w:spacing w:line="360" w:lineRule="auto"/>
        <w:rPr>
          <w:rFonts w:ascii="宋体" w:hAnsi="宋体"/>
          <w:szCs w:val="21"/>
        </w:rPr>
      </w:pPr>
    </w:p>
    <w:p w14:paraId="38A76CF6" w14:textId="77777777" w:rsidR="000F2133" w:rsidRDefault="00D82757">
      <w:pPr>
        <w:pStyle w:val="2"/>
        <w:spacing w:beforeLines="100" w:before="312" w:afterLines="50" w:after="156" w:line="360" w:lineRule="auto"/>
        <w:jc w:val="center"/>
        <w:rPr>
          <w:rFonts w:ascii="宋体" w:eastAsia="宋体" w:hAnsi="宋体"/>
          <w:sz w:val="21"/>
          <w:szCs w:val="21"/>
        </w:rPr>
      </w:pPr>
      <w:bookmarkStart w:id="31" w:name="_Toc110761797"/>
      <w:bookmarkStart w:id="32" w:name="_Toc118212951"/>
      <w:bookmarkStart w:id="33" w:name="_Toc84133786"/>
      <w:bookmarkStart w:id="34" w:name="_Toc86649723"/>
      <w:bookmarkStart w:id="35" w:name="_Toc84234388"/>
      <w:bookmarkStart w:id="36" w:name="_Toc86225292"/>
      <w:bookmarkStart w:id="37" w:name="_Toc120435784"/>
      <w:bookmarkStart w:id="38" w:name="_Toc118774804"/>
      <w:bookmarkStart w:id="39" w:name="_Toc86727356"/>
      <w:bookmarkStart w:id="40" w:name="_Toc86223243"/>
      <w:bookmarkStart w:id="41" w:name="_Toc110765661"/>
      <w:bookmarkStart w:id="42" w:name="_Toc118972649"/>
      <w:bookmarkStart w:id="43" w:name="_Toc86726440"/>
      <w:bookmarkStart w:id="44" w:name="_Toc89163369"/>
      <w:bookmarkStart w:id="45" w:name="_Toc84234435"/>
      <w:bookmarkStart w:id="46" w:name="_Toc110830493"/>
      <w:bookmarkStart w:id="47" w:name="_Toc86737930"/>
      <w:bookmarkStart w:id="48" w:name="_Toc108512359"/>
      <w:bookmarkStart w:id="49" w:name="_Toc119402711"/>
      <w:bookmarkStart w:id="50" w:name="_Toc86204789"/>
      <w:r>
        <w:rPr>
          <w:rFonts w:ascii="宋体" w:eastAsia="宋体" w:hAnsi="宋体"/>
          <w:sz w:val="21"/>
          <w:szCs w:val="21"/>
        </w:rPr>
        <w:br w:type="page"/>
      </w:r>
      <w:bookmarkStart w:id="51" w:name="_Toc204947273"/>
      <w:bookmarkStart w:id="52" w:name="_Toc348082033"/>
      <w:r>
        <w:rPr>
          <w:rFonts w:ascii="宋体" w:eastAsia="宋体" w:hAnsi="宋体" w:hint="eastAsia"/>
          <w:sz w:val="21"/>
          <w:szCs w:val="21"/>
        </w:rPr>
        <w:lastRenderedPageBreak/>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A0BFCA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（一）基金财产保管的原则</w:t>
      </w:r>
    </w:p>
    <w:p w14:paraId="08E839A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1.基金财产应独立于基金管理人、基金托管人、证券经纪机构的固有财产。</w:t>
      </w:r>
    </w:p>
    <w:p w14:paraId="4FF7C0B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2.基金托管人应安全保管基金财产。</w:t>
      </w:r>
    </w:p>
    <w:p w14:paraId="6EA8DD2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3.基金托管人按照规定开设基金财产投资所需的相关账户。</w:t>
      </w:r>
    </w:p>
    <w:p w14:paraId="5F3A307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4.基金托管人对所托管的不同基金财产分别设置账户，独立核算、分账管理、确保基金财产的完整与独立。</w:t>
      </w:r>
    </w:p>
    <w:p w14:paraId="5661F75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075B4BC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提供必要的协助。</w:t>
      </w:r>
    </w:p>
    <w:p w14:paraId="547601F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7.基金</w:t>
      </w:r>
      <w:r>
        <w:rPr>
          <w:rFonts w:ascii="宋体" w:hAnsi="宋体" w:hint="eastAsia"/>
          <w:szCs w:val="21"/>
        </w:rPr>
        <w:t>托管人对因为</w:t>
      </w:r>
      <w:r>
        <w:rPr>
          <w:rFonts w:ascii="宋体" w:hAnsi="宋体" w:cs="Arial" w:hint="eastAsia"/>
          <w:szCs w:val="21"/>
        </w:rPr>
        <w:t>基金</w:t>
      </w:r>
      <w:r>
        <w:rPr>
          <w:rFonts w:ascii="宋体" w:hAnsi="宋体" w:hint="eastAsia"/>
          <w:szCs w:val="21"/>
        </w:rPr>
        <w:t>管理人投资产生的存放或存管在</w:t>
      </w:r>
      <w:r>
        <w:rPr>
          <w:rFonts w:ascii="宋体" w:hAnsi="宋体" w:cs="Arial" w:hint="eastAsia"/>
          <w:szCs w:val="21"/>
        </w:rPr>
        <w:t>基金</w:t>
      </w:r>
      <w:r>
        <w:rPr>
          <w:rFonts w:ascii="宋体" w:hAnsi="宋体" w:hint="eastAsia"/>
          <w:szCs w:val="21"/>
        </w:rPr>
        <w:t>托管人以外机构的基金资产，或交由期货公司或证券公司负责清算交收的基金资产（包括但不限于证券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4E35DB7C"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8.除依据法律法规和基金合同的规定外，基金托管人不得委托第三人托管基金财产。</w:t>
      </w:r>
    </w:p>
    <w:p w14:paraId="033208D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（二）基金募集期间及募集资金的验资</w:t>
      </w:r>
    </w:p>
    <w:p w14:paraId="31896C42" w14:textId="7EDFDCCF"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1.基金募集期间募集的资金应</w:t>
      </w:r>
      <w:r w:rsidR="00575A62">
        <w:rPr>
          <w:rFonts w:ascii="宋体" w:hAnsi="宋体" w:cs="Arial" w:hint="eastAsia"/>
          <w:szCs w:val="21"/>
        </w:rPr>
        <w:t>存放于</w:t>
      </w:r>
      <w:r>
        <w:rPr>
          <w:rFonts w:ascii="宋体" w:hAnsi="宋体" w:cs="Arial" w:hint="eastAsia"/>
          <w:szCs w:val="21"/>
        </w:rPr>
        <w:t>“基金募集专户”。该账户由基金管理人开立并管理。</w:t>
      </w:r>
    </w:p>
    <w:p w14:paraId="000ADF2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募集期满或基金停止募集时，基金募集份额总额、基金募集金额、基金认购人数符合《基金法》、《运作办法》等有关规定后，基金管理人应将属于基金财产的全部资金划入基金托管人为基金开立的基金资金账户，同时在规定时间内，基金管理人应聘</w:t>
      </w:r>
      <w:proofErr w:type="gramStart"/>
      <w:r>
        <w:rPr>
          <w:rFonts w:ascii="宋体" w:hAnsi="宋体" w:cs="Arial" w:hint="eastAsia"/>
          <w:szCs w:val="21"/>
        </w:rPr>
        <w:t>请</w:t>
      </w:r>
      <w:r>
        <w:rPr>
          <w:rFonts w:cs="Arial" w:hint="eastAsia"/>
          <w:szCs w:val="21"/>
        </w:rPr>
        <w:t>符合</w:t>
      </w:r>
      <w:proofErr w:type="gramEnd"/>
      <w:r>
        <w:rPr>
          <w:rFonts w:cs="Arial" w:hint="eastAsia"/>
          <w:szCs w:val="21"/>
        </w:rPr>
        <w:t>《中华人民共和国证券法》规定</w:t>
      </w:r>
      <w:r>
        <w:rPr>
          <w:rFonts w:ascii="宋体" w:hAnsi="宋体" w:cs="Arial" w:hint="eastAsia"/>
          <w:szCs w:val="21"/>
        </w:rPr>
        <w:t>的会计师事务所进行验资，出具验资报告。出具的验资报告由参加验资的2名或2名以上中国注册会计师签字方为有效。</w:t>
      </w:r>
    </w:p>
    <w:p w14:paraId="3C1F5DA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proofErr w:type="gramStart"/>
      <w:r>
        <w:rPr>
          <w:rFonts w:ascii="宋体" w:hAnsi="宋体" w:cs="Arial" w:hint="eastAsia"/>
          <w:szCs w:val="21"/>
        </w:rPr>
        <w:t>若基金</w:t>
      </w:r>
      <w:proofErr w:type="gramEnd"/>
      <w:r>
        <w:rPr>
          <w:rFonts w:ascii="宋体" w:hAnsi="宋体" w:cs="Arial" w:hint="eastAsia"/>
          <w:szCs w:val="21"/>
        </w:rPr>
        <w:t>募集期限届满，未能达到基金备案的条件，由基金管理人按规定办理退款等事宜，基金托管人应予以必要的协助和配合。</w:t>
      </w:r>
    </w:p>
    <w:p w14:paraId="1A58363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（三）基金资金账户的开立和管理</w:t>
      </w:r>
    </w:p>
    <w:p w14:paraId="4523E691" w14:textId="5356F77E"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1.基金托管人以本基金的名义在其营业机构开立基金的资金账户（也可称为“托管账户”），保管基金的银行存款，并根据基金管理人的指令办理资金收付。托管账户名称应为“中欧</w:t>
      </w:r>
      <w:r w:rsidR="005B4A95">
        <w:rPr>
          <w:rFonts w:ascii="宋体" w:hAnsi="宋体" w:cs="Arial" w:hint="eastAsia"/>
          <w:szCs w:val="21"/>
        </w:rPr>
        <w:t>全景智选</w:t>
      </w:r>
      <w:r>
        <w:rPr>
          <w:rFonts w:ascii="宋体" w:hAnsi="宋体" w:cs="Arial" w:hint="eastAsia"/>
          <w:szCs w:val="21"/>
        </w:rPr>
        <w:t>混合型证券投资基金”（产品名称以中国证监会最后申请注册为准），预留印鉴为基金托</w:t>
      </w:r>
      <w:r>
        <w:rPr>
          <w:rFonts w:ascii="宋体" w:hAnsi="宋体" w:cs="Arial" w:hint="eastAsia"/>
          <w:szCs w:val="21"/>
        </w:rPr>
        <w:lastRenderedPageBreak/>
        <w:t>管人印章。</w:t>
      </w:r>
    </w:p>
    <w:p w14:paraId="0D5130A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2.基金资金账户的开立和使用，限于满足开展本基金业务的需要。基金托管人和基金管理人不得假借本基金的名义开立任何其他银行账户；亦不得使用基金的任何账户进行本基金业务以外的活动。</w:t>
      </w:r>
    </w:p>
    <w:p w14:paraId="7EC53B2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3.基金资金账户的开立和管理应符合法律法规及银行业监督管理机构的有关规定。</w:t>
      </w:r>
    </w:p>
    <w:p w14:paraId="6F7C47D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（四）基金证券账户和证券资金账户的开立和管理</w:t>
      </w:r>
    </w:p>
    <w:p w14:paraId="0DDD3EA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1.基金托管人在中国证券登记结算有限责任公司为基金开立基金托管人与基金联名的证券账户。</w:t>
      </w:r>
    </w:p>
    <w:p w14:paraId="7BB9590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2.基金证券账户的开立和使用，仅限于满足开展本基金业务的需要。基金托管人和基金管理人不得出借或未经对方同意擅自转让基金的任何证券账户，亦不得使用基金的任何证券账户进行本基金业务以外的活动。</w:t>
      </w:r>
    </w:p>
    <w:p w14:paraId="1098F22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3.基金证券账户的开立和证券账户卡的保管由基金托管人负责，账户资产的管理和运用由基金管理人负责。</w:t>
      </w:r>
    </w:p>
    <w:p w14:paraId="1686809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w:t>
      </w:r>
      <w:r>
        <w:rPr>
          <w:rFonts w:ascii="宋体" w:hAnsi="宋体" w:cs="Arial" w:hint="eastAsia"/>
          <w:szCs w:val="21"/>
        </w:rPr>
        <w:t xml:space="preserve">基金管理人以本基金名义在基金管理人选择的证券经营机构营业网点开立证券资金账户。证券经营机构根据相关法律法规、规范性文件为本基金开立相关资金账户，并按照该证券经营机构开户的流程和要求与基金管理人签订相关协议。 </w:t>
      </w:r>
    </w:p>
    <w:p w14:paraId="54A3447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5.交易所证券交易资金采用第三方存管模式，即用于证券交易结算资金全额存放在基金管理人为基金开立的证券资金账户中，场内的证券交易资金清算由基金管理人所选择的证券公司负责。基金托管人不负责办理场内的证券交易资金清算，也不负责保管证券资金账户内存放的资金。</w:t>
      </w:r>
    </w:p>
    <w:p w14:paraId="5C65276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szCs w:val="21"/>
        </w:rPr>
        <w:t>6</w:t>
      </w:r>
      <w:r>
        <w:rPr>
          <w:rFonts w:ascii="宋体" w:hAnsi="宋体" w:cs="Arial" w:hint="eastAsia"/>
          <w:szCs w:val="21"/>
        </w:rPr>
        <w:t>.若中国证监会或其他监管机构在本托管协议订立日之后允许基金从事其他投资品种的投资业务，涉及相关账户的开立、使用的，</w:t>
      </w:r>
      <w:r>
        <w:rPr>
          <w:rFonts w:ascii="宋体" w:hAnsi="宋体" w:cs="Arial" w:hint="eastAsia"/>
          <w:color w:val="000000"/>
          <w:szCs w:val="21"/>
        </w:rPr>
        <w:t>按有关规定开立、使用并管理；</w:t>
      </w:r>
      <w:r>
        <w:rPr>
          <w:rFonts w:ascii="宋体" w:hAnsi="宋体" w:cs="Arial" w:hint="eastAsia"/>
          <w:szCs w:val="21"/>
        </w:rPr>
        <w:t>若无相关规定，</w:t>
      </w:r>
      <w:proofErr w:type="gramStart"/>
      <w:r>
        <w:rPr>
          <w:rFonts w:ascii="宋体" w:hAnsi="宋体" w:cs="Arial" w:hint="eastAsia"/>
          <w:szCs w:val="21"/>
        </w:rPr>
        <w:t>则基金</w:t>
      </w:r>
      <w:proofErr w:type="gramEnd"/>
      <w:r>
        <w:rPr>
          <w:rFonts w:ascii="宋体" w:hAnsi="宋体" w:cs="Arial" w:hint="eastAsia"/>
          <w:szCs w:val="21"/>
        </w:rPr>
        <w:t>托管人比照上述关于账户开立、使用的规定执行。</w:t>
      </w:r>
    </w:p>
    <w:p w14:paraId="2FA4B23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（五）债券托管账户的开设和管理</w:t>
      </w:r>
    </w:p>
    <w:p w14:paraId="5C54E89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基金合同生效后，基金托管人根据中国人民银行、中央国债登记结算有限责任公司和银行间市场清算所股份有限公司的有关规定，以基金的名义在</w:t>
      </w:r>
      <w:r>
        <w:rPr>
          <w:rFonts w:hint="eastAsia"/>
        </w:rPr>
        <w:t>银行间市场登记结算机构</w:t>
      </w:r>
      <w:r>
        <w:rPr>
          <w:rFonts w:ascii="宋体" w:hAnsi="宋体" w:cs="Arial" w:hint="eastAsia"/>
          <w:szCs w:val="21"/>
        </w:rPr>
        <w:t>开立债券托管账户，并代表基金进行银行间市场债券的结算。</w:t>
      </w:r>
    </w:p>
    <w:p w14:paraId="406C3DE0"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（六）其他账户的开立和管理</w:t>
      </w:r>
    </w:p>
    <w:p w14:paraId="138EA3B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1.基金管理人根据投资需要按照规定开立期货保证金账户及期货交易编码等，</w:t>
      </w:r>
      <w:r>
        <w:rPr>
          <w:rFonts w:ascii="宋体" w:hAnsi="宋体" w:hint="eastAsia"/>
          <w:szCs w:val="21"/>
        </w:rPr>
        <w:t>基金托管人按照规定开立投资所需账户。</w:t>
      </w:r>
      <w:r>
        <w:rPr>
          <w:rFonts w:ascii="宋体" w:hAnsi="宋体" w:cs="Arial" w:hint="eastAsia"/>
          <w:szCs w:val="21"/>
        </w:rPr>
        <w:t>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14:paraId="622BD8E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基金托管人和基金管理人应当在开户过程中相互配合，并提供所需资料。基金管理人保证所提供的账户开户材料的真实性和有效性，且在相关资料变更后及时将变更的资料提供给基</w:t>
      </w:r>
      <w:r>
        <w:rPr>
          <w:rFonts w:ascii="宋体" w:hAnsi="宋体" w:cs="Arial" w:hint="eastAsia"/>
          <w:szCs w:val="21"/>
        </w:rPr>
        <w:lastRenderedPageBreak/>
        <w:t>金托管人。</w:t>
      </w:r>
    </w:p>
    <w:p w14:paraId="472C266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2.因业务发展需要而开立的其他账户，可以根据法律法规和基金合同的规定，由基金管理人协助基金托管人按照有关法律法规和本协议的约定协商后开立。新账户按有关规定使用并管理。</w:t>
      </w:r>
    </w:p>
    <w:p w14:paraId="03CAF2A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3.法律法规等有关规定对相关账户的开立和管理另有规定的，从其规定办理。</w:t>
      </w:r>
    </w:p>
    <w:p w14:paraId="1BCB95FC"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（七）基金财产投资的有关有价凭证等的保管</w:t>
      </w:r>
    </w:p>
    <w:p w14:paraId="6C45A98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4786919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（八）与基金财产有关的重大合同的保管</w:t>
      </w:r>
    </w:p>
    <w:p w14:paraId="108C220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w:t>
      </w:r>
      <w:r>
        <w:rPr>
          <w:rFonts w:ascii="宋体" w:hAnsi="宋体" w:hint="eastAsia"/>
          <w:szCs w:val="21"/>
        </w:rPr>
        <w:t>因基金管理人发送的合同传真件与事后送达的合同原件不一致所造成的后果，由基金管理人负责。</w:t>
      </w:r>
      <w:r>
        <w:rPr>
          <w:rFonts w:ascii="宋体" w:hAnsi="宋体" w:cs="Arial" w:hint="eastAsia"/>
          <w:szCs w:val="21"/>
        </w:rPr>
        <w:t>重大合同的保管期限不低于法律法规规定的最低期限。</w:t>
      </w:r>
    </w:p>
    <w:p w14:paraId="6B01332A"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2814B1F1" w14:textId="77777777" w:rsidR="000F2133" w:rsidRDefault="000F2133">
      <w:pPr>
        <w:spacing w:line="360" w:lineRule="auto"/>
        <w:ind w:firstLine="420"/>
        <w:rPr>
          <w:rFonts w:ascii="宋体" w:hAnsi="宋体"/>
          <w:szCs w:val="21"/>
        </w:rPr>
      </w:pPr>
    </w:p>
    <w:p w14:paraId="3CFB42BE" w14:textId="77777777" w:rsidR="000F2133" w:rsidRDefault="00D82757">
      <w:pPr>
        <w:pStyle w:val="2"/>
        <w:spacing w:beforeLines="100" w:before="312" w:afterLines="50" w:after="156" w:line="360" w:lineRule="auto"/>
        <w:jc w:val="center"/>
        <w:rPr>
          <w:rFonts w:ascii="宋体" w:eastAsia="宋体" w:hAnsi="宋体"/>
          <w:sz w:val="21"/>
          <w:szCs w:val="21"/>
        </w:rPr>
      </w:pPr>
      <w:bookmarkStart w:id="53" w:name="_Toc86204790"/>
      <w:bookmarkStart w:id="54" w:name="_Toc118774805"/>
      <w:bookmarkStart w:id="55" w:name="_Toc84234436"/>
      <w:bookmarkStart w:id="56" w:name="_Toc118972650"/>
      <w:bookmarkStart w:id="57" w:name="_Toc86726441"/>
      <w:bookmarkStart w:id="58" w:name="_Toc118212952"/>
      <w:bookmarkStart w:id="59" w:name="_Toc110830494"/>
      <w:bookmarkStart w:id="60" w:name="_Toc84234389"/>
      <w:bookmarkStart w:id="61" w:name="_Toc86225293"/>
      <w:bookmarkStart w:id="62" w:name="_Toc86737931"/>
      <w:bookmarkStart w:id="63" w:name="_Toc84133787"/>
      <w:bookmarkStart w:id="64" w:name="_Toc120435785"/>
      <w:bookmarkStart w:id="65" w:name="_Toc89163370"/>
      <w:bookmarkStart w:id="66" w:name="_Toc119402712"/>
      <w:bookmarkStart w:id="67" w:name="_Toc108512360"/>
      <w:bookmarkStart w:id="68" w:name="_Toc86727357"/>
      <w:bookmarkStart w:id="69" w:name="_Toc86649724"/>
      <w:bookmarkStart w:id="70" w:name="_Toc110765662"/>
      <w:bookmarkStart w:id="71" w:name="_Toc110761798"/>
      <w:bookmarkStart w:id="72" w:name="_Toc86223244"/>
      <w:r>
        <w:rPr>
          <w:rFonts w:ascii="宋体" w:eastAsia="宋体" w:hAnsi="宋体"/>
          <w:sz w:val="21"/>
          <w:szCs w:val="21"/>
        </w:rPr>
        <w:br w:type="page"/>
      </w:r>
      <w:bookmarkStart w:id="73" w:name="_Toc348082034"/>
      <w:bookmarkStart w:id="74" w:name="_Toc204947274"/>
      <w:r>
        <w:rPr>
          <w:rFonts w:ascii="宋体" w:eastAsia="宋体" w:hAnsi="宋体" w:hint="eastAsia"/>
          <w:sz w:val="21"/>
          <w:szCs w:val="21"/>
        </w:rPr>
        <w:lastRenderedPageBreak/>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E3C44D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基金管理人在运用基金财产时向基金托管人发送</w:t>
      </w:r>
      <w:proofErr w:type="gramStart"/>
      <w:r>
        <w:rPr>
          <w:rFonts w:ascii="宋体" w:hAnsi="宋体" w:cs="Arial" w:hint="eastAsia"/>
          <w:szCs w:val="21"/>
        </w:rPr>
        <w:t>银证互转</w:t>
      </w:r>
      <w:proofErr w:type="gramEnd"/>
      <w:r>
        <w:rPr>
          <w:rFonts w:ascii="宋体" w:hAnsi="宋体" w:cs="Arial" w:hint="eastAsia"/>
          <w:szCs w:val="21"/>
        </w:rPr>
        <w:t>、场外交易资金划拨及其他款项付款指令，基金托管人执行基金管理人的指令、办理基金名下的资金往来等有关事项。</w:t>
      </w:r>
    </w:p>
    <w:p w14:paraId="3929F9CC" w14:textId="77777777" w:rsidR="000F2133" w:rsidRDefault="00D82757">
      <w:pPr>
        <w:adjustRightInd w:val="0"/>
        <w:snapToGrid w:val="0"/>
        <w:spacing w:line="360" w:lineRule="auto"/>
        <w:ind w:firstLine="426"/>
        <w:rPr>
          <w:rFonts w:ascii="宋体" w:hAnsi="宋体"/>
          <w:szCs w:val="21"/>
        </w:rPr>
      </w:pPr>
      <w:r>
        <w:rPr>
          <w:rFonts w:ascii="宋体" w:hAnsi="宋体" w:hint="eastAsia"/>
          <w:szCs w:val="21"/>
        </w:rPr>
        <w:t>基金管理人发送的指令包括电子指令和纸质指令。</w:t>
      </w:r>
    </w:p>
    <w:p w14:paraId="1A60CD18" w14:textId="444F7A12" w:rsidR="000F2133" w:rsidRDefault="00D82757">
      <w:pPr>
        <w:adjustRightInd w:val="0"/>
        <w:snapToGrid w:val="0"/>
        <w:spacing w:line="360" w:lineRule="auto"/>
        <w:ind w:firstLine="426"/>
        <w:rPr>
          <w:rFonts w:ascii="宋体" w:hAnsi="宋体"/>
          <w:szCs w:val="21"/>
        </w:rPr>
      </w:pPr>
      <w:r>
        <w:rPr>
          <w:rFonts w:ascii="宋体" w:hAnsi="宋体" w:hint="eastAsia"/>
          <w:szCs w:val="21"/>
        </w:rPr>
        <w:t>电子指令包括基金管理人发送的电子指令（采用电子报文传送的电子指令、</w:t>
      </w:r>
      <w:r w:rsidR="005B4A95">
        <w:rPr>
          <w:rFonts w:ascii="宋体" w:hAnsi="宋体" w:hint="eastAsia"/>
          <w:szCs w:val="21"/>
        </w:rPr>
        <w:t>中信银行</w:t>
      </w:r>
      <w:r>
        <w:rPr>
          <w:rFonts w:ascii="宋体" w:hAnsi="宋体" w:hint="eastAsia"/>
          <w:szCs w:val="21"/>
        </w:rPr>
        <w:t>托管</w:t>
      </w:r>
      <w:r w:rsidR="004E3EBF">
        <w:rPr>
          <w:rFonts w:ascii="宋体" w:hAnsi="宋体" w:hint="eastAsia"/>
          <w:szCs w:val="21"/>
        </w:rPr>
        <w:t>客户端</w:t>
      </w:r>
      <w:r>
        <w:rPr>
          <w:rFonts w:ascii="宋体" w:hAnsi="宋体" w:hint="eastAsia"/>
          <w:szCs w:val="21"/>
        </w:rPr>
        <w:t>录入的电子指令）、自动产生的电子指令（基金托管人</w:t>
      </w:r>
      <w:proofErr w:type="gramStart"/>
      <w:r>
        <w:rPr>
          <w:rFonts w:ascii="宋体" w:hAnsi="宋体" w:hint="eastAsia"/>
          <w:szCs w:val="21"/>
        </w:rPr>
        <w:t>端根据</w:t>
      </w:r>
      <w:proofErr w:type="gramEnd"/>
      <w:r>
        <w:rPr>
          <w:rFonts w:ascii="宋体" w:hAnsi="宋体" w:hint="eastAsia"/>
          <w:szCs w:val="21"/>
        </w:rPr>
        <w:t>基金管理人同意设定的业务规则自动产生的电子指令）。纸质指令包括基金管理人给基金托管人传真指令或原件指令。</w:t>
      </w:r>
    </w:p>
    <w:p w14:paraId="0EA8DE3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（一）基金管理人对发送指令人员的书面授权</w:t>
      </w:r>
    </w:p>
    <w:p w14:paraId="7F61F5A3" w14:textId="7172605B" w:rsidR="000F2133" w:rsidRDefault="00D82757">
      <w:pPr>
        <w:autoSpaceDE w:val="0"/>
        <w:autoSpaceDN w:val="0"/>
        <w:adjustRightInd w:val="0"/>
        <w:snapToGrid w:val="0"/>
        <w:spacing w:line="360" w:lineRule="auto"/>
        <w:ind w:firstLineChars="200" w:firstLine="420"/>
        <w:rPr>
          <w:rFonts w:ascii="宋体" w:hAnsi="宋体" w:cs="Arial"/>
          <w:szCs w:val="21"/>
        </w:rPr>
      </w:pPr>
      <w:r>
        <w:rPr>
          <w:rFonts w:ascii="宋体" w:hAnsi="宋体" w:hint="eastAsia"/>
          <w:szCs w:val="21"/>
        </w:rPr>
        <w:t>基金管理人</w:t>
      </w:r>
      <w:r>
        <w:rPr>
          <w:rFonts w:ascii="宋体" w:hAnsi="宋体" w:cs="Arial" w:hint="eastAsia"/>
          <w:szCs w:val="21"/>
        </w:rPr>
        <w:t>应</w:t>
      </w:r>
      <w:r>
        <w:rPr>
          <w:rFonts w:ascii="宋体" w:hAnsi="宋体" w:hint="eastAsia"/>
          <w:szCs w:val="21"/>
        </w:rPr>
        <w:t>事先向基金托管人</w:t>
      </w:r>
      <w:r>
        <w:rPr>
          <w:rFonts w:ascii="宋体" w:hAnsi="宋体" w:cs="Arial" w:hint="eastAsia"/>
          <w:szCs w:val="21"/>
        </w:rPr>
        <w:t>提供书面授权</w:t>
      </w:r>
      <w:r>
        <w:rPr>
          <w:rFonts w:ascii="宋体" w:hAnsi="宋体" w:hint="eastAsia"/>
          <w:szCs w:val="21"/>
        </w:rPr>
        <w:t>通知书（以下简称“授权通知书”），指定指令的被授权人及被授权印鉴，授权通知书的</w:t>
      </w:r>
      <w:r>
        <w:rPr>
          <w:rFonts w:ascii="宋体" w:hAnsi="宋体" w:cs="Arial" w:hint="eastAsia"/>
          <w:szCs w:val="21"/>
        </w:rPr>
        <w:t>内容包括被授权人</w:t>
      </w:r>
      <w:r>
        <w:rPr>
          <w:rFonts w:ascii="宋体" w:hAnsi="宋体" w:hint="eastAsia"/>
          <w:szCs w:val="21"/>
        </w:rPr>
        <w:t>的</w:t>
      </w:r>
      <w:r>
        <w:rPr>
          <w:rFonts w:ascii="宋体" w:hAnsi="宋体" w:cs="Arial" w:hint="eastAsia"/>
          <w:szCs w:val="21"/>
        </w:rPr>
        <w:t>名单、</w:t>
      </w:r>
      <w:r>
        <w:rPr>
          <w:rFonts w:ascii="宋体" w:hAnsi="宋体" w:hint="eastAsia"/>
          <w:szCs w:val="21"/>
        </w:rPr>
        <w:t>签字/印章样本、权限和</w:t>
      </w:r>
      <w:r>
        <w:rPr>
          <w:rFonts w:ascii="宋体" w:hAnsi="宋体" w:cs="Arial" w:hint="eastAsia"/>
          <w:szCs w:val="21"/>
        </w:rPr>
        <w:t>预留印鉴</w:t>
      </w:r>
      <w:r>
        <w:rPr>
          <w:rFonts w:ascii="宋体" w:hAnsi="宋体" w:hint="eastAsia"/>
          <w:szCs w:val="21"/>
        </w:rPr>
        <w:t>，以及授权的传真号码、邮箱、电话号码等。</w:t>
      </w:r>
      <w:r>
        <w:rPr>
          <w:rFonts w:ascii="宋体" w:hAnsi="宋体" w:cs="Arial" w:hint="eastAsia"/>
          <w:szCs w:val="21"/>
        </w:rPr>
        <w:t>授权</w:t>
      </w:r>
      <w:r>
        <w:rPr>
          <w:rFonts w:ascii="宋体" w:hAnsi="宋体" w:hint="eastAsia"/>
          <w:szCs w:val="21"/>
        </w:rPr>
        <w:t>通知书</w:t>
      </w:r>
      <w:r>
        <w:rPr>
          <w:rFonts w:ascii="宋体" w:hAnsi="宋体" w:cs="Arial" w:hint="eastAsia"/>
          <w:szCs w:val="21"/>
        </w:rPr>
        <w:t>应</w:t>
      </w:r>
      <w:r>
        <w:rPr>
          <w:rFonts w:ascii="宋体" w:hAnsi="宋体" w:hint="eastAsia"/>
          <w:szCs w:val="21"/>
        </w:rPr>
        <w:t>加盖基金管理人公司公章</w:t>
      </w:r>
      <w:r>
        <w:rPr>
          <w:rFonts w:ascii="宋体" w:hAnsi="宋体"/>
          <w:szCs w:val="21"/>
        </w:rPr>
        <w:t>和法定代表人</w:t>
      </w:r>
      <w:r>
        <w:rPr>
          <w:rFonts w:ascii="宋体" w:hAnsi="宋体" w:hint="eastAsia"/>
          <w:szCs w:val="21"/>
        </w:rPr>
        <w:t>（或授权代表）签字</w:t>
      </w:r>
      <w:r>
        <w:rPr>
          <w:rFonts w:ascii="宋体" w:hAnsi="宋体"/>
          <w:szCs w:val="21"/>
        </w:rPr>
        <w:t>/签章</w:t>
      </w:r>
      <w:r>
        <w:rPr>
          <w:rFonts w:ascii="宋体" w:hAnsi="宋体" w:hint="eastAsia"/>
          <w:szCs w:val="21"/>
        </w:rPr>
        <w:t>，</w:t>
      </w:r>
      <w:r>
        <w:rPr>
          <w:rFonts w:ascii="宋体" w:hAnsi="宋体"/>
          <w:szCs w:val="21"/>
        </w:rPr>
        <w:t>若由授权代表签署</w:t>
      </w:r>
      <w:r>
        <w:rPr>
          <w:rFonts w:ascii="宋体" w:hAnsi="宋体" w:hint="eastAsia"/>
          <w:szCs w:val="21"/>
        </w:rPr>
        <w:t>，</w:t>
      </w:r>
      <w:r>
        <w:rPr>
          <w:rFonts w:ascii="宋体" w:hAnsi="宋体"/>
          <w:szCs w:val="21"/>
        </w:rPr>
        <w:t>还</w:t>
      </w:r>
      <w:r w:rsidR="00CB0871">
        <w:rPr>
          <w:rFonts w:ascii="宋体" w:hAnsi="宋体" w:hint="eastAsia"/>
          <w:szCs w:val="21"/>
        </w:rPr>
        <w:t>应</w:t>
      </w:r>
      <w:r>
        <w:rPr>
          <w:rFonts w:ascii="宋体" w:hAnsi="宋体"/>
          <w:szCs w:val="21"/>
        </w:rPr>
        <w:t>附上法定代表</w:t>
      </w:r>
      <w:r>
        <w:rPr>
          <w:rFonts w:ascii="宋体" w:hAnsi="宋体" w:hint="eastAsia"/>
          <w:szCs w:val="21"/>
        </w:rPr>
        <w:t>人</w:t>
      </w:r>
      <w:r>
        <w:rPr>
          <w:rFonts w:ascii="宋体" w:hAnsi="宋体"/>
          <w:szCs w:val="21"/>
        </w:rPr>
        <w:t>的授权书</w:t>
      </w:r>
      <w:r>
        <w:rPr>
          <w:rFonts w:ascii="宋体" w:hAnsi="宋体" w:hint="eastAsia"/>
          <w:szCs w:val="21"/>
        </w:rPr>
        <w:t>，并写明生效时间，未写明生效时间的以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基金管理人在此后三个工作日内将授权通知书的正本送交基金托管人。授权通知书正本内容与基金托管人收到的传真或者以其他与基金托管人协商一致的方式发送的内容不一致的，以基金托管人收到的传真或者以其他与基金托管人协商一致的方式发送的内容为准。</w:t>
      </w:r>
    </w:p>
    <w:p w14:paraId="6C19729C" w14:textId="77777777" w:rsidR="000F2133" w:rsidRDefault="00D82757">
      <w:pPr>
        <w:tabs>
          <w:tab w:val="left" w:pos="1260"/>
        </w:tabs>
        <w:adjustRightInd w:val="0"/>
        <w:snapToGrid w:val="0"/>
        <w:spacing w:line="360" w:lineRule="auto"/>
        <w:ind w:firstLineChars="200" w:firstLine="420"/>
        <w:rPr>
          <w:rFonts w:ascii="宋体" w:hAnsi="宋体" w:cs="Arial"/>
          <w:szCs w:val="21"/>
        </w:rPr>
      </w:pPr>
      <w:r>
        <w:rPr>
          <w:rFonts w:ascii="宋体" w:hAnsi="宋体" w:hint="eastAsia"/>
          <w:szCs w:val="21"/>
        </w:rPr>
        <w:t>基金管理人</w:t>
      </w:r>
      <w:r>
        <w:rPr>
          <w:rFonts w:ascii="宋体" w:hAnsi="宋体" w:cs="Arial" w:hint="eastAsia"/>
          <w:szCs w:val="21"/>
        </w:rPr>
        <w:t>和</w:t>
      </w:r>
      <w:r>
        <w:rPr>
          <w:rFonts w:ascii="宋体" w:hAnsi="宋体" w:hint="eastAsia"/>
          <w:szCs w:val="21"/>
        </w:rPr>
        <w:t>基金托管人</w:t>
      </w:r>
      <w:r>
        <w:rPr>
          <w:rFonts w:ascii="宋体" w:hAnsi="宋体" w:cs="Arial" w:hint="eastAsia"/>
          <w:szCs w:val="21"/>
        </w:rPr>
        <w:t>对授权</w:t>
      </w:r>
      <w:r>
        <w:rPr>
          <w:rFonts w:ascii="宋体" w:hAnsi="宋体" w:hint="eastAsia"/>
          <w:szCs w:val="21"/>
        </w:rPr>
        <w:t>通知书</w:t>
      </w:r>
      <w:r>
        <w:rPr>
          <w:rFonts w:ascii="宋体" w:hAnsi="宋体" w:cs="Arial" w:hint="eastAsia"/>
          <w:szCs w:val="21"/>
        </w:rPr>
        <w:t>负有保密义务，其内容不得向</w:t>
      </w:r>
      <w:r>
        <w:rPr>
          <w:rFonts w:ascii="宋体" w:hAnsi="宋体" w:hint="eastAsia"/>
          <w:szCs w:val="21"/>
        </w:rPr>
        <w:t>授权人、</w:t>
      </w:r>
      <w:r>
        <w:rPr>
          <w:rFonts w:ascii="宋体" w:hAnsi="宋体" w:cs="Arial" w:hint="eastAsia"/>
          <w:szCs w:val="21"/>
        </w:rPr>
        <w:t>被授权人及相关操作人员以外的任何人</w:t>
      </w:r>
      <w:r>
        <w:rPr>
          <w:rFonts w:ascii="宋体" w:hAnsi="宋体" w:hint="eastAsia"/>
          <w:szCs w:val="21"/>
        </w:rPr>
        <w:t>泄露</w:t>
      </w:r>
      <w:r>
        <w:rPr>
          <w:rFonts w:ascii="宋体" w:hAnsi="宋体" w:cs="Arial" w:hint="eastAsia"/>
          <w:szCs w:val="21"/>
        </w:rPr>
        <w:t>，但法律法规另有规定或有权机关另有要求的除外。</w:t>
      </w:r>
    </w:p>
    <w:p w14:paraId="274EC96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（二）指令的内容</w:t>
      </w:r>
    </w:p>
    <w:p w14:paraId="149047B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投资</w:t>
      </w:r>
      <w:r>
        <w:rPr>
          <w:rFonts w:ascii="宋体" w:hAnsi="宋体" w:hint="eastAsia"/>
          <w:szCs w:val="21"/>
        </w:rPr>
        <w:t>指令是在管理本基金时，基金管理人向基金托管人发出的交易成交单、交易指令及</w:t>
      </w:r>
      <w:r>
        <w:rPr>
          <w:rFonts w:ascii="宋体" w:hAnsi="宋体" w:cs="Arial" w:hint="eastAsia"/>
          <w:szCs w:val="21"/>
        </w:rPr>
        <w:t>资金划拨</w:t>
      </w:r>
      <w:r>
        <w:rPr>
          <w:rFonts w:ascii="宋体" w:hAnsi="宋体" w:hint="eastAsia"/>
          <w:szCs w:val="21"/>
        </w:rPr>
        <w:t>类指令（以下简称“指令”）。</w:t>
      </w:r>
      <w:r>
        <w:rPr>
          <w:rFonts w:ascii="宋体" w:hAnsi="宋体" w:cs="Arial" w:hint="eastAsia"/>
          <w:szCs w:val="21"/>
        </w:rPr>
        <w:t>指令</w:t>
      </w:r>
      <w:r>
        <w:rPr>
          <w:rFonts w:ascii="宋体" w:hAnsi="宋体" w:hint="eastAsia"/>
          <w:szCs w:val="21"/>
        </w:rPr>
        <w:t>应</w:t>
      </w:r>
      <w:r>
        <w:rPr>
          <w:rFonts w:ascii="宋体" w:hAnsi="宋体" w:cs="Arial" w:hint="eastAsia"/>
          <w:szCs w:val="21"/>
        </w:rPr>
        <w:t>加盖预留印鉴并由被授权人印章/签字。</w:t>
      </w:r>
      <w:r>
        <w:rPr>
          <w:rFonts w:ascii="宋体" w:hAnsi="宋体" w:hint="eastAsia"/>
          <w:szCs w:val="21"/>
        </w:rPr>
        <w:t>基金管理人发给基金托管人的资金划拨类指令应写明款项事由、时间、金额、出款和收款账户信息等。</w:t>
      </w:r>
    </w:p>
    <w:p w14:paraId="7E1BD0C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（三）指令的发送、确认及执行的时间和程序</w:t>
      </w:r>
    </w:p>
    <w:p w14:paraId="0C2657D0"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1.指令发送的方式</w:t>
      </w:r>
    </w:p>
    <w:p w14:paraId="36038C7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基金管理人选择以下第（2）、（3）种方式向</w:t>
      </w:r>
      <w:r>
        <w:rPr>
          <w:rFonts w:ascii="宋体" w:hAnsi="宋体" w:hint="eastAsia"/>
          <w:szCs w:val="21"/>
        </w:rPr>
        <w:t>基金</w:t>
      </w:r>
      <w:r>
        <w:rPr>
          <w:rFonts w:ascii="宋体" w:hAnsi="宋体" w:cs="Arial" w:hint="eastAsia"/>
          <w:szCs w:val="21"/>
        </w:rPr>
        <w:t xml:space="preserve">托管人发送指令： </w:t>
      </w:r>
    </w:p>
    <w:p w14:paraId="4130C37E" w14:textId="749DC152"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（1）基金管理人通过</w:t>
      </w:r>
      <w:r w:rsidR="00F92FE5">
        <w:rPr>
          <w:rFonts w:ascii="宋体" w:hAnsi="宋体" w:hint="eastAsia"/>
          <w:szCs w:val="21"/>
        </w:rPr>
        <w:t>中信银行托管客户端</w:t>
      </w:r>
      <w:r>
        <w:rPr>
          <w:rFonts w:ascii="宋体" w:hAnsi="宋体" w:cs="Arial" w:hint="eastAsia"/>
          <w:szCs w:val="21"/>
        </w:rPr>
        <w:t>录入方式，向基金托管人发送电子划款指令或投资指令。</w:t>
      </w:r>
    </w:p>
    <w:p w14:paraId="06C881D5" w14:textId="527434F5" w:rsidR="000F2133" w:rsidRDefault="00F92FE5">
      <w:pPr>
        <w:adjustRightInd w:val="0"/>
        <w:snapToGrid w:val="0"/>
        <w:spacing w:line="360" w:lineRule="auto"/>
        <w:ind w:firstLineChars="200" w:firstLine="420"/>
        <w:rPr>
          <w:rFonts w:ascii="宋体" w:hAnsi="宋体" w:cs="Arial"/>
          <w:szCs w:val="21"/>
        </w:rPr>
      </w:pPr>
      <w:r>
        <w:rPr>
          <w:rFonts w:ascii="宋体" w:hAnsi="宋体" w:hint="eastAsia"/>
          <w:szCs w:val="21"/>
        </w:rPr>
        <w:t>中信银行托管客户端</w:t>
      </w:r>
      <w:r w:rsidR="00D82757">
        <w:rPr>
          <w:rFonts w:ascii="宋体" w:hAnsi="宋体" w:cs="Arial" w:hint="eastAsia"/>
          <w:szCs w:val="21"/>
        </w:rPr>
        <w:t>是指基金托管人基于Internet网络，向基金管理人提供的客户服务软件，实现基金管理人与</w:t>
      </w:r>
      <w:r w:rsidR="00D82757">
        <w:rPr>
          <w:rFonts w:ascii="宋体" w:hAnsi="宋体" w:hint="eastAsia"/>
          <w:szCs w:val="21"/>
        </w:rPr>
        <w:t>基金</w:t>
      </w:r>
      <w:r w:rsidR="00D82757">
        <w:rPr>
          <w:rFonts w:ascii="宋体" w:hAnsi="宋体" w:cs="Arial" w:hint="eastAsia"/>
          <w:szCs w:val="21"/>
        </w:rPr>
        <w:t>托管人之间指令处理、数据传输、业务查询、资料传递和信息服务等直通式处理。</w:t>
      </w:r>
    </w:p>
    <w:p w14:paraId="55297FAD" w14:textId="71315823"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基金管理人和基金托管人另行签订《</w:t>
      </w:r>
      <w:r w:rsidR="005B4A95">
        <w:rPr>
          <w:rFonts w:ascii="宋体" w:hAnsi="宋体" w:cs="Arial" w:hint="eastAsia"/>
          <w:szCs w:val="21"/>
        </w:rPr>
        <w:t>中信银行</w:t>
      </w:r>
      <w:r>
        <w:rPr>
          <w:rFonts w:ascii="宋体" w:hAnsi="宋体" w:cs="Arial" w:hint="eastAsia"/>
          <w:szCs w:val="21"/>
        </w:rPr>
        <w:t>“托管+”综合服务平台服务协议》，具体</w:t>
      </w:r>
      <w:r>
        <w:rPr>
          <w:rFonts w:ascii="宋体" w:hAnsi="宋体" w:cs="Arial" w:hint="eastAsia"/>
          <w:szCs w:val="21"/>
        </w:rPr>
        <w:lastRenderedPageBreak/>
        <w:t>事宜以《</w:t>
      </w:r>
      <w:r w:rsidR="005B4A95">
        <w:rPr>
          <w:rFonts w:ascii="宋体" w:hAnsi="宋体" w:cs="Arial" w:hint="eastAsia"/>
          <w:szCs w:val="21"/>
        </w:rPr>
        <w:t>中信银行</w:t>
      </w:r>
      <w:r>
        <w:rPr>
          <w:rFonts w:ascii="宋体" w:hAnsi="宋体" w:cs="Arial" w:hint="eastAsia"/>
          <w:szCs w:val="21"/>
        </w:rPr>
        <w:t>“托管+”综合服务平台服务协议》的约定为准。</w:t>
      </w:r>
    </w:p>
    <w:p w14:paraId="3413EBA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（2）基金管理人通过深证通电子直连对接方式，向基金托管人发送电子划款指令或投资指令。</w:t>
      </w:r>
    </w:p>
    <w:p w14:paraId="7B43933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基金管理人通过深证通电子直连对接方式发送电子指令的，基金管理人应至少在</w:t>
      </w:r>
      <w:r>
        <w:rPr>
          <w:rFonts w:ascii="宋体" w:hAnsi="宋体" w:cs="Arial"/>
          <w:szCs w:val="21"/>
        </w:rPr>
        <w:t>基金</w:t>
      </w:r>
      <w:r>
        <w:rPr>
          <w:rFonts w:ascii="宋体" w:hAnsi="宋体" w:cs="Arial" w:hint="eastAsia"/>
          <w:szCs w:val="21"/>
        </w:rPr>
        <w:t>成立日前一日，通过预留邮箱或加盖预留印鉴的函件告知</w:t>
      </w:r>
      <w:r>
        <w:rPr>
          <w:rFonts w:ascii="宋体" w:hAnsi="宋体" w:hint="eastAsia"/>
          <w:szCs w:val="21"/>
        </w:rPr>
        <w:t>基金</w:t>
      </w:r>
      <w:r>
        <w:rPr>
          <w:rFonts w:ascii="宋体" w:hAnsi="宋体" w:cs="Arial" w:hint="eastAsia"/>
          <w:szCs w:val="21"/>
        </w:rPr>
        <w:t>托管人本基金的</w:t>
      </w:r>
      <w:r>
        <w:rPr>
          <w:rFonts w:ascii="宋体" w:hAnsi="宋体" w:cs="Arial"/>
          <w:szCs w:val="21"/>
        </w:rPr>
        <w:t>基金</w:t>
      </w:r>
      <w:r>
        <w:rPr>
          <w:rFonts w:ascii="宋体" w:hAnsi="宋体" w:cs="Arial" w:hint="eastAsia"/>
          <w:szCs w:val="21"/>
        </w:rPr>
        <w:t>代码。</w:t>
      </w:r>
    </w:p>
    <w:p w14:paraId="6A74B93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对于基金管理人通过上述（1）、（2）方式发送的指令，基金管理人不得否认其效力。</w:t>
      </w:r>
    </w:p>
    <w:p w14:paraId="1AF2716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对于基金管理人通过上述（1）、（2）方式发送指令的，在应急情况下，基金管理人可以传真发送划款指令或者快递、现场交互原件指令。具体操作方式分别按照以下第（3）、（4）款指令发送方式执行。</w:t>
      </w:r>
    </w:p>
    <w:p w14:paraId="61F4A6D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（3）基金管理人选择以传真方式发送指令</w:t>
      </w:r>
    </w:p>
    <w:p w14:paraId="01B1C26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对于基金管理人通过预留传真号码发出的指令，基金管理人不得否认其效力。</w:t>
      </w:r>
    </w:p>
    <w:p w14:paraId="1B7BAEA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72E8103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（4）基金管理人快递寄送或现场交互指令原件的形式传递指令</w:t>
      </w:r>
    </w:p>
    <w:p w14:paraId="4BC2ECC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如需变更指令发送形式，基金管理人须提前向基金托管人提供变更指令发送形式的指令发送方式变更通知书。</w:t>
      </w:r>
    </w:p>
    <w:p w14:paraId="1001EC8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2.指令附件的发送方式</w:t>
      </w:r>
    </w:p>
    <w:p w14:paraId="34DAC769" w14:textId="2D9C3835"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基金管理人向基金托管人发送指令的同时，通过</w:t>
      </w:r>
      <w:r w:rsidR="00F92FE5">
        <w:rPr>
          <w:rFonts w:ascii="宋体" w:hAnsi="宋体" w:hint="eastAsia"/>
          <w:szCs w:val="21"/>
        </w:rPr>
        <w:t>中信银行托管客户端</w:t>
      </w:r>
      <w:r>
        <w:rPr>
          <w:rFonts w:ascii="宋体" w:hAnsi="宋体" w:cs="Arial" w:hint="eastAsia"/>
          <w:szCs w:val="21"/>
        </w:rPr>
        <w:t>、预留传真号码或预留指令附件发送电子邮箱提供相关合同、交易凭证或其他证明材料。基金管理人对该等资料的真实性、有效性、完整性和合法合</w:t>
      </w:r>
      <w:proofErr w:type="gramStart"/>
      <w:r>
        <w:rPr>
          <w:rFonts w:ascii="宋体" w:hAnsi="宋体" w:cs="Arial" w:hint="eastAsia"/>
          <w:szCs w:val="21"/>
        </w:rPr>
        <w:t>规</w:t>
      </w:r>
      <w:proofErr w:type="gramEnd"/>
      <w:r>
        <w:rPr>
          <w:rFonts w:ascii="宋体" w:hAnsi="宋体" w:cs="Arial" w:hint="eastAsia"/>
          <w:szCs w:val="21"/>
        </w:rPr>
        <w:t>性负责。</w:t>
      </w:r>
    </w:p>
    <w:p w14:paraId="4820E9FA" w14:textId="7383EF9D"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对于通过</w:t>
      </w:r>
      <w:r w:rsidR="00F92FE5">
        <w:rPr>
          <w:rFonts w:ascii="宋体" w:hAnsi="宋体" w:hint="eastAsia"/>
          <w:szCs w:val="21"/>
        </w:rPr>
        <w:t>中信银行托管客户端</w:t>
      </w:r>
      <w:r>
        <w:rPr>
          <w:rFonts w:ascii="宋体" w:hAnsi="宋体" w:cs="Arial" w:hint="eastAsia"/>
          <w:szCs w:val="21"/>
        </w:rPr>
        <w:t>、预留传真号码或预留电子邮箱发出的指令附件，基金管理人和基金托管人不得否认其效力。</w:t>
      </w:r>
    </w:p>
    <w:p w14:paraId="31BCE5B3" w14:textId="77777777" w:rsidR="000F2133" w:rsidRDefault="00D82757">
      <w:pPr>
        <w:spacing w:line="360" w:lineRule="auto"/>
        <w:ind w:firstLineChars="200" w:firstLine="420"/>
        <w:rPr>
          <w:rFonts w:ascii="宋体" w:hAnsi="宋体"/>
          <w:szCs w:val="21"/>
        </w:rPr>
      </w:pPr>
      <w:r>
        <w:rPr>
          <w:rFonts w:ascii="宋体" w:hAnsi="宋体" w:cs="Arial" w:hint="eastAsia"/>
          <w:szCs w:val="21"/>
        </w:rPr>
        <w:t>3.指令发送的时间</w:t>
      </w:r>
    </w:p>
    <w:p w14:paraId="36C4E19D"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对于新股、新债申购等网下公开发行业务，基金管理人应于网下申购缴款日的10:00前将指令发送给基金托管人。</w:t>
      </w:r>
    </w:p>
    <w:p w14:paraId="3A1018DB" w14:textId="7D070B16" w:rsidR="000F2133" w:rsidRDefault="00D82757">
      <w:pPr>
        <w:spacing w:line="360" w:lineRule="auto"/>
        <w:ind w:firstLineChars="200" w:firstLine="420"/>
        <w:rPr>
          <w:rFonts w:ascii="宋体" w:hAnsi="宋体"/>
          <w:szCs w:val="21"/>
        </w:rPr>
      </w:pPr>
      <w:r>
        <w:rPr>
          <w:rFonts w:ascii="宋体" w:hAnsi="宋体" w:hint="eastAsia"/>
          <w:szCs w:val="21"/>
        </w:rPr>
        <w:t>对于期货</w:t>
      </w:r>
      <w:proofErr w:type="gramStart"/>
      <w:r>
        <w:rPr>
          <w:rFonts w:ascii="宋体" w:hAnsi="宋体" w:hint="eastAsia"/>
          <w:szCs w:val="21"/>
        </w:rPr>
        <w:t>出入金</w:t>
      </w:r>
      <w:proofErr w:type="gramEnd"/>
      <w:r>
        <w:rPr>
          <w:rFonts w:ascii="宋体" w:hAnsi="宋体" w:hint="eastAsia"/>
          <w:szCs w:val="21"/>
        </w:rPr>
        <w:t>业务，基金管理人应于交易日期货</w:t>
      </w:r>
      <w:proofErr w:type="gramStart"/>
      <w:r>
        <w:rPr>
          <w:rFonts w:ascii="宋体" w:hAnsi="宋体" w:hint="eastAsia"/>
          <w:szCs w:val="21"/>
        </w:rPr>
        <w:t>出入金</w:t>
      </w:r>
      <w:proofErr w:type="gramEnd"/>
      <w:r>
        <w:rPr>
          <w:rFonts w:ascii="宋体" w:hAnsi="宋体" w:hint="eastAsia"/>
          <w:szCs w:val="21"/>
        </w:rPr>
        <w:t>截止时间前2小时将期货</w:t>
      </w:r>
      <w:proofErr w:type="gramStart"/>
      <w:r>
        <w:rPr>
          <w:rFonts w:ascii="宋体" w:hAnsi="宋体" w:hint="eastAsia"/>
          <w:szCs w:val="21"/>
        </w:rPr>
        <w:t>出入金</w:t>
      </w:r>
      <w:proofErr w:type="gramEnd"/>
      <w:r>
        <w:rPr>
          <w:rFonts w:ascii="宋体" w:hAnsi="宋体" w:hint="eastAsia"/>
          <w:szCs w:val="21"/>
        </w:rPr>
        <w:t>指令发送至基金托管人。正常情况下由</w:t>
      </w:r>
      <w:r>
        <w:rPr>
          <w:rFonts w:ascii="宋体" w:hAnsi="宋体" w:cs="Arial" w:hint="eastAsia"/>
          <w:szCs w:val="21"/>
        </w:rPr>
        <w:t>基金</w:t>
      </w:r>
      <w:r>
        <w:rPr>
          <w:rFonts w:ascii="宋体" w:hAnsi="宋体" w:hint="eastAsia"/>
          <w:szCs w:val="21"/>
        </w:rPr>
        <w:t>托管人依据</w:t>
      </w:r>
      <w:r>
        <w:rPr>
          <w:rFonts w:ascii="宋体" w:hAnsi="宋体" w:cs="Arial" w:hint="eastAsia"/>
          <w:szCs w:val="21"/>
        </w:rPr>
        <w:t>基金</w:t>
      </w:r>
      <w:r>
        <w:rPr>
          <w:rFonts w:ascii="宋体" w:hAnsi="宋体" w:hint="eastAsia"/>
          <w:szCs w:val="21"/>
        </w:rPr>
        <w:t>管理人发出的</w:t>
      </w:r>
      <w:proofErr w:type="gramStart"/>
      <w:r>
        <w:rPr>
          <w:rFonts w:ascii="宋体" w:hAnsi="宋体" w:hint="eastAsia"/>
          <w:szCs w:val="21"/>
        </w:rPr>
        <w:t>出入金</w:t>
      </w:r>
      <w:proofErr w:type="gramEnd"/>
      <w:r>
        <w:rPr>
          <w:rFonts w:ascii="宋体" w:hAnsi="宋体" w:hint="eastAsia"/>
          <w:szCs w:val="21"/>
        </w:rPr>
        <w:t>指令，通过期货结算</w:t>
      </w:r>
      <w:proofErr w:type="gramStart"/>
      <w:r>
        <w:rPr>
          <w:rFonts w:ascii="宋体" w:hAnsi="宋体" w:hint="eastAsia"/>
          <w:szCs w:val="21"/>
        </w:rPr>
        <w:t>银行银期转账</w:t>
      </w:r>
      <w:proofErr w:type="gramEnd"/>
      <w:r>
        <w:rPr>
          <w:rFonts w:ascii="宋体" w:hAnsi="宋体" w:hint="eastAsia"/>
          <w:szCs w:val="21"/>
        </w:rPr>
        <w:t>系统进行</w:t>
      </w:r>
      <w:proofErr w:type="gramStart"/>
      <w:r>
        <w:rPr>
          <w:rFonts w:ascii="宋体" w:hAnsi="宋体" w:hint="eastAsia"/>
          <w:szCs w:val="21"/>
        </w:rPr>
        <w:t>出入金</w:t>
      </w:r>
      <w:proofErr w:type="gramEnd"/>
      <w:r>
        <w:rPr>
          <w:rFonts w:ascii="宋体" w:hAnsi="宋体" w:hint="eastAsia"/>
          <w:szCs w:val="21"/>
        </w:rPr>
        <w:t>操作。当结算</w:t>
      </w:r>
      <w:proofErr w:type="gramStart"/>
      <w:r>
        <w:rPr>
          <w:rFonts w:ascii="宋体" w:hAnsi="宋体" w:hint="eastAsia"/>
          <w:szCs w:val="21"/>
        </w:rPr>
        <w:t>银行银期转账</w:t>
      </w:r>
      <w:proofErr w:type="gramEnd"/>
      <w:r>
        <w:rPr>
          <w:rFonts w:ascii="宋体" w:hAnsi="宋体" w:hint="eastAsia"/>
          <w:szCs w:val="21"/>
        </w:rPr>
        <w:t>系统出现故障等其他紧急情况时，</w:t>
      </w:r>
      <w:r>
        <w:rPr>
          <w:rFonts w:ascii="宋体" w:hAnsi="宋体" w:cs="Arial" w:hint="eastAsia"/>
          <w:szCs w:val="21"/>
        </w:rPr>
        <w:t>基金</w:t>
      </w:r>
      <w:r>
        <w:rPr>
          <w:rFonts w:ascii="宋体" w:hAnsi="宋体" w:hint="eastAsia"/>
          <w:szCs w:val="21"/>
        </w:rPr>
        <w:t>管理人可以使用</w:t>
      </w:r>
      <w:proofErr w:type="gramStart"/>
      <w:r>
        <w:rPr>
          <w:rFonts w:ascii="宋体" w:hAnsi="宋体" w:hint="eastAsia"/>
          <w:szCs w:val="21"/>
        </w:rPr>
        <w:t>非银期转账</w:t>
      </w:r>
      <w:proofErr w:type="gramEnd"/>
      <w:r>
        <w:rPr>
          <w:rFonts w:ascii="宋体" w:hAnsi="宋体" w:hint="eastAsia"/>
          <w:szCs w:val="21"/>
        </w:rPr>
        <w:t>手工出入金。</w:t>
      </w:r>
    </w:p>
    <w:p w14:paraId="169654B7" w14:textId="77777777" w:rsidR="000F2133" w:rsidRDefault="00D82757">
      <w:pPr>
        <w:autoSpaceDE w:val="0"/>
        <w:autoSpaceDN w:val="0"/>
        <w:spacing w:line="360" w:lineRule="auto"/>
        <w:ind w:firstLineChars="200" w:firstLine="420"/>
        <w:rPr>
          <w:rFonts w:ascii="宋体" w:hAnsi="宋体"/>
          <w:szCs w:val="21"/>
        </w:rPr>
      </w:pPr>
      <w:proofErr w:type="gramStart"/>
      <w:r>
        <w:rPr>
          <w:rFonts w:ascii="宋体" w:hAnsi="宋体" w:hint="eastAsia"/>
          <w:szCs w:val="21"/>
        </w:rPr>
        <w:t>非银期转账</w:t>
      </w:r>
      <w:proofErr w:type="gramEnd"/>
      <w:r>
        <w:rPr>
          <w:rFonts w:ascii="宋体" w:hAnsi="宋体" w:hint="eastAsia"/>
          <w:szCs w:val="21"/>
        </w:rPr>
        <w:t>手工出入金，入金由</w:t>
      </w:r>
      <w:r>
        <w:rPr>
          <w:rFonts w:ascii="宋体" w:hAnsi="宋体" w:cs="Arial" w:hint="eastAsia"/>
          <w:szCs w:val="21"/>
        </w:rPr>
        <w:t>基金</w:t>
      </w:r>
      <w:r>
        <w:rPr>
          <w:rFonts w:ascii="宋体" w:hAnsi="宋体" w:hint="eastAsia"/>
          <w:szCs w:val="21"/>
        </w:rPr>
        <w:t>托管人依据</w:t>
      </w:r>
      <w:r>
        <w:rPr>
          <w:rFonts w:ascii="宋体" w:hAnsi="宋体" w:cs="Arial" w:hint="eastAsia"/>
          <w:szCs w:val="21"/>
        </w:rPr>
        <w:t>基金</w:t>
      </w:r>
      <w:r>
        <w:rPr>
          <w:rFonts w:ascii="宋体" w:hAnsi="宋体" w:hint="eastAsia"/>
          <w:szCs w:val="21"/>
        </w:rPr>
        <w:t>管理人提供的划款指令通过结算银</w:t>
      </w:r>
      <w:r>
        <w:rPr>
          <w:rFonts w:ascii="宋体" w:hAnsi="宋体" w:hint="eastAsia"/>
          <w:szCs w:val="21"/>
        </w:rPr>
        <w:lastRenderedPageBreak/>
        <w:t>行的</w:t>
      </w:r>
      <w:proofErr w:type="gramStart"/>
      <w:r>
        <w:rPr>
          <w:rFonts w:ascii="宋体" w:hAnsi="宋体" w:hint="eastAsia"/>
          <w:szCs w:val="21"/>
        </w:rPr>
        <w:t>网银系统划往</w:t>
      </w:r>
      <w:proofErr w:type="gramEnd"/>
      <w:r>
        <w:rPr>
          <w:rFonts w:ascii="宋体" w:hAnsi="宋体" w:hint="eastAsia"/>
          <w:szCs w:val="21"/>
        </w:rPr>
        <w:t>期货公司指定账户后，由</w:t>
      </w:r>
      <w:r>
        <w:rPr>
          <w:rFonts w:ascii="宋体" w:hAnsi="宋体" w:cs="Arial" w:hint="eastAsia"/>
          <w:szCs w:val="21"/>
        </w:rPr>
        <w:t>基金</w:t>
      </w:r>
      <w:r>
        <w:rPr>
          <w:rFonts w:ascii="宋体" w:hAnsi="宋体" w:hint="eastAsia"/>
          <w:szCs w:val="21"/>
        </w:rPr>
        <w:t>管理人通知期货公司进行入金操作，出金由基金管理人通知期货公司出金后，由期货公司依据基金管理人提供的出金指令</w:t>
      </w:r>
      <w:proofErr w:type="gramStart"/>
      <w:r>
        <w:rPr>
          <w:rFonts w:ascii="宋体" w:hAnsi="宋体" w:hint="eastAsia"/>
          <w:szCs w:val="21"/>
        </w:rPr>
        <w:t>划往本</w:t>
      </w:r>
      <w:proofErr w:type="gramEnd"/>
      <w:r>
        <w:rPr>
          <w:rFonts w:ascii="宋体" w:hAnsi="宋体" w:hint="eastAsia"/>
          <w:szCs w:val="21"/>
        </w:rPr>
        <w:t>基金托管账户。</w:t>
      </w:r>
    </w:p>
    <w:p w14:paraId="203CAB14" w14:textId="77777777" w:rsidR="000F2133" w:rsidRDefault="00D82757">
      <w:pPr>
        <w:spacing w:line="360" w:lineRule="auto"/>
        <w:ind w:firstLineChars="200" w:firstLine="420"/>
        <w:rPr>
          <w:rFonts w:ascii="宋体" w:hAnsi="宋体"/>
          <w:szCs w:val="21"/>
        </w:rPr>
      </w:pPr>
      <w:r>
        <w:rPr>
          <w:rFonts w:ascii="宋体" w:hAnsi="宋体" w:hint="eastAsia"/>
          <w:szCs w:val="21"/>
        </w:rPr>
        <w:t>执行完期货出金或入金的操作后，</w:t>
      </w:r>
      <w:r>
        <w:rPr>
          <w:rFonts w:ascii="宋体" w:hAnsi="宋体" w:cs="Arial" w:hint="eastAsia"/>
          <w:szCs w:val="21"/>
        </w:rPr>
        <w:t>基金</w:t>
      </w:r>
      <w:r>
        <w:rPr>
          <w:rFonts w:ascii="宋体" w:hAnsi="宋体" w:hint="eastAsia"/>
          <w:szCs w:val="21"/>
        </w:rPr>
        <w:t>管理人应通过其交易系统或终端系统查询出金划出情况和入金到账情况。</w:t>
      </w:r>
    </w:p>
    <w:p w14:paraId="527BD364"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对于场内业务，基金管理人在运用基金财产开展场内证券交易前，基金管理人通过基金托管账户与证券资金账户已建立的第三方存管系统在基金</w:t>
      </w:r>
      <w:proofErr w:type="gramStart"/>
      <w:r>
        <w:rPr>
          <w:rFonts w:ascii="宋体" w:hAnsi="宋体" w:hint="eastAsia"/>
          <w:szCs w:val="21"/>
        </w:rPr>
        <w:t>托管户</w:t>
      </w:r>
      <w:proofErr w:type="gramEnd"/>
      <w:r>
        <w:rPr>
          <w:rFonts w:ascii="宋体" w:hAnsi="宋体" w:hint="eastAsia"/>
          <w:szCs w:val="21"/>
        </w:rPr>
        <w:t>与证券资金账户之间划款，</w:t>
      </w:r>
      <w:proofErr w:type="gramStart"/>
      <w:r>
        <w:rPr>
          <w:rFonts w:ascii="宋体" w:hAnsi="宋体" w:hint="eastAsia"/>
          <w:szCs w:val="21"/>
        </w:rPr>
        <w:t>即银证互</w:t>
      </w:r>
      <w:proofErr w:type="gramEnd"/>
      <w:r>
        <w:rPr>
          <w:rFonts w:ascii="宋体" w:hAnsi="宋体" w:hint="eastAsia"/>
          <w:szCs w:val="21"/>
        </w:rPr>
        <w:t>转。</w:t>
      </w:r>
    </w:p>
    <w:p w14:paraId="736974D9"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14:paraId="2FB49AA6"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对于指定时间出款的交易指令，基金管理人应提前2小时将指令发送至基金托管人；对于基金管理人于15:00以后发送至基金托管人的指令，基金托管人应尽力执行，但不保证当日出款，如出款不成功，基金托管人不承担责任。</w:t>
      </w:r>
    </w:p>
    <w:p w14:paraId="3E9DA8D9" w14:textId="77777777" w:rsidR="000F2133" w:rsidRDefault="00D82757">
      <w:pPr>
        <w:adjustRightInd w:val="0"/>
        <w:snapToGrid w:val="0"/>
        <w:spacing w:line="360" w:lineRule="auto"/>
        <w:ind w:firstLineChars="200" w:firstLine="420"/>
        <w:rPr>
          <w:rFonts w:ascii="宋体" w:hAnsi="宋体"/>
          <w:szCs w:val="21"/>
        </w:rPr>
      </w:pPr>
      <w:r>
        <w:rPr>
          <w:rFonts w:ascii="宋体" w:hAnsi="宋体" w:cs="Arial"/>
          <w:szCs w:val="21"/>
        </w:rPr>
        <w:t>4</w:t>
      </w:r>
      <w:r>
        <w:rPr>
          <w:rFonts w:ascii="宋体" w:hAnsi="宋体" w:cs="Arial" w:hint="eastAsia"/>
          <w:szCs w:val="21"/>
        </w:rPr>
        <w:t>.指令的确认</w:t>
      </w:r>
    </w:p>
    <w:p w14:paraId="41635ECE"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基金管理人有义务在发送指令后与基金托管人进行电话确认，</w:t>
      </w:r>
      <w:r>
        <w:rPr>
          <w:rFonts w:ascii="宋体" w:hAnsi="宋体" w:cs="Arial" w:hint="eastAsia"/>
          <w:szCs w:val="21"/>
        </w:rPr>
        <w:t>如因</w:t>
      </w:r>
      <w:r>
        <w:rPr>
          <w:rFonts w:ascii="宋体" w:hAnsi="宋体" w:hint="eastAsia"/>
          <w:szCs w:val="21"/>
        </w:rPr>
        <w:t>基金</w:t>
      </w:r>
      <w:r>
        <w:rPr>
          <w:rFonts w:ascii="宋体" w:hAnsi="宋体" w:cs="Arial" w:hint="eastAsia"/>
          <w:szCs w:val="21"/>
        </w:rPr>
        <w:t>管理人未通知</w:t>
      </w:r>
      <w:r>
        <w:rPr>
          <w:rFonts w:ascii="宋体" w:hAnsi="宋体" w:hint="eastAsia"/>
          <w:szCs w:val="21"/>
        </w:rPr>
        <w:t>基金</w:t>
      </w:r>
      <w:r>
        <w:rPr>
          <w:rFonts w:ascii="宋体" w:hAnsi="宋体" w:cs="Arial" w:hint="eastAsia"/>
          <w:szCs w:val="21"/>
        </w:rPr>
        <w:t>托管人接收传真指令造成的损失，</w:t>
      </w:r>
      <w:r>
        <w:rPr>
          <w:rFonts w:ascii="宋体" w:hAnsi="宋体" w:hint="eastAsia"/>
          <w:szCs w:val="21"/>
        </w:rPr>
        <w:t>基金</w:t>
      </w:r>
      <w:r>
        <w:rPr>
          <w:rFonts w:ascii="宋体" w:hAnsi="宋体" w:cs="Arial" w:hint="eastAsia"/>
          <w:szCs w:val="21"/>
        </w:rPr>
        <w:t>托管人不承担责任</w:t>
      </w:r>
      <w:r>
        <w:rPr>
          <w:rFonts w:ascii="宋体" w:hAnsi="宋体" w:hint="eastAsia"/>
          <w:szCs w:val="21"/>
        </w:rPr>
        <w:t>。对于依照“授权通知书”发出的指令，基金管理人不得否认其效力。</w:t>
      </w:r>
    </w:p>
    <w:p w14:paraId="1C38D3BD" w14:textId="77777777" w:rsidR="000F2133" w:rsidRDefault="00D82757">
      <w:pPr>
        <w:adjustRightInd w:val="0"/>
        <w:snapToGrid w:val="0"/>
        <w:spacing w:line="360" w:lineRule="auto"/>
        <w:ind w:firstLineChars="200" w:firstLine="420"/>
        <w:rPr>
          <w:rFonts w:ascii="宋体" w:hAnsi="宋体"/>
          <w:szCs w:val="21"/>
        </w:rPr>
      </w:pPr>
      <w:r>
        <w:rPr>
          <w:rFonts w:ascii="宋体" w:hAnsi="宋体" w:cs="Arial"/>
          <w:szCs w:val="21"/>
        </w:rPr>
        <w:t>5</w:t>
      </w:r>
      <w:r>
        <w:rPr>
          <w:rFonts w:ascii="宋体" w:hAnsi="宋体" w:cs="Arial" w:hint="eastAsia"/>
          <w:szCs w:val="21"/>
        </w:rPr>
        <w:t>.</w:t>
      </w:r>
      <w:r>
        <w:rPr>
          <w:rFonts w:ascii="宋体" w:hAnsi="宋体" w:hint="eastAsia"/>
          <w:szCs w:val="21"/>
        </w:rPr>
        <w:t>指令的执行</w:t>
      </w:r>
    </w:p>
    <w:p w14:paraId="4B1FB767" w14:textId="77777777" w:rsidR="000F2133" w:rsidRDefault="00D82757">
      <w:pPr>
        <w:spacing w:line="360" w:lineRule="auto"/>
        <w:ind w:firstLineChars="200" w:firstLine="420"/>
        <w:rPr>
          <w:rFonts w:ascii="宋体" w:hAnsi="宋体"/>
          <w:szCs w:val="21"/>
        </w:rPr>
      </w:pPr>
      <w:r>
        <w:rPr>
          <w:rFonts w:ascii="宋体" w:hAnsi="宋体" w:hint="eastAsia"/>
          <w:szCs w:val="21"/>
        </w:rPr>
        <w:t>基金管理人在发送指令时，应确保出款账户有足够的资金余额、文件资料齐全，并为基金托管人留出执行指令所必需的时间，</w:t>
      </w:r>
      <w:r>
        <w:rPr>
          <w:rFonts w:ascii="宋体" w:hAnsi="宋体"/>
          <w:szCs w:val="21"/>
        </w:rPr>
        <w:t>因</w:t>
      </w:r>
      <w:r>
        <w:rPr>
          <w:rFonts w:ascii="宋体" w:hAnsi="宋体" w:hint="eastAsia"/>
          <w:szCs w:val="21"/>
        </w:rPr>
        <w:t>基金</w:t>
      </w:r>
      <w:r>
        <w:rPr>
          <w:rFonts w:ascii="宋体" w:hAnsi="宋体"/>
          <w:szCs w:val="21"/>
        </w:rPr>
        <w:t>管理人未给予</w:t>
      </w:r>
      <w:r>
        <w:rPr>
          <w:rFonts w:ascii="宋体" w:hAnsi="宋体" w:hint="eastAsia"/>
          <w:szCs w:val="21"/>
        </w:rPr>
        <w:t>合理</w:t>
      </w:r>
      <w:r>
        <w:rPr>
          <w:rFonts w:ascii="宋体" w:hAnsi="宋体"/>
          <w:szCs w:val="21"/>
        </w:rPr>
        <w:t>必</w:t>
      </w:r>
      <w:r>
        <w:rPr>
          <w:rFonts w:ascii="宋体" w:hAnsi="宋体" w:hint="eastAsia"/>
          <w:szCs w:val="21"/>
        </w:rPr>
        <w:t>需的</w:t>
      </w:r>
      <w:r>
        <w:rPr>
          <w:rFonts w:ascii="宋体" w:hAnsi="宋体"/>
          <w:szCs w:val="21"/>
        </w:rPr>
        <w:t>时间导致</w:t>
      </w:r>
      <w:r>
        <w:rPr>
          <w:rFonts w:ascii="宋体" w:hAnsi="宋体" w:hint="eastAsia"/>
          <w:szCs w:val="21"/>
        </w:rPr>
        <w:t>基金</w:t>
      </w:r>
      <w:r>
        <w:rPr>
          <w:rFonts w:ascii="宋体" w:hAnsi="宋体"/>
          <w:szCs w:val="21"/>
        </w:rPr>
        <w:t>托管人操作不成功的，</w:t>
      </w:r>
      <w:r>
        <w:rPr>
          <w:rFonts w:ascii="宋体" w:hAnsi="宋体" w:hint="eastAsia"/>
          <w:szCs w:val="21"/>
        </w:rPr>
        <w:t>基金</w:t>
      </w:r>
      <w:r>
        <w:rPr>
          <w:rFonts w:ascii="宋体" w:hAnsi="宋体"/>
          <w:szCs w:val="21"/>
        </w:rPr>
        <w:t>托管人不承担责任</w:t>
      </w:r>
      <w:r>
        <w:rPr>
          <w:rFonts w:ascii="宋体" w:hAnsi="宋体" w:hint="eastAsia"/>
          <w:szCs w:val="21"/>
        </w:rPr>
        <w:t>。</w:t>
      </w:r>
    </w:p>
    <w:p w14:paraId="1ACBB7AC"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基金托管人确认收到基金管理人发送的指令后，应对指令进行形式审查，验证指令的要素（金额、收款账号、收款户名、用途）是否齐全，传真指令还应审核印鉴和印章/签字是否和预留印鉴和签字/印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ascii="宋体" w:hAnsi="宋体"/>
          <w:szCs w:val="21"/>
        </w:rPr>
        <w:t>协议</w:t>
      </w:r>
      <w:r>
        <w:rPr>
          <w:rFonts w:ascii="宋体" w:hAnsi="宋体" w:hint="eastAsia"/>
          <w:szCs w:val="21"/>
        </w:rPr>
        <w:t>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1451FF61"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lastRenderedPageBreak/>
        <w:t>基金托管人审核指令无误后应在规定期限内及时执行。</w:t>
      </w:r>
    </w:p>
    <w:p w14:paraId="28BEE111"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6.指令的撤销</w:t>
      </w:r>
    </w:p>
    <w:p w14:paraId="3DCCFED3"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在指令未执行的前提下，</w:t>
      </w:r>
      <w:proofErr w:type="gramStart"/>
      <w:r>
        <w:rPr>
          <w:rFonts w:ascii="宋体" w:hAnsi="宋体" w:hint="eastAsia"/>
          <w:szCs w:val="21"/>
        </w:rPr>
        <w:t>若基金</w:t>
      </w:r>
      <w:proofErr w:type="gramEnd"/>
      <w:r>
        <w:rPr>
          <w:rFonts w:ascii="宋体" w:hAnsi="宋体" w:hint="eastAsia"/>
          <w:szCs w:val="21"/>
        </w:rPr>
        <w:t>管理人撤销指令，基金管理人应在原指令上注明“作废”、</w:t>
      </w:r>
      <w:r>
        <w:rPr>
          <w:rFonts w:ascii="宋体" w:hAnsi="宋体"/>
          <w:szCs w:val="21"/>
        </w:rPr>
        <w:t>“废”</w:t>
      </w:r>
      <w:r>
        <w:rPr>
          <w:rFonts w:ascii="宋体" w:hAnsi="宋体" w:hint="eastAsia"/>
          <w:szCs w:val="21"/>
        </w:rPr>
        <w:t>、</w:t>
      </w:r>
      <w:r>
        <w:rPr>
          <w:rFonts w:ascii="宋体" w:hAnsi="宋体" w:hint="eastAsia"/>
        </w:rPr>
        <w:t>“取消”</w:t>
      </w:r>
      <w:r>
        <w:rPr>
          <w:rFonts w:ascii="宋体" w:hAnsi="宋体"/>
          <w:szCs w:val="21"/>
        </w:rPr>
        <w:t>等字样</w:t>
      </w:r>
      <w:r>
        <w:rPr>
          <w:rFonts w:ascii="宋体" w:hAnsi="宋体" w:hint="eastAsia"/>
          <w:szCs w:val="21"/>
        </w:rPr>
        <w:t>并加盖预留印鉴及被授权人</w:t>
      </w:r>
      <w:r>
        <w:rPr>
          <w:rFonts w:ascii="宋体" w:hAnsi="宋体" w:hint="eastAsia"/>
        </w:rPr>
        <w:t>印章/签字</w:t>
      </w:r>
      <w:r>
        <w:rPr>
          <w:rFonts w:ascii="宋体" w:hAnsi="宋体" w:hint="eastAsia"/>
          <w:szCs w:val="21"/>
        </w:rPr>
        <w:t>后传真给基金托管人，并电话通知基金托管人</w:t>
      </w:r>
      <w:r>
        <w:rPr>
          <w:rFonts w:ascii="宋体" w:hAnsi="宋体" w:cs="Arial" w:hint="eastAsia"/>
          <w:szCs w:val="21"/>
        </w:rPr>
        <w:t>。若撤销电子指令，</w:t>
      </w:r>
      <w:r>
        <w:rPr>
          <w:rFonts w:ascii="宋体" w:hAnsi="宋体" w:hint="eastAsia"/>
          <w:szCs w:val="21"/>
        </w:rPr>
        <w:t>基金</w:t>
      </w:r>
      <w:r>
        <w:rPr>
          <w:rFonts w:ascii="宋体" w:hAnsi="宋体" w:cs="Arial" w:hint="eastAsia"/>
          <w:szCs w:val="21"/>
        </w:rPr>
        <w:t>管理人应通过相关系统撤销，系统功能不支持撤销的，应参照撤销传真指令方式撤销电子指令。</w:t>
      </w:r>
    </w:p>
    <w:p w14:paraId="7C58C096" w14:textId="77777777" w:rsidR="000F2133" w:rsidRDefault="00D82757">
      <w:pPr>
        <w:pStyle w:val="a8"/>
        <w:spacing w:line="360" w:lineRule="auto"/>
        <w:ind w:firstLine="420"/>
        <w:rPr>
          <w:rFonts w:ascii="宋体" w:eastAsia="宋体" w:hAnsi="宋体"/>
          <w:sz w:val="21"/>
          <w:szCs w:val="21"/>
        </w:rPr>
      </w:pPr>
      <w:r>
        <w:rPr>
          <w:rFonts w:ascii="宋体" w:eastAsia="宋体" w:hAnsi="宋体" w:hint="eastAsia"/>
          <w:sz w:val="21"/>
          <w:szCs w:val="21"/>
        </w:rPr>
        <w:t>（四）基金管理人发送错误指令的情形和处理程序</w:t>
      </w:r>
    </w:p>
    <w:p w14:paraId="73E135D2" w14:textId="77777777" w:rsidR="000F2133" w:rsidRDefault="00D82757">
      <w:pPr>
        <w:adjustRightInd w:val="0"/>
        <w:snapToGrid w:val="0"/>
        <w:spacing w:line="360" w:lineRule="auto"/>
        <w:ind w:firstLineChars="200" w:firstLine="420"/>
        <w:rPr>
          <w:rFonts w:ascii="宋体" w:hAnsi="宋体"/>
          <w:szCs w:val="21"/>
        </w:rPr>
      </w:pPr>
      <w:r>
        <w:rPr>
          <w:rFonts w:ascii="宋体" w:hAnsi="宋体" w:cs="Arial" w:hint="eastAsia"/>
          <w:szCs w:val="21"/>
        </w:rPr>
        <w:t>1</w:t>
      </w:r>
      <w:r>
        <w:rPr>
          <w:rFonts w:ascii="宋体" w:hAnsi="宋体" w:hint="eastAsia"/>
          <w:szCs w:val="21"/>
        </w:rPr>
        <w:t>.</w:t>
      </w:r>
      <w:r>
        <w:rPr>
          <w:rFonts w:ascii="宋体" w:hAnsi="宋体" w:cs="Arial" w:hint="eastAsia"/>
          <w:szCs w:val="21"/>
        </w:rPr>
        <w:t>基金管理人发送错误指令的情形包括指令发送人员无权或超越权限发送指令，指令不能辨识或要素不全导致无法执行等情形</w:t>
      </w:r>
      <w:r>
        <w:rPr>
          <w:rFonts w:ascii="宋体" w:hAnsi="宋体" w:hint="eastAsia"/>
          <w:szCs w:val="21"/>
        </w:rPr>
        <w:t>。</w:t>
      </w:r>
    </w:p>
    <w:p w14:paraId="21DAB8E5"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2.当基金托管人认为所接收指令为错误指令时，应及时与基金管理人进行电话确认，并暂停指令的执行，由基金管理人撤销指令或撤销后再重新发送指令。</w:t>
      </w:r>
    </w:p>
    <w:p w14:paraId="5EF3E98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（五）基金托管人依照法律法规暂缓、拒绝执行指令的情形和处理程序</w:t>
      </w:r>
    </w:p>
    <w:p w14:paraId="4E53C78C" w14:textId="6D5A788A"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基金托管人发现基金管理人发送的指令有可能违反《基金法》、《运作办法》、《基金合同》、本协议或其他有关法律法规的规定时，应视情况暂缓或拒绝执行指令，并及时通知基金管理人，基金管理人收到通知后应及时核对并纠正；如相关交易已生效，则应通知基金管理人在法规规定期限</w:t>
      </w:r>
      <w:r>
        <w:rPr>
          <w:rFonts w:ascii="宋体" w:hAnsi="宋体"/>
          <w:szCs w:val="21"/>
        </w:rPr>
        <w:t>内</w:t>
      </w:r>
      <w:r>
        <w:rPr>
          <w:rFonts w:ascii="宋体" w:hAnsi="宋体" w:hint="eastAsia"/>
          <w:szCs w:val="21"/>
        </w:rPr>
        <w:t>及时</w:t>
      </w:r>
      <w:r>
        <w:rPr>
          <w:rFonts w:ascii="宋体" w:hAnsi="宋体"/>
          <w:szCs w:val="21"/>
        </w:rPr>
        <w:t>纠正</w:t>
      </w:r>
      <w:r>
        <w:rPr>
          <w:rFonts w:ascii="宋体" w:hAnsi="宋体" w:hint="eastAsia"/>
          <w:szCs w:val="21"/>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在基金托管人已经依据本协议约定履行监督职责的情况下，由基金管理人承担</w:t>
      </w:r>
      <w:r w:rsidR="00C2779C">
        <w:rPr>
          <w:rFonts w:ascii="宋体" w:hAnsi="宋体" w:hint="eastAsia"/>
          <w:szCs w:val="21"/>
        </w:rPr>
        <w:t>相应</w:t>
      </w:r>
      <w:r>
        <w:rPr>
          <w:rFonts w:ascii="宋体" w:hAnsi="宋体" w:hint="eastAsia"/>
          <w:szCs w:val="21"/>
        </w:rPr>
        <w:t>责任，基金托管人免于承担责任。</w:t>
      </w:r>
    </w:p>
    <w:p w14:paraId="7F1B335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（六）基金托管人未按照基金管理人指令执行的处理方法</w:t>
      </w:r>
    </w:p>
    <w:p w14:paraId="518D05D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对于基金管理人的有效指令和通知，除非违反法律法规、基金合同、托管协议或具有第（四）项所述错误，基金托管人不得无故拒绝或拖延执行。除因故意或过失致使本</w:t>
      </w:r>
      <w:r>
        <w:rPr>
          <w:rFonts w:ascii="宋体" w:hAnsi="宋体" w:hint="eastAsia"/>
          <w:szCs w:val="21"/>
        </w:rPr>
        <w:t>基金</w:t>
      </w:r>
      <w:r>
        <w:rPr>
          <w:rFonts w:ascii="宋体" w:hAnsi="宋体" w:cs="Arial" w:hint="eastAsia"/>
          <w:szCs w:val="21"/>
        </w:rPr>
        <w:t>、</w:t>
      </w:r>
      <w:r>
        <w:rPr>
          <w:rFonts w:ascii="宋体" w:hAnsi="宋体" w:hint="eastAsia"/>
          <w:szCs w:val="21"/>
        </w:rPr>
        <w:t>基金</w:t>
      </w:r>
      <w:r>
        <w:rPr>
          <w:rFonts w:ascii="宋体" w:hAnsi="宋体" w:cs="Arial" w:hint="eastAsia"/>
          <w:szCs w:val="21"/>
        </w:rPr>
        <w:t>管理人、基金份额持有人的利益受到损害而负赔偿责任外，</w:t>
      </w:r>
      <w:r>
        <w:rPr>
          <w:rFonts w:ascii="宋体" w:hAnsi="宋体" w:hint="eastAsia"/>
          <w:szCs w:val="21"/>
        </w:rPr>
        <w:t>基金</w:t>
      </w:r>
      <w:r>
        <w:rPr>
          <w:rFonts w:ascii="宋体" w:hAnsi="宋体" w:cs="Arial" w:hint="eastAsia"/>
          <w:szCs w:val="21"/>
        </w:rPr>
        <w:t>托管人对执行</w:t>
      </w:r>
      <w:r>
        <w:rPr>
          <w:rFonts w:ascii="宋体" w:hAnsi="宋体" w:hint="eastAsia"/>
          <w:szCs w:val="21"/>
        </w:rPr>
        <w:t>基金</w:t>
      </w:r>
      <w:r>
        <w:rPr>
          <w:rFonts w:ascii="宋体" w:hAnsi="宋体" w:cs="Arial" w:hint="eastAsia"/>
          <w:szCs w:val="21"/>
        </w:rPr>
        <w:t xml:space="preserve">管理人的合法指令对基金财产造成的损失不承担赔偿责任。 </w:t>
      </w:r>
    </w:p>
    <w:p w14:paraId="2A24F6C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（七）更换被授权人的程序</w:t>
      </w:r>
    </w:p>
    <w:p w14:paraId="671BC738" w14:textId="77777777" w:rsidR="000F2133" w:rsidRDefault="00D82757">
      <w:pPr>
        <w:autoSpaceDE w:val="0"/>
        <w:autoSpaceDN w:val="0"/>
        <w:adjustRightInd w:val="0"/>
        <w:snapToGrid w:val="0"/>
        <w:spacing w:line="360" w:lineRule="auto"/>
        <w:ind w:firstLineChars="200" w:firstLine="420"/>
        <w:rPr>
          <w:rFonts w:ascii="宋体" w:hAnsi="宋体" w:cs="Arial"/>
          <w:szCs w:val="21"/>
        </w:rPr>
      </w:pPr>
      <w:r>
        <w:rPr>
          <w:rFonts w:ascii="宋体" w:hAnsi="宋体" w:hint="eastAsia"/>
          <w:szCs w:val="21"/>
        </w:rPr>
        <w:t>基金管理人撤换被授权人、改变被授权人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或以其他基金管理人和基金托管人认可的方式发送的内容不一致的，以基金托管人收到的传真或以其他基金管理人和基金托管人认可的方式发送的内容为准。</w:t>
      </w:r>
      <w:r>
        <w:rPr>
          <w:rFonts w:ascii="宋体" w:hAnsi="宋体" w:cs="Arial" w:hint="eastAsia"/>
          <w:szCs w:val="21"/>
        </w:rPr>
        <w:t>基金托管人</w:t>
      </w:r>
      <w:r>
        <w:rPr>
          <w:rFonts w:ascii="宋体" w:hAnsi="宋体" w:cs="Arial" w:hint="eastAsia"/>
          <w:szCs w:val="21"/>
        </w:rPr>
        <w:lastRenderedPageBreak/>
        <w:t>更换接收基金管理人指令的人员，应提前通知基金管理人。</w:t>
      </w:r>
    </w:p>
    <w:p w14:paraId="2FB69F83" w14:textId="77777777" w:rsidR="000F2133" w:rsidRDefault="00D82757">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（八）指令的</w:t>
      </w:r>
      <w:r>
        <w:rPr>
          <w:rFonts w:ascii="宋体" w:hAnsi="宋体" w:hint="eastAsia"/>
          <w:szCs w:val="21"/>
        </w:rPr>
        <w:t>保管</w:t>
      </w:r>
    </w:p>
    <w:p w14:paraId="0C123B36" w14:textId="77777777" w:rsidR="000F2133" w:rsidRDefault="00D82757">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指令若以传真形式发出，则正本由基金管理人保管，基金托管人保管指令传真件。当两者不一致时，以基金托管人收到的指令传真件为准。</w:t>
      </w:r>
    </w:p>
    <w:p w14:paraId="32763932" w14:textId="77777777" w:rsidR="000F2133" w:rsidRDefault="00D82757">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（九）</w:t>
      </w:r>
      <w:r>
        <w:rPr>
          <w:rFonts w:ascii="宋体" w:hAnsi="宋体" w:hint="eastAsia"/>
          <w:szCs w:val="21"/>
        </w:rPr>
        <w:t>相关责任</w:t>
      </w:r>
    </w:p>
    <w:p w14:paraId="7C7CFDF0" w14:textId="47534F11" w:rsidR="000F2133" w:rsidRDefault="00D82757">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对</w:t>
      </w:r>
      <w:r>
        <w:rPr>
          <w:rFonts w:ascii="宋体" w:hAnsi="宋体" w:hint="eastAsia"/>
          <w:szCs w:val="21"/>
        </w:rPr>
        <w:t>基金管理人在没有充足资金的情况下向基金托管人发出的指令致使资金未能及时清算所</w:t>
      </w:r>
      <w:r>
        <w:rPr>
          <w:rFonts w:ascii="宋体" w:hAnsi="宋体" w:cs="Arial" w:hint="eastAsia"/>
          <w:szCs w:val="21"/>
        </w:rPr>
        <w:t>造成的损失，</w:t>
      </w:r>
      <w:r>
        <w:rPr>
          <w:rFonts w:ascii="宋体" w:hAnsi="宋体" w:hint="eastAsia"/>
          <w:szCs w:val="21"/>
        </w:rPr>
        <w:t>由基金管理人</w:t>
      </w:r>
      <w:r>
        <w:rPr>
          <w:rFonts w:ascii="宋体" w:hAnsi="宋体" w:cs="Arial" w:hint="eastAsia"/>
          <w:szCs w:val="21"/>
        </w:rPr>
        <w:t>承担</w:t>
      </w:r>
      <w:r>
        <w:rPr>
          <w:rFonts w:ascii="宋体" w:hAnsi="宋体" w:hint="eastAsia"/>
          <w:szCs w:val="21"/>
        </w:rPr>
        <w:t>。因基金管理</w:t>
      </w:r>
      <w:proofErr w:type="gramStart"/>
      <w:r>
        <w:rPr>
          <w:rFonts w:ascii="宋体" w:hAnsi="宋体" w:hint="eastAsia"/>
          <w:szCs w:val="21"/>
        </w:rPr>
        <w:t>人原因</w:t>
      </w:r>
      <w:proofErr w:type="gramEnd"/>
      <w:r>
        <w:rPr>
          <w:rFonts w:ascii="宋体" w:hAnsi="宋体" w:hint="eastAsia"/>
          <w:szCs w:val="21"/>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w:t>
      </w:r>
      <w:r>
        <w:rPr>
          <w:rFonts w:ascii="宋体" w:hAnsi="宋体"/>
          <w:szCs w:val="21"/>
        </w:rPr>
        <w:t>任何形式</w:t>
      </w:r>
      <w:r>
        <w:rPr>
          <w:rFonts w:ascii="宋体" w:hAnsi="宋体" w:hint="eastAsia"/>
          <w:szCs w:val="21"/>
        </w:rPr>
        <w:t>的</w:t>
      </w:r>
      <w:r w:rsidR="00C2779C">
        <w:rPr>
          <w:rFonts w:ascii="宋体" w:hAnsi="宋体" w:hint="eastAsia"/>
          <w:szCs w:val="21"/>
        </w:rPr>
        <w:t>相应</w:t>
      </w:r>
      <w:r>
        <w:rPr>
          <w:rFonts w:ascii="宋体" w:hAnsi="宋体" w:hint="eastAsia"/>
          <w:szCs w:val="21"/>
        </w:rPr>
        <w:t>责任。在正常业务受理渠道和指令规定的时间内，因基金托管</w:t>
      </w:r>
      <w:proofErr w:type="gramStart"/>
      <w:r>
        <w:rPr>
          <w:rFonts w:ascii="宋体" w:hAnsi="宋体" w:hint="eastAsia"/>
          <w:szCs w:val="21"/>
        </w:rPr>
        <w:t>人原因</w:t>
      </w:r>
      <w:proofErr w:type="gramEnd"/>
      <w:r>
        <w:rPr>
          <w:rFonts w:ascii="宋体" w:hAnsi="宋体" w:hint="eastAsia"/>
          <w:szCs w:val="21"/>
        </w:rPr>
        <w:t>造成未能及时或正确执行合法合</w:t>
      </w:r>
      <w:proofErr w:type="gramStart"/>
      <w:r>
        <w:rPr>
          <w:rFonts w:ascii="宋体" w:hAnsi="宋体" w:hint="eastAsia"/>
          <w:szCs w:val="21"/>
        </w:rPr>
        <w:t>规</w:t>
      </w:r>
      <w:proofErr w:type="gramEnd"/>
      <w:r>
        <w:rPr>
          <w:rFonts w:ascii="宋体" w:hAnsi="宋体" w:hint="eastAsia"/>
          <w:szCs w:val="21"/>
        </w:rPr>
        <w:t>的指令而导致基金财产受损的，基金托管人应承担相应的责任，但如遇到不可抗力的情况除外。</w:t>
      </w:r>
    </w:p>
    <w:p w14:paraId="6226EB07" w14:textId="42CF3939" w:rsidR="000F2133" w:rsidRDefault="00D82757">
      <w:pPr>
        <w:adjustRightInd w:val="0"/>
        <w:snapToGrid w:val="0"/>
        <w:spacing w:line="360" w:lineRule="auto"/>
        <w:ind w:firstLineChars="200" w:firstLine="420"/>
        <w:rPr>
          <w:rFonts w:ascii="宋体" w:hAnsi="宋体" w:cs="Arial"/>
          <w:szCs w:val="21"/>
        </w:rPr>
      </w:pPr>
      <w:r>
        <w:rPr>
          <w:rFonts w:ascii="宋体" w:hAnsi="宋体" w:hint="eastAsia"/>
          <w:szCs w:val="21"/>
        </w:rPr>
        <w:t>基金托管人根据本协议相关规定履行印鉴和签字/印章的表面一致性形式审核职责，如果基金管理人的指令存在事实上未经授权、欺诈、伪造或未能及时提供授权通知书等情形，基金托管人不承担因执行有关指令或拒绝执行有关指令而给基金管理人或基金资产或任何第三</w:t>
      </w:r>
      <w:proofErr w:type="gramStart"/>
      <w:r>
        <w:rPr>
          <w:rFonts w:ascii="宋体" w:hAnsi="宋体" w:hint="eastAsia"/>
          <w:szCs w:val="21"/>
        </w:rPr>
        <w:t>方带来</w:t>
      </w:r>
      <w:proofErr w:type="gramEnd"/>
      <w:r>
        <w:rPr>
          <w:rFonts w:ascii="宋体" w:hAnsi="宋体" w:hint="eastAsia"/>
          <w:szCs w:val="21"/>
        </w:rPr>
        <w:t>的损失，</w:t>
      </w:r>
      <w:r w:rsidR="00C2779C">
        <w:rPr>
          <w:rFonts w:ascii="宋体" w:hAnsi="宋体" w:hint="eastAsia"/>
          <w:szCs w:val="21"/>
        </w:rPr>
        <w:t>相应</w:t>
      </w:r>
      <w:r>
        <w:rPr>
          <w:rFonts w:ascii="宋体" w:hAnsi="宋体" w:hint="eastAsia"/>
          <w:szCs w:val="21"/>
        </w:rPr>
        <w:t>责任由基金管理人承担，但基金托管人未按</w:t>
      </w:r>
      <w:r>
        <w:rPr>
          <w:rFonts w:ascii="宋体" w:hAnsi="宋体"/>
          <w:szCs w:val="21"/>
        </w:rPr>
        <w:t>本协议</w:t>
      </w:r>
      <w:r>
        <w:rPr>
          <w:rFonts w:ascii="宋体" w:hAnsi="宋体" w:hint="eastAsia"/>
          <w:szCs w:val="21"/>
        </w:rPr>
        <w:t>约定</w:t>
      </w:r>
      <w:proofErr w:type="gramStart"/>
      <w:r>
        <w:rPr>
          <w:rFonts w:ascii="宋体" w:hAnsi="宋体" w:hint="eastAsia"/>
          <w:szCs w:val="21"/>
        </w:rPr>
        <w:t>尽形式</w:t>
      </w:r>
      <w:proofErr w:type="gramEnd"/>
      <w:r>
        <w:rPr>
          <w:rFonts w:ascii="宋体" w:hAnsi="宋体" w:hint="eastAsia"/>
          <w:szCs w:val="21"/>
        </w:rPr>
        <w:t>审核义务执行指令而造成损失的情形除外</w:t>
      </w:r>
      <w:r>
        <w:rPr>
          <w:rFonts w:ascii="宋体" w:hAnsi="宋体" w:cs="Arial" w:hint="eastAsia"/>
          <w:szCs w:val="21"/>
        </w:rPr>
        <w:t>。</w:t>
      </w:r>
    </w:p>
    <w:p w14:paraId="0A135BB7" w14:textId="77777777" w:rsidR="000F2133" w:rsidRDefault="000F2133">
      <w:pPr>
        <w:adjustRightInd w:val="0"/>
        <w:spacing w:line="360" w:lineRule="auto"/>
        <w:contextualSpacing/>
        <w:rPr>
          <w:rFonts w:ascii="宋体" w:hAnsi="宋体" w:cs="Arial"/>
          <w:szCs w:val="21"/>
        </w:rPr>
      </w:pPr>
    </w:p>
    <w:p w14:paraId="23B22BBD" w14:textId="77777777" w:rsidR="000F2133" w:rsidRDefault="00D82757">
      <w:pPr>
        <w:pStyle w:val="2"/>
        <w:spacing w:beforeLines="100" w:before="312" w:afterLines="50" w:after="156" w:line="360" w:lineRule="auto"/>
        <w:jc w:val="center"/>
        <w:rPr>
          <w:rFonts w:ascii="宋体" w:eastAsia="宋体" w:hAnsi="宋体"/>
          <w:sz w:val="21"/>
          <w:szCs w:val="21"/>
        </w:rPr>
      </w:pPr>
      <w:bookmarkStart w:id="75" w:name="_Toc110761799"/>
      <w:bookmarkStart w:id="76" w:name="_Toc86649725"/>
      <w:bookmarkStart w:id="77" w:name="_Toc118972651"/>
      <w:bookmarkStart w:id="78" w:name="_Toc84234390"/>
      <w:bookmarkStart w:id="79" w:name="_Toc86204791"/>
      <w:bookmarkStart w:id="80" w:name="_Toc108512361"/>
      <w:bookmarkStart w:id="81" w:name="_Toc89163371"/>
      <w:bookmarkStart w:id="82" w:name="_Toc118212953"/>
      <w:bookmarkStart w:id="83" w:name="_Toc86726442"/>
      <w:bookmarkStart w:id="84" w:name="_Toc86223245"/>
      <w:bookmarkStart w:id="85" w:name="_Toc110765663"/>
      <w:bookmarkStart w:id="86" w:name="_Toc120435786"/>
      <w:bookmarkStart w:id="87" w:name="_Toc110830495"/>
      <w:bookmarkStart w:id="88" w:name="_Toc118774806"/>
      <w:bookmarkStart w:id="89" w:name="_Toc84234437"/>
      <w:bookmarkStart w:id="90" w:name="_Toc86727358"/>
      <w:bookmarkStart w:id="91" w:name="_Toc86737932"/>
      <w:bookmarkStart w:id="92" w:name="_Toc84133788"/>
      <w:bookmarkStart w:id="93" w:name="_Toc86225294"/>
      <w:bookmarkStart w:id="94" w:name="_Toc119402713"/>
      <w:r>
        <w:rPr>
          <w:rFonts w:ascii="宋体" w:eastAsia="宋体" w:hAnsi="宋体"/>
          <w:sz w:val="21"/>
          <w:szCs w:val="21"/>
        </w:rPr>
        <w:br w:type="page"/>
      </w:r>
      <w:bookmarkStart w:id="95" w:name="_Toc348082035"/>
      <w:bookmarkStart w:id="96" w:name="_Toc204947275"/>
      <w:r>
        <w:rPr>
          <w:rFonts w:ascii="宋体" w:eastAsia="宋体" w:hAnsi="宋体" w:hint="eastAsia"/>
          <w:sz w:val="21"/>
          <w:szCs w:val="21"/>
        </w:rPr>
        <w:lastRenderedPageBreak/>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EEC86AC" w14:textId="22D3198C"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（一）选择代理证券、期货买卖的证券、期货</w:t>
      </w:r>
      <w:r w:rsidR="00A64376">
        <w:rPr>
          <w:rFonts w:ascii="宋体" w:hAnsi="宋体" w:cs="Arial" w:hint="eastAsia"/>
          <w:szCs w:val="21"/>
        </w:rPr>
        <w:t>经纪</w:t>
      </w:r>
      <w:r>
        <w:rPr>
          <w:rFonts w:ascii="宋体" w:hAnsi="宋体" w:cs="Arial" w:hint="eastAsia"/>
          <w:szCs w:val="21"/>
        </w:rPr>
        <w:t>机构</w:t>
      </w:r>
    </w:p>
    <w:p w14:paraId="72F737EB" w14:textId="3885135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hint="eastAsia"/>
          <w:szCs w:val="21"/>
        </w:rPr>
        <w:t>.</w:t>
      </w:r>
      <w:r>
        <w:rPr>
          <w:rFonts w:ascii="宋体" w:hAnsi="宋体" w:cs="Arial" w:hint="eastAsia"/>
          <w:szCs w:val="21"/>
        </w:rPr>
        <w:t>基金管理人应制</w:t>
      </w:r>
      <w:proofErr w:type="gramStart"/>
      <w:r>
        <w:rPr>
          <w:rFonts w:ascii="宋体" w:hAnsi="宋体" w:cs="Arial" w:hint="eastAsia"/>
          <w:szCs w:val="21"/>
        </w:rPr>
        <w:t>定选择</w:t>
      </w:r>
      <w:proofErr w:type="gramEnd"/>
      <w:r>
        <w:rPr>
          <w:rFonts w:ascii="宋体" w:hAnsi="宋体" w:cs="Arial" w:hint="eastAsia"/>
          <w:szCs w:val="21"/>
        </w:rPr>
        <w:t>的标准和程序，并负责根据相关标准以及内部管理制度对有关证券</w:t>
      </w:r>
      <w:r w:rsidR="00A64376">
        <w:rPr>
          <w:rFonts w:ascii="宋体" w:hAnsi="宋体" w:cs="Arial" w:hint="eastAsia"/>
          <w:szCs w:val="21"/>
        </w:rPr>
        <w:t>经纪</w:t>
      </w:r>
      <w:r>
        <w:rPr>
          <w:rFonts w:ascii="宋体" w:hAnsi="宋体" w:cs="Arial" w:hint="eastAsia"/>
          <w:szCs w:val="21"/>
        </w:rPr>
        <w:t>机构进行考察后确定代理本基金证券买卖</w:t>
      </w:r>
      <w:r w:rsidR="00A62147" w:rsidRPr="00A62147">
        <w:rPr>
          <w:rFonts w:ascii="宋体" w:hAnsi="宋体" w:cs="Arial" w:hint="eastAsia"/>
          <w:szCs w:val="21"/>
        </w:rPr>
        <w:t>的</w:t>
      </w:r>
      <w:r>
        <w:rPr>
          <w:rFonts w:ascii="宋体" w:hAnsi="宋体" w:cs="Arial" w:hint="eastAsia"/>
          <w:szCs w:val="21"/>
        </w:rPr>
        <w:t>证券</w:t>
      </w:r>
      <w:r w:rsidR="00A64376">
        <w:rPr>
          <w:rFonts w:ascii="宋体" w:hAnsi="宋体" w:cs="Arial" w:hint="eastAsia"/>
          <w:szCs w:val="21"/>
        </w:rPr>
        <w:t>经纪</w:t>
      </w:r>
      <w:r>
        <w:rPr>
          <w:rFonts w:ascii="宋体" w:hAnsi="宋体" w:cs="Arial" w:hint="eastAsia"/>
          <w:szCs w:val="21"/>
        </w:rPr>
        <w:t>机构，并承担相应责任。基金管理人和被选择的证券</w:t>
      </w:r>
      <w:r w:rsidR="00014739">
        <w:rPr>
          <w:rFonts w:ascii="宋体" w:hAnsi="宋体" w:cs="Arial" w:hint="eastAsia"/>
          <w:szCs w:val="21"/>
        </w:rPr>
        <w:t>经纪</w:t>
      </w:r>
      <w:r>
        <w:rPr>
          <w:rFonts w:ascii="宋体" w:hAnsi="宋体" w:cs="Arial" w:hint="eastAsia"/>
          <w:szCs w:val="21"/>
        </w:rPr>
        <w:t>机构签订证券经纪合同或其他约定的形式，由基金管理人通知基金托管人，并按法律法规要求在法定信息披露报告中披露有关内容。基金管理人、基金托管人和证券经纪机构可就本基金参与场内证券交易的具体事项另行签订证券经纪服务协议。</w:t>
      </w:r>
    </w:p>
    <w:p w14:paraId="11291E7F" w14:textId="4BE78270" w:rsidR="000F2133" w:rsidRDefault="00D82757">
      <w:pPr>
        <w:adjustRightInd w:val="0"/>
        <w:snapToGrid w:val="0"/>
        <w:spacing w:line="360" w:lineRule="auto"/>
        <w:ind w:firstLineChars="200" w:firstLine="420"/>
        <w:rPr>
          <w:rFonts w:ascii="宋体" w:hAnsi="宋体"/>
          <w:szCs w:val="21"/>
        </w:rPr>
      </w:pPr>
      <w:r>
        <w:rPr>
          <w:rFonts w:ascii="宋体" w:hAnsi="宋体" w:cs="Arial" w:hint="eastAsia"/>
          <w:szCs w:val="21"/>
        </w:rPr>
        <w:t>2</w:t>
      </w:r>
      <w:r>
        <w:rPr>
          <w:rFonts w:ascii="宋体" w:hAnsi="宋体" w:hint="eastAsia"/>
          <w:szCs w:val="21"/>
        </w:rPr>
        <w:t>.</w:t>
      </w:r>
      <w:r>
        <w:rPr>
          <w:rFonts w:ascii="宋体" w:hAnsi="宋体" w:cs="Arial" w:hint="eastAsia"/>
          <w:szCs w:val="21"/>
        </w:rPr>
        <w:t>基金管理人负责选择代理本基金期货交易的期货经纪机构，并与其签订期货经纪合同，其他事宜根据法律法规、《基金合同》的相关规定执行，若无明确规定的，可参照有关证券买卖</w:t>
      </w:r>
      <w:r w:rsidR="005A343F">
        <w:rPr>
          <w:rFonts w:ascii="宋体" w:hAnsi="宋体" w:cs="Arial" w:hint="eastAsia"/>
          <w:szCs w:val="21"/>
        </w:rPr>
        <w:t>的</w:t>
      </w:r>
      <w:r>
        <w:rPr>
          <w:rFonts w:ascii="宋体" w:hAnsi="宋体" w:cs="Arial" w:hint="eastAsia"/>
          <w:szCs w:val="21"/>
        </w:rPr>
        <w:t>证券经纪机构选择的规则执行。</w:t>
      </w:r>
    </w:p>
    <w:p w14:paraId="7183A5CE"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（1）基金管理人所选择的期货公司负责办理本基金的期货交易的清算交割。</w:t>
      </w:r>
    </w:p>
    <w:p w14:paraId="627CCE77"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6909842B"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2D2056C4" w14:textId="77777777" w:rsidR="000F2133" w:rsidRDefault="00D82757">
      <w:pPr>
        <w:adjustRightInd w:val="0"/>
        <w:snapToGrid w:val="0"/>
        <w:spacing w:line="360" w:lineRule="auto"/>
        <w:ind w:firstLineChars="200" w:firstLine="420"/>
        <w:rPr>
          <w:rFonts w:ascii="宋体" w:hAnsi="宋体"/>
          <w:szCs w:val="21"/>
        </w:rPr>
      </w:pPr>
      <w:r>
        <w:rPr>
          <w:rFonts w:ascii="宋体" w:hAnsi="宋体" w:hint="eastAsia"/>
          <w:szCs w:val="21"/>
        </w:rPr>
        <w:t>（3）基金管理人应责成其选择的期货公司对发送的数据的准确性、完整性、真实性负责。</w:t>
      </w:r>
    </w:p>
    <w:p w14:paraId="4CAD5B5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hint="eastAsia"/>
          <w:szCs w:val="21"/>
        </w:rPr>
        <w:t>由于交易结算报告的记载事项出现与实际交易结果和权益不符造成本基金估值计算错误的，应由基金管理人负责向数据发送方追偿，基金托管人不承担责任，但应给予必要协助。</w:t>
      </w:r>
    </w:p>
    <w:p w14:paraId="31952285"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（二）基金投资证券、期货后的清算交收安排</w:t>
      </w:r>
    </w:p>
    <w:p w14:paraId="2B0F2A52" w14:textId="77777777" w:rsidR="000F2133" w:rsidRDefault="00D82757">
      <w:pPr>
        <w:adjustRightInd w:val="0"/>
        <w:snapToGrid w:val="0"/>
        <w:spacing w:line="360" w:lineRule="auto"/>
        <w:ind w:firstLineChars="200" w:firstLine="420"/>
        <w:rPr>
          <w:rFonts w:ascii="宋体" w:hAnsi="宋体" w:cs="Tahoma"/>
          <w:color w:val="000000"/>
          <w:szCs w:val="21"/>
        </w:rPr>
      </w:pPr>
      <w:r>
        <w:rPr>
          <w:rFonts w:ascii="宋体" w:hAnsi="宋体" w:cs="Tahoma" w:hint="eastAsia"/>
          <w:color w:val="000000"/>
          <w:szCs w:val="21"/>
        </w:rPr>
        <w:t xml:space="preserve">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 </w:t>
      </w:r>
    </w:p>
    <w:p w14:paraId="7FD766D3" w14:textId="77777777" w:rsidR="000F2133" w:rsidRDefault="00D82757">
      <w:pPr>
        <w:adjustRightInd w:val="0"/>
        <w:snapToGrid w:val="0"/>
        <w:spacing w:line="360" w:lineRule="auto"/>
        <w:ind w:firstLineChars="200" w:firstLine="420"/>
        <w:rPr>
          <w:rFonts w:ascii="宋体" w:hAnsi="宋体" w:cs="Tahoma"/>
          <w:color w:val="000000"/>
          <w:szCs w:val="21"/>
        </w:rPr>
      </w:pPr>
      <w:r>
        <w:rPr>
          <w:rFonts w:ascii="宋体" w:hAnsi="宋体" w:cs="Tahoma" w:hint="eastAsia"/>
          <w:color w:val="000000"/>
          <w:szCs w:val="21"/>
        </w:rPr>
        <w:t xml:space="preserve">对基金管理人的资金划拨指令，基金托管人在复核无误后应在规定期限内执行不得延误。 </w:t>
      </w:r>
    </w:p>
    <w:p w14:paraId="0590A118" w14:textId="77777777" w:rsidR="000F2133" w:rsidRDefault="00D82757">
      <w:pPr>
        <w:adjustRightInd w:val="0"/>
        <w:snapToGrid w:val="0"/>
        <w:spacing w:line="360" w:lineRule="auto"/>
        <w:ind w:firstLineChars="200" w:firstLine="420"/>
        <w:rPr>
          <w:rFonts w:ascii="宋体" w:hAnsi="宋体" w:cs="Tahoma"/>
          <w:color w:val="000000"/>
          <w:szCs w:val="21"/>
        </w:rPr>
      </w:pPr>
      <w:r>
        <w:rPr>
          <w:rFonts w:ascii="宋体" w:hAnsi="宋体" w:cs="Tahoma" w:hint="eastAsia"/>
          <w:color w:val="000000"/>
          <w:szCs w:val="21"/>
        </w:rPr>
        <w:t>本基金投资于所有场外交易的资金汇划，由基金托管人负责办理。</w:t>
      </w:r>
    </w:p>
    <w:p w14:paraId="4E0C8AC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Tahoma" w:hint="eastAsia"/>
          <w:color w:val="000000"/>
          <w:szCs w:val="21"/>
        </w:rPr>
        <w:t>证券经纪机构代理本基金财产与中国证券登记结算有限责任公司完成证券交易及</w:t>
      </w:r>
      <w:proofErr w:type="gramStart"/>
      <w:r>
        <w:rPr>
          <w:rFonts w:ascii="宋体" w:hAnsi="宋体" w:cs="Tahoma" w:hint="eastAsia"/>
          <w:color w:val="000000"/>
          <w:szCs w:val="21"/>
        </w:rPr>
        <w:t>非交易</w:t>
      </w:r>
      <w:proofErr w:type="gramEnd"/>
      <w:r>
        <w:rPr>
          <w:rFonts w:ascii="宋体" w:hAnsi="宋体" w:cs="Tahoma" w:hint="eastAsia"/>
          <w:color w:val="000000"/>
          <w:szCs w:val="21"/>
        </w:rPr>
        <w:t>涉及的证券资金结算业务，并承担由证券经纪机构原因造成的正常结算、交收业务无法完成的责任。</w:t>
      </w:r>
    </w:p>
    <w:p w14:paraId="5235DF2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（三）基金申购、赎回和转换业务处理的基本规定</w:t>
      </w:r>
    </w:p>
    <w:p w14:paraId="77BF68C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1.基金份额申购、赎回、转换的确认、清算由基金管理人或其委托的登记机构负责。</w:t>
      </w:r>
    </w:p>
    <w:p w14:paraId="0522C92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228B753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3.基金管理人应保证本基金（或本基金管理人委托）的登记机构每个工作日15:00前向基金托管人发送前一开放</w:t>
      </w:r>
      <w:proofErr w:type="gramStart"/>
      <w:r>
        <w:rPr>
          <w:rFonts w:ascii="宋体" w:hAnsi="宋体" w:cs="Arial" w:hint="eastAsia"/>
          <w:szCs w:val="21"/>
        </w:rPr>
        <w:t>日上述</w:t>
      </w:r>
      <w:proofErr w:type="gramEnd"/>
      <w:r>
        <w:rPr>
          <w:rFonts w:ascii="宋体" w:hAnsi="宋体" w:cs="Arial" w:hint="eastAsia"/>
          <w:szCs w:val="21"/>
        </w:rPr>
        <w:t>有关数据，并保证相关数据的准确、完整。</w:t>
      </w:r>
    </w:p>
    <w:p w14:paraId="5B1CCAF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7AA28B70"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5.如基金管理人委托其他机构办理本基金的登记业务，应保证上述相关事宜按时进行。否则，由基金管理人承担相应的责任。</w:t>
      </w:r>
    </w:p>
    <w:p w14:paraId="48CC4C9C"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6.关于清算专用账户的设立和管理</w:t>
      </w:r>
    </w:p>
    <w:p w14:paraId="60A3DF80"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为满足申购、赎回、转换及分红资金汇划的需要，由基金管理人开立资金清算的专用账户，该账户由登记机构管理。</w:t>
      </w:r>
    </w:p>
    <w:p w14:paraId="09C221BF"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提供充分协助。</w:t>
      </w:r>
    </w:p>
    <w:p w14:paraId="7795539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8.赎回、转换资金划付规定</w:t>
      </w:r>
    </w:p>
    <w:p w14:paraId="36B55C7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划付赎回款、转换转出款时，如基金资金账户有足够的资金，基金托管人应按时划付；因基金资金账户没有足够的资金，导致基金托管人不能按时划付，基金托管人不承担责任，但应及时通知基金管理人，如</w:t>
      </w:r>
      <w:proofErr w:type="gramStart"/>
      <w:r>
        <w:rPr>
          <w:rFonts w:ascii="宋体" w:hAnsi="宋体" w:cs="Arial" w:hint="eastAsia"/>
          <w:szCs w:val="21"/>
        </w:rPr>
        <w:t>系基金</w:t>
      </w:r>
      <w:proofErr w:type="gramEnd"/>
      <w:r>
        <w:rPr>
          <w:rFonts w:ascii="宋体" w:hAnsi="宋体" w:cs="Arial" w:hint="eastAsia"/>
          <w:szCs w:val="21"/>
        </w:rPr>
        <w:t>管理人的原因造成，责任由基金管理人承担，基金托管人不承担垫款义务。</w:t>
      </w:r>
    </w:p>
    <w:p w14:paraId="66AA18E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9.资金指令</w:t>
      </w:r>
    </w:p>
    <w:p w14:paraId="268B1D0F"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除申购款项到达基金资金账户需双方按约定方式对账外，与投资有关的付款、赎回和分红资金划拨时，基金管理人需向基金托管人下达指令。</w:t>
      </w:r>
    </w:p>
    <w:p w14:paraId="41E67D9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资金指令的格式、内容、发送、接收和确认方式等与投资指令相同。</w:t>
      </w:r>
    </w:p>
    <w:p w14:paraId="426C41E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（四）资金净额结算</w:t>
      </w:r>
    </w:p>
    <w:p w14:paraId="4E29EC8D" w14:textId="0B83D470"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cs="Arial" w:hint="eastAsia"/>
          <w:szCs w:val="21"/>
        </w:rPr>
        <w:t>交收日</w:t>
      </w:r>
      <w:r w:rsidR="00575A62">
        <w:rPr>
          <w:rFonts w:ascii="宋体" w:hAnsi="宋体" w:cs="Arial" w:hint="eastAsia"/>
          <w:szCs w:val="21"/>
        </w:rPr>
        <w:t>及时</w:t>
      </w:r>
      <w:proofErr w:type="gramEnd"/>
      <w:r>
        <w:rPr>
          <w:rFonts w:ascii="宋体" w:hAnsi="宋体" w:cs="Arial" w:hint="eastAsia"/>
          <w:szCs w:val="21"/>
        </w:rPr>
        <w:t>从基金清算账户</w:t>
      </w:r>
      <w:proofErr w:type="gramStart"/>
      <w:r>
        <w:rPr>
          <w:rFonts w:ascii="宋体" w:hAnsi="宋体" w:cs="Arial" w:hint="eastAsia"/>
          <w:szCs w:val="21"/>
        </w:rPr>
        <w:t>划往基金</w:t>
      </w:r>
      <w:proofErr w:type="gramEnd"/>
      <w:r>
        <w:rPr>
          <w:rFonts w:ascii="宋体" w:hAnsi="宋体" w:cs="Arial" w:hint="eastAsia"/>
          <w:szCs w:val="21"/>
        </w:rPr>
        <w:t>资金账户，基金管理人通过基金托管人提供的方式查询结果；当存在资金账户净应付额时，基金托管</w:t>
      </w:r>
      <w:r>
        <w:rPr>
          <w:rFonts w:ascii="宋体" w:hAnsi="宋体" w:cs="Arial" w:hint="eastAsia"/>
          <w:szCs w:val="21"/>
        </w:rPr>
        <w:lastRenderedPageBreak/>
        <w:t>人按照基金管理人的划款指令将</w:t>
      </w:r>
      <w:r w:rsidR="009606D2">
        <w:rPr>
          <w:rFonts w:ascii="宋体" w:hAnsi="宋体" w:cs="Arial" w:hint="eastAsia"/>
          <w:szCs w:val="21"/>
        </w:rPr>
        <w:t>资金</w:t>
      </w:r>
      <w:r>
        <w:rPr>
          <w:rFonts w:ascii="宋体" w:hAnsi="宋体" w:cs="Arial" w:hint="eastAsia"/>
          <w:szCs w:val="21"/>
        </w:rPr>
        <w:t>账户净应付额在交</w:t>
      </w:r>
      <w:proofErr w:type="gramStart"/>
      <w:r>
        <w:rPr>
          <w:rFonts w:ascii="宋体" w:hAnsi="宋体" w:cs="Arial" w:hint="eastAsia"/>
          <w:szCs w:val="21"/>
        </w:rPr>
        <w:t>收日及时划往基金</w:t>
      </w:r>
      <w:proofErr w:type="gramEnd"/>
      <w:r>
        <w:rPr>
          <w:rFonts w:ascii="宋体" w:hAnsi="宋体" w:cs="Arial" w:hint="eastAsia"/>
          <w:szCs w:val="21"/>
        </w:rPr>
        <w:t>清算账户，基金管理人通过基金托管人提供的方式查询结果。</w:t>
      </w:r>
    </w:p>
    <w:p w14:paraId="3964B3B1" w14:textId="77777777" w:rsidR="000F2133" w:rsidRDefault="00D82757">
      <w:pPr>
        <w:adjustRightInd w:val="0"/>
        <w:snapToGrid w:val="0"/>
        <w:spacing w:line="360" w:lineRule="auto"/>
        <w:ind w:firstLineChars="200" w:firstLine="420"/>
        <w:rPr>
          <w:rFonts w:ascii="宋体" w:hAnsi="宋体" w:cs="Arial"/>
          <w:i/>
          <w:szCs w:val="21"/>
        </w:rPr>
      </w:pPr>
      <w:r>
        <w:rPr>
          <w:rFonts w:ascii="宋体" w:hAnsi="宋体" w:cs="Arial" w:hint="eastAsia"/>
          <w:szCs w:val="21"/>
        </w:rPr>
        <w:t>当存在资金账户净应付额时，如基金资金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cs="Arial" w:hint="eastAsia"/>
          <w:szCs w:val="21"/>
        </w:rPr>
        <w:t>系基金</w:t>
      </w:r>
      <w:proofErr w:type="gramEnd"/>
      <w:r>
        <w:rPr>
          <w:rFonts w:ascii="宋体" w:hAnsi="宋体" w:cs="Arial" w:hint="eastAsia"/>
          <w:szCs w:val="21"/>
        </w:rPr>
        <w:t>管理人的原因造成，责任由基金管理人承担，基金托管人不承担垫款义务。</w:t>
      </w:r>
    </w:p>
    <w:p w14:paraId="674E584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（五）基金现金分红</w:t>
      </w:r>
    </w:p>
    <w:p w14:paraId="439E7B5B" w14:textId="0379CD98"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1.基金管理人确定分红方案后通知基金托管人，双方核定后</w:t>
      </w:r>
      <w:r>
        <w:rPr>
          <w:rFonts w:ascii="宋体" w:hAnsi="宋体" w:hint="eastAsia"/>
          <w:szCs w:val="21"/>
        </w:rPr>
        <w:t>依照《信息披露办法》的有关规定在中国证监会规定媒介上公告</w:t>
      </w:r>
      <w:r>
        <w:rPr>
          <w:rFonts w:ascii="宋体" w:hAnsi="宋体" w:cs="Arial" w:hint="eastAsia"/>
          <w:szCs w:val="21"/>
        </w:rPr>
        <w:t>。</w:t>
      </w:r>
    </w:p>
    <w:p w14:paraId="31EF35C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2.基金托管人和基金管理人对基金分红进行账务处理并核对后，基金管理人向基金托管人发送现金红利的划款指令，基金托管人应根据指令及时将分红款</w:t>
      </w:r>
      <w:proofErr w:type="gramStart"/>
      <w:r>
        <w:rPr>
          <w:rFonts w:ascii="宋体" w:hAnsi="宋体" w:cs="Arial" w:hint="eastAsia"/>
          <w:szCs w:val="21"/>
        </w:rPr>
        <w:t>划往基金</w:t>
      </w:r>
      <w:proofErr w:type="gramEnd"/>
      <w:r>
        <w:rPr>
          <w:rFonts w:ascii="宋体" w:hAnsi="宋体" w:cs="Arial" w:hint="eastAsia"/>
          <w:szCs w:val="21"/>
        </w:rPr>
        <w:t>清算账户。</w:t>
      </w:r>
    </w:p>
    <w:p w14:paraId="1B61E0F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3.基金管理人在下达指令时，应给基金托管人留出必需的划款时间。</w:t>
      </w:r>
    </w:p>
    <w:p w14:paraId="14FFBF2B" w14:textId="77777777" w:rsidR="000F2133" w:rsidRDefault="000F2133">
      <w:pPr>
        <w:spacing w:line="360" w:lineRule="auto"/>
        <w:ind w:firstLine="480"/>
        <w:rPr>
          <w:rFonts w:ascii="宋体" w:hAnsi="宋体"/>
          <w:szCs w:val="21"/>
        </w:rPr>
      </w:pPr>
    </w:p>
    <w:p w14:paraId="325595E3" w14:textId="77777777" w:rsidR="000F2133" w:rsidRDefault="000F2133">
      <w:pPr>
        <w:adjustRightInd w:val="0"/>
        <w:snapToGrid w:val="0"/>
        <w:spacing w:line="360" w:lineRule="auto"/>
        <w:rPr>
          <w:rFonts w:ascii="宋体" w:hAnsi="宋体" w:cs="Arial"/>
          <w:szCs w:val="21"/>
        </w:rPr>
      </w:pPr>
    </w:p>
    <w:p w14:paraId="1863E0F6"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97" w:name="_Toc348082036"/>
      <w:bookmarkStart w:id="98" w:name="_Toc204947276"/>
      <w:r>
        <w:rPr>
          <w:rFonts w:ascii="宋体" w:eastAsia="宋体" w:hAnsi="宋体" w:hint="eastAsia"/>
          <w:sz w:val="21"/>
          <w:szCs w:val="21"/>
        </w:rPr>
        <w:lastRenderedPageBreak/>
        <w:t>八、基金资产净值计算、估值和会计核算</w:t>
      </w:r>
      <w:bookmarkEnd w:id="97"/>
      <w:bookmarkEnd w:id="98"/>
    </w:p>
    <w:p w14:paraId="4AB9F96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（一）基金资产净值的计算、复核与完成的时间及程序</w:t>
      </w:r>
    </w:p>
    <w:p w14:paraId="5BA11165"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1.基金资产净值</w:t>
      </w:r>
    </w:p>
    <w:p w14:paraId="4D25460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基金资产净值是指基金资产总值减去基金负债后的价值。</w:t>
      </w:r>
    </w:p>
    <w:p w14:paraId="2DF65781" w14:textId="6E81D9C5"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各类基金份额的基金份额净值是按照每个估值日闭市后，该类基金份额的基金资产净值除以当日该类基金份额的余额数量计算，均精确到0.0001元，小数点后第5位四舍五入，由此产生的误差计入基金财产。特殊情况下，基金管理人可与基金托管人、登记机构协商增加各类基金份额净值计算位数，以维护基金投资人利益。基金管理人可以设立大额赎回情形下的净值精度应急调整机制。国家另有规定的，从其规定。本基金A类基金份额和C类基金份额将分别计算并公告基金份额净值。</w:t>
      </w:r>
    </w:p>
    <w:p w14:paraId="1A94240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基金管理人每个估值日计算基金资产净值及各类基金份额的基金份额净值，并按规定公告。</w:t>
      </w:r>
    </w:p>
    <w:p w14:paraId="60B8584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2.复核程序</w:t>
      </w:r>
    </w:p>
    <w:p w14:paraId="1B209EF3" w14:textId="7C5075A1"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基金管理人每个估值日对基金资产进行估值后，将基金资产净值、各类基金份额净值发送基金托管人，经基金托管人复核无误后，由基金管理人按约定对外公布。</w:t>
      </w:r>
    </w:p>
    <w:p w14:paraId="4D7E985C" w14:textId="77777777" w:rsidR="000F2133" w:rsidRDefault="00D82757">
      <w:pPr>
        <w:adjustRightInd w:val="0"/>
        <w:snapToGrid w:val="0"/>
        <w:spacing w:line="360" w:lineRule="auto"/>
        <w:ind w:firstLineChars="200" w:firstLine="420"/>
        <w:rPr>
          <w:rFonts w:ascii="宋体" w:hAnsi="宋体"/>
          <w:szCs w:val="21"/>
        </w:rPr>
      </w:pPr>
      <w:r>
        <w:rPr>
          <w:rFonts w:ascii="宋体" w:hAnsi="宋体" w:cs="Arial" w:hint="eastAsia"/>
          <w:szCs w:val="21"/>
        </w:rPr>
        <w:t>3.</w:t>
      </w:r>
      <w:r>
        <w:rPr>
          <w:rFonts w:ascii="宋体" w:hAnsi="宋体" w:hint="eastAsia"/>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w:t>
      </w:r>
    </w:p>
    <w:p w14:paraId="0CA7D13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（二）基金资产的估值</w:t>
      </w:r>
    </w:p>
    <w:p w14:paraId="1D123C58" w14:textId="77777777" w:rsidR="000F2133" w:rsidRDefault="00D82757">
      <w:pPr>
        <w:adjustRightInd w:val="0"/>
        <w:snapToGrid w:val="0"/>
        <w:spacing w:line="360" w:lineRule="auto"/>
        <w:ind w:firstLineChars="200" w:firstLine="420"/>
        <w:rPr>
          <w:rStyle w:val="read"/>
          <w:rFonts w:ascii="宋体" w:hAnsi="宋体"/>
          <w:szCs w:val="21"/>
        </w:rPr>
      </w:pPr>
      <w:r>
        <w:rPr>
          <w:rFonts w:hint="eastAsia"/>
          <w:szCs w:val="21"/>
        </w:rPr>
        <w:t>基金管理人及基金托管人应当按照《基金合同》的约定进行估值。</w:t>
      </w:r>
    </w:p>
    <w:p w14:paraId="5FA1BE2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（三）基金份额净值错误的处理方式</w:t>
      </w:r>
    </w:p>
    <w:p w14:paraId="5B07E0BD" w14:textId="77777777" w:rsidR="000F2133" w:rsidRDefault="00D82757">
      <w:pPr>
        <w:adjustRightInd w:val="0"/>
        <w:snapToGrid w:val="0"/>
        <w:spacing w:line="360" w:lineRule="auto"/>
        <w:ind w:firstLineChars="200" w:firstLine="420"/>
        <w:rPr>
          <w:rFonts w:ascii="宋体" w:hAnsi="宋体" w:cs="Arial"/>
          <w:szCs w:val="21"/>
        </w:rPr>
      </w:pPr>
      <w:r>
        <w:rPr>
          <w:rFonts w:hint="eastAsia"/>
          <w:szCs w:val="21"/>
        </w:rPr>
        <w:t>基金管理人及基金托管人应当按照《基金合同》的约定处理基金份额净值错误。</w:t>
      </w:r>
    </w:p>
    <w:p w14:paraId="584589F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（四）基金会计制度</w:t>
      </w:r>
    </w:p>
    <w:p w14:paraId="7ECA209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按国家有关部门规定的会计制度执行。</w:t>
      </w:r>
    </w:p>
    <w:p w14:paraId="2B504D1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（五）基金账册的建立</w:t>
      </w:r>
    </w:p>
    <w:p w14:paraId="42AA534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1B49C88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（六）基金财务报表与报告的编制和复核</w:t>
      </w:r>
    </w:p>
    <w:p w14:paraId="789E8E9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1.财务报表的编制</w:t>
      </w:r>
    </w:p>
    <w:p w14:paraId="75D08BB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基金财务报表由基金管理人编制，基金托管人复核。</w:t>
      </w:r>
    </w:p>
    <w:p w14:paraId="5C8C13E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2.报表复核</w:t>
      </w:r>
    </w:p>
    <w:p w14:paraId="04E3DEC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基金托管人在收到基金管理人编制的基金财务报表后，进行独立的复核。核对不符时，应</w:t>
      </w:r>
      <w:r>
        <w:rPr>
          <w:rFonts w:ascii="宋体" w:hAnsi="宋体" w:cs="Arial" w:hint="eastAsia"/>
          <w:szCs w:val="21"/>
        </w:rPr>
        <w:lastRenderedPageBreak/>
        <w:t>及时通知基金管理人共同查出原因，进行调整，直至双方数据完全一致。</w:t>
      </w:r>
    </w:p>
    <w:p w14:paraId="34E6670A" w14:textId="21DD0DAA"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3.财务报表</w:t>
      </w:r>
      <w:r w:rsidR="00621718">
        <w:rPr>
          <w:rFonts w:ascii="宋体" w:hAnsi="宋体" w:cs="Arial" w:hint="eastAsia"/>
          <w:szCs w:val="21"/>
        </w:rPr>
        <w:t>与报告</w:t>
      </w:r>
      <w:r>
        <w:rPr>
          <w:rFonts w:ascii="宋体" w:hAnsi="宋体" w:cs="Arial" w:hint="eastAsia"/>
          <w:szCs w:val="21"/>
        </w:rPr>
        <w:t>的编制与复核时间安排</w:t>
      </w:r>
    </w:p>
    <w:p w14:paraId="060BAFF2" w14:textId="57FD48CD"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基金管理人、基金托管人应当在每月结束后5个工作日内完成月度报表的编制及复核；在</w:t>
      </w:r>
      <w:r w:rsidR="00557D3A">
        <w:rPr>
          <w:rFonts w:ascii="宋体" w:hAnsi="宋体" w:cs="Arial" w:hint="eastAsia"/>
          <w:szCs w:val="21"/>
        </w:rPr>
        <w:t>每个</w:t>
      </w:r>
      <w:r>
        <w:rPr>
          <w:rFonts w:ascii="宋体" w:hAnsi="宋体" w:cs="Arial" w:hint="eastAsia"/>
          <w:szCs w:val="21"/>
        </w:rPr>
        <w:t>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w:t>
      </w:r>
      <w:r w:rsidR="008B5F76" w:rsidRPr="008B5F76">
        <w:rPr>
          <w:rFonts w:ascii="宋体" w:hAnsi="宋体" w:cs="Arial" w:hint="eastAsia"/>
          <w:szCs w:val="21"/>
        </w:rPr>
        <w:t>中</w:t>
      </w:r>
      <w:r>
        <w:rPr>
          <w:rFonts w:ascii="宋体" w:hAnsi="宋体" w:cs="Arial" w:hint="eastAsia"/>
          <w:szCs w:val="21"/>
        </w:rPr>
        <w:t>的财务会计报告应当经过</w:t>
      </w:r>
      <w:r>
        <w:rPr>
          <w:rFonts w:cs="Arial" w:hint="eastAsia"/>
          <w:szCs w:val="21"/>
        </w:rPr>
        <w:t>符合《中华人民共和国证券法》规定</w:t>
      </w:r>
      <w:r>
        <w:rPr>
          <w:rFonts w:ascii="宋体" w:hAnsi="宋体" w:cs="Arial" w:hint="eastAsia"/>
          <w:szCs w:val="21"/>
        </w:rPr>
        <w:t>的会计师事务所审计。基金合同生效不足两个月的，基金管理人可以不编制当期季度报告、中期报告或者年度报告。</w:t>
      </w:r>
    </w:p>
    <w:p w14:paraId="09698B1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（七）在有需要时，基金管理人应每季度向基金托管人提供基金业绩比较基准的基础数据和编制结果。</w:t>
      </w:r>
    </w:p>
    <w:p w14:paraId="3108CED6" w14:textId="77777777" w:rsidR="000F2133" w:rsidRDefault="000F2133"/>
    <w:p w14:paraId="39F3C268" w14:textId="77777777" w:rsidR="000F2133" w:rsidRDefault="000F2133">
      <w:pPr>
        <w:pStyle w:val="a0"/>
        <w:adjustRightInd w:val="0"/>
        <w:snapToGrid w:val="0"/>
        <w:spacing w:line="360" w:lineRule="auto"/>
        <w:ind w:firstLineChars="0" w:firstLine="0"/>
        <w:rPr>
          <w:rFonts w:ascii="宋体" w:hAnsi="宋体" w:cs="Arial"/>
          <w:szCs w:val="21"/>
        </w:rPr>
      </w:pPr>
    </w:p>
    <w:p w14:paraId="5775E161" w14:textId="77777777" w:rsidR="000F2133" w:rsidRDefault="00D82757">
      <w:pPr>
        <w:pStyle w:val="2"/>
        <w:spacing w:beforeLines="100" w:before="312" w:afterLines="50" w:after="156" w:line="360" w:lineRule="auto"/>
        <w:jc w:val="center"/>
        <w:rPr>
          <w:rFonts w:ascii="宋体" w:eastAsia="宋体" w:hAnsi="宋体"/>
          <w:sz w:val="21"/>
          <w:szCs w:val="21"/>
        </w:rPr>
      </w:pPr>
      <w:r>
        <w:br w:type="page"/>
      </w:r>
      <w:bookmarkStart w:id="99" w:name="_Toc348082037"/>
      <w:bookmarkStart w:id="100" w:name="_Toc204947277"/>
      <w:r>
        <w:rPr>
          <w:rFonts w:ascii="宋体" w:eastAsia="宋体" w:hAnsi="宋体" w:hint="eastAsia"/>
          <w:sz w:val="21"/>
          <w:szCs w:val="21"/>
        </w:rPr>
        <w:lastRenderedPageBreak/>
        <w:t>九、基金收益分配</w:t>
      </w:r>
      <w:bookmarkEnd w:id="99"/>
      <w:bookmarkEnd w:id="100"/>
    </w:p>
    <w:p w14:paraId="605418A8" w14:textId="77777777" w:rsidR="000F2133" w:rsidRDefault="00D82757">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基金管理人与基金托管人按照《基金合同》的约定处理基金收益分配。</w:t>
      </w:r>
    </w:p>
    <w:p w14:paraId="1542DDBE" w14:textId="77777777" w:rsidR="000F2133" w:rsidRDefault="000F2133">
      <w:pPr>
        <w:adjustRightInd w:val="0"/>
        <w:snapToGrid w:val="0"/>
        <w:spacing w:line="360" w:lineRule="auto"/>
        <w:rPr>
          <w:rFonts w:ascii="宋体" w:hAnsi="宋体" w:cs="Arial"/>
          <w:szCs w:val="21"/>
        </w:rPr>
      </w:pPr>
    </w:p>
    <w:p w14:paraId="41418D67"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1" w:name="_Toc204947278"/>
      <w:bookmarkStart w:id="102" w:name="_Toc348082038"/>
      <w:r>
        <w:rPr>
          <w:rFonts w:ascii="宋体" w:eastAsia="宋体" w:hAnsi="宋体" w:hint="eastAsia"/>
          <w:sz w:val="21"/>
          <w:szCs w:val="21"/>
        </w:rPr>
        <w:lastRenderedPageBreak/>
        <w:t>十、基金信息披露</w:t>
      </w:r>
      <w:bookmarkEnd w:id="101"/>
      <w:bookmarkEnd w:id="102"/>
    </w:p>
    <w:p w14:paraId="0ADA77EC"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（一）保密义务</w:t>
      </w:r>
    </w:p>
    <w:p w14:paraId="7A37417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应按法律法规、基金合同的有关规定进行信息披露，拟公开披露的信息在公开披露之前应予保密。除按《基金法》、基金合同、《运作办法》、《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34D877C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1.非因基金管理人和基金托管人的原因导致保密信息被披露、泄露或公开；</w:t>
      </w:r>
    </w:p>
    <w:p w14:paraId="4B8D66FC"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2.基金管理人和基金托管人为遵守和服从法院判决或裁定、仲裁裁决或中国证监会等监管机构的命令、决定所做出的信息披露或公开</w:t>
      </w:r>
      <w:r>
        <w:rPr>
          <w:rFonts w:ascii="宋体" w:hAnsi="宋体" w:cs="Arial"/>
          <w:szCs w:val="21"/>
        </w:rPr>
        <w:t>；</w:t>
      </w:r>
    </w:p>
    <w:p w14:paraId="6F781AF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3.因审计、法律等外部专业顾问提供服务需要提供的情况。</w:t>
      </w:r>
    </w:p>
    <w:p w14:paraId="6DAFFB8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（二）信息披露的内容</w:t>
      </w:r>
    </w:p>
    <w:p w14:paraId="13515D10" w14:textId="15737DFF"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股指期货的交易情况、国债期货的交易情况、股票期权的投资情况、资产支持证券的投资情况、港股通标的股票的投资情况、信用衍生品的投资情况、参与融资业务的情况、实施</w:t>
      </w:r>
      <w:proofErr w:type="gramStart"/>
      <w:r>
        <w:rPr>
          <w:rFonts w:ascii="宋体" w:hAnsi="宋体" w:cs="Arial" w:hint="eastAsia"/>
          <w:szCs w:val="21"/>
        </w:rPr>
        <w:t>侧袋机制</w:t>
      </w:r>
      <w:proofErr w:type="gramEnd"/>
      <w:r>
        <w:rPr>
          <w:rFonts w:ascii="宋体" w:hAnsi="宋体" w:cs="Arial" w:hint="eastAsia"/>
          <w:szCs w:val="21"/>
        </w:rPr>
        <w:t>期间的信息披露、中国证监会规定的其他信息。基金年度报告中的财务会计报告需</w:t>
      </w:r>
      <w:proofErr w:type="gramStart"/>
      <w:r>
        <w:rPr>
          <w:rFonts w:ascii="宋体" w:hAnsi="宋体" w:cs="Arial" w:hint="eastAsia"/>
          <w:szCs w:val="21"/>
        </w:rPr>
        <w:t>经符合</w:t>
      </w:r>
      <w:proofErr w:type="gramEnd"/>
      <w:r>
        <w:rPr>
          <w:rFonts w:ascii="宋体" w:hAnsi="宋体" w:cs="Arial" w:hint="eastAsia"/>
          <w:szCs w:val="21"/>
        </w:rPr>
        <w:t>《中华人民共和国证券法》规定的会计师事务所审计后，方可披露。</w:t>
      </w:r>
    </w:p>
    <w:p w14:paraId="27F2BF4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（三）基金托管人和基金管理人在信息披露中的职责和信息披露程序</w:t>
      </w:r>
    </w:p>
    <w:p w14:paraId="26A16B7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1.职责</w:t>
      </w:r>
    </w:p>
    <w:p w14:paraId="19A4E8E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6686FD77" w14:textId="5B7986AE"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基金管理人和基金托管人应积极配合、互相监督，保证其履行按照法定方式和时</w:t>
      </w:r>
      <w:r w:rsidR="00462B35">
        <w:rPr>
          <w:rFonts w:ascii="宋体" w:hAnsi="宋体" w:cs="Arial" w:hint="eastAsia"/>
          <w:szCs w:val="21"/>
        </w:rPr>
        <w:t>限</w:t>
      </w:r>
      <w:r>
        <w:rPr>
          <w:rFonts w:ascii="宋体" w:hAnsi="宋体" w:cs="Arial" w:hint="eastAsia"/>
          <w:szCs w:val="21"/>
        </w:rPr>
        <w:t>披露的义务。</w:t>
      </w:r>
    </w:p>
    <w:p w14:paraId="63B6B67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中国证监会规定的时间内，将应予披露的基金信息通过符合中国证监会规定条件的全国性报刊及《信息披露办法》规定的互联网网站披露。根据法律法规应由基金托管人公开披露的信息，基金托管人在规定媒介公开披露。</w:t>
      </w:r>
    </w:p>
    <w:p w14:paraId="7383C7B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当出现下述情况时，基金管理人和基金托管人可暂停或延迟披露基金相关信息：</w:t>
      </w:r>
    </w:p>
    <w:p w14:paraId="21912C9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（1）发生暂停估值的情形；</w:t>
      </w:r>
    </w:p>
    <w:p w14:paraId="5969765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（2）不可抗力；</w:t>
      </w:r>
    </w:p>
    <w:p w14:paraId="3DEE231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（3）法律法规、中国证监会或基金合同规定的其他情形。</w:t>
      </w:r>
    </w:p>
    <w:p w14:paraId="73C47B9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2.程序</w:t>
      </w:r>
    </w:p>
    <w:p w14:paraId="53C590E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5D554B0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3.信息文本的存放</w:t>
      </w:r>
    </w:p>
    <w:p w14:paraId="2C2C4C92" w14:textId="77777777" w:rsidR="000F2133" w:rsidRDefault="00D82757">
      <w:pPr>
        <w:pStyle w:val="a0"/>
        <w:adjustRightInd w:val="0"/>
        <w:snapToGrid w:val="0"/>
        <w:spacing w:line="360" w:lineRule="auto"/>
        <w:rPr>
          <w:rFonts w:ascii="宋体" w:hAnsi="宋体" w:cs="Arial"/>
          <w:szCs w:val="21"/>
        </w:rPr>
      </w:pPr>
      <w:r>
        <w:rPr>
          <w:rFonts w:ascii="宋体" w:hAnsi="宋体" w:cs="Arial" w:hint="eastAsia"/>
          <w:szCs w:val="21"/>
        </w:rPr>
        <w:t>依法必须披露的信息发布后，基金管理人、基金托管人应当按照相关法律法规规定将信息置备于各自住所，供社会公众查阅、复制。投资者可以免费查阅。在支付工本费后可在合理时间获得上述文件的复制件或复印件。基金管理人和基金托管人应保证文本的内容与所公告的内容完全一致。</w:t>
      </w:r>
    </w:p>
    <w:p w14:paraId="0D4A79B8" w14:textId="77777777" w:rsidR="000F2133" w:rsidRDefault="000F2133">
      <w:pPr>
        <w:pStyle w:val="a0"/>
        <w:adjustRightInd w:val="0"/>
        <w:snapToGrid w:val="0"/>
        <w:spacing w:line="360" w:lineRule="auto"/>
        <w:rPr>
          <w:rFonts w:ascii="宋体" w:hAnsi="宋体" w:cs="Arial"/>
          <w:szCs w:val="21"/>
        </w:rPr>
      </w:pPr>
    </w:p>
    <w:p w14:paraId="3A824EA3" w14:textId="77777777" w:rsidR="000F2133" w:rsidRDefault="000F2133">
      <w:pPr>
        <w:pStyle w:val="a0"/>
        <w:spacing w:line="360" w:lineRule="auto"/>
        <w:ind w:firstLineChars="0" w:firstLine="0"/>
        <w:rPr>
          <w:rFonts w:ascii="宋体" w:hAnsi="宋体" w:cs="Arial"/>
          <w:szCs w:val="21"/>
        </w:rPr>
      </w:pPr>
    </w:p>
    <w:p w14:paraId="340F95A3"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3" w:name="_Toc348082039"/>
      <w:bookmarkStart w:id="104" w:name="_Toc204947279"/>
      <w:r>
        <w:rPr>
          <w:rFonts w:ascii="宋体" w:eastAsia="宋体" w:hAnsi="宋体" w:hint="eastAsia"/>
          <w:sz w:val="21"/>
          <w:szCs w:val="21"/>
        </w:rPr>
        <w:lastRenderedPageBreak/>
        <w:t>十一、基金费用</w:t>
      </w:r>
      <w:bookmarkEnd w:id="103"/>
      <w:bookmarkEnd w:id="104"/>
    </w:p>
    <w:p w14:paraId="54EC608F" w14:textId="77777777" w:rsidR="000F2133" w:rsidRDefault="00D82757">
      <w:pPr>
        <w:adjustRightInd w:val="0"/>
        <w:snapToGrid w:val="0"/>
        <w:spacing w:line="360" w:lineRule="auto"/>
        <w:ind w:firstLineChars="200" w:firstLine="420"/>
        <w:rPr>
          <w:rFonts w:ascii="宋体" w:hAnsi="宋体"/>
          <w:szCs w:val="21"/>
        </w:rPr>
      </w:pPr>
      <w:r>
        <w:rPr>
          <w:rFonts w:hint="eastAsia"/>
          <w:szCs w:val="21"/>
        </w:rPr>
        <w:t>（</w:t>
      </w:r>
      <w:r>
        <w:rPr>
          <w:szCs w:val="21"/>
        </w:rPr>
        <w:t>一）</w:t>
      </w:r>
      <w:r>
        <w:rPr>
          <w:rFonts w:ascii="宋体" w:hAnsi="宋体" w:hint="eastAsia"/>
          <w:szCs w:val="21"/>
        </w:rPr>
        <w:t>基金托管费的计提方法、计提标准和支付方式如下：</w:t>
      </w:r>
    </w:p>
    <w:p w14:paraId="55042E33" w14:textId="77777777" w:rsidR="000F2133" w:rsidRDefault="00D82757">
      <w:pPr>
        <w:adjustRightInd w:val="0"/>
        <w:snapToGrid w:val="0"/>
        <w:spacing w:line="360" w:lineRule="auto"/>
        <w:ind w:leftChars="270" w:left="567" w:firstLineChars="200" w:firstLine="420"/>
        <w:rPr>
          <w:rFonts w:ascii="宋体" w:hAnsi="宋体"/>
        </w:rPr>
      </w:pPr>
      <w:r>
        <w:rPr>
          <w:rFonts w:ascii="宋体" w:hAnsi="宋体" w:hint="eastAsia"/>
        </w:rPr>
        <w:t>本基金的托管费按前一日基金资产净值的0.</w:t>
      </w:r>
      <w:r>
        <w:rPr>
          <w:rFonts w:ascii="宋体" w:hAnsi="宋体"/>
        </w:rPr>
        <w:t>20</w:t>
      </w:r>
      <w:r>
        <w:rPr>
          <w:rFonts w:ascii="宋体" w:hAnsi="宋体" w:hint="eastAsia"/>
        </w:rPr>
        <w:t>%年费率计提。托管费的计算方法如下：</w:t>
      </w:r>
    </w:p>
    <w:p w14:paraId="1C6D3292" w14:textId="77777777" w:rsidR="000F2133" w:rsidRDefault="00D82757">
      <w:pPr>
        <w:adjustRightInd w:val="0"/>
        <w:snapToGrid w:val="0"/>
        <w:spacing w:line="360" w:lineRule="auto"/>
        <w:ind w:leftChars="270" w:left="567" w:firstLineChars="200" w:firstLine="420"/>
        <w:rPr>
          <w:rFonts w:ascii="宋体" w:hAnsi="宋体"/>
        </w:rPr>
      </w:pPr>
      <w:r>
        <w:rPr>
          <w:rFonts w:ascii="宋体" w:hAnsi="宋体" w:hint="eastAsia"/>
        </w:rPr>
        <w:t>H＝E×0.</w:t>
      </w:r>
      <w:r>
        <w:rPr>
          <w:rFonts w:ascii="宋体" w:hAnsi="宋体"/>
        </w:rPr>
        <w:t>20</w:t>
      </w:r>
      <w:r>
        <w:rPr>
          <w:rFonts w:ascii="宋体" w:hAnsi="宋体" w:hint="eastAsia"/>
        </w:rPr>
        <w:t>%÷当年天数</w:t>
      </w:r>
    </w:p>
    <w:p w14:paraId="2439CEED" w14:textId="77777777" w:rsidR="000F2133" w:rsidRDefault="00D82757">
      <w:pPr>
        <w:adjustRightInd w:val="0"/>
        <w:snapToGrid w:val="0"/>
        <w:spacing w:line="360" w:lineRule="auto"/>
        <w:ind w:leftChars="270" w:left="567" w:firstLineChars="200" w:firstLine="420"/>
        <w:rPr>
          <w:rFonts w:ascii="宋体" w:hAnsi="宋体"/>
        </w:rPr>
      </w:pPr>
      <w:r>
        <w:rPr>
          <w:rFonts w:ascii="宋体" w:hAnsi="宋体" w:hint="eastAsia"/>
        </w:rPr>
        <w:t>H为每日应计提的基金托管费</w:t>
      </w:r>
    </w:p>
    <w:p w14:paraId="58C4234D" w14:textId="77777777" w:rsidR="000F2133" w:rsidRDefault="00D82757">
      <w:pPr>
        <w:adjustRightInd w:val="0"/>
        <w:snapToGrid w:val="0"/>
        <w:spacing w:line="360" w:lineRule="auto"/>
        <w:ind w:leftChars="270" w:left="567" w:firstLineChars="200" w:firstLine="420"/>
        <w:rPr>
          <w:rFonts w:ascii="宋体" w:hAnsi="宋体"/>
        </w:rPr>
      </w:pPr>
      <w:r>
        <w:rPr>
          <w:rFonts w:ascii="宋体" w:hAnsi="宋体" w:hint="eastAsia"/>
        </w:rPr>
        <w:t>E为前一日的基金资产净值</w:t>
      </w:r>
    </w:p>
    <w:p w14:paraId="70AE4E92" w14:textId="31D1ABF5" w:rsidR="000F2133" w:rsidRDefault="00CE1171">
      <w:pPr>
        <w:adjustRightInd w:val="0"/>
        <w:snapToGrid w:val="0"/>
        <w:spacing w:line="360" w:lineRule="auto"/>
        <w:ind w:firstLineChars="200" w:firstLine="420"/>
        <w:rPr>
          <w:rFonts w:ascii="宋体" w:hAnsi="宋体"/>
        </w:rPr>
      </w:pPr>
      <w:r w:rsidRPr="00CE1171">
        <w:rPr>
          <w:rFonts w:ascii="宋体" w:hAnsi="宋体" w:hint="eastAsia"/>
        </w:rPr>
        <w:t>基金托管费每日计提，逐日累计至每月月末，按月支付，经基金管理人与基金托管人双方核对无误后，基金托管人按照与基金管理人协商一致的方式于次月前5个工作日内从基金财产中一次性支取。若遇法定节假日、休息日或不可抗力等致使无法按时支付的，顺延至最近可支付日支付</w:t>
      </w:r>
      <w:r w:rsidR="00D82757">
        <w:rPr>
          <w:rFonts w:ascii="宋体" w:hAnsi="宋体" w:hint="eastAsia"/>
        </w:rPr>
        <w:t>。</w:t>
      </w:r>
      <w:bookmarkStart w:id="105" w:name="CTS_608c7338e08f4004a54213593452c4e8"/>
      <w:bookmarkEnd w:id="105"/>
    </w:p>
    <w:p w14:paraId="29184173" w14:textId="77777777" w:rsidR="000F2133" w:rsidRDefault="00D82757">
      <w:pPr>
        <w:adjustRightInd w:val="0"/>
        <w:snapToGrid w:val="0"/>
        <w:spacing w:line="360" w:lineRule="auto"/>
        <w:ind w:firstLineChars="200" w:firstLine="420"/>
        <w:rPr>
          <w:rFonts w:ascii="宋体" w:hAnsi="宋体"/>
          <w:color w:val="000000"/>
          <w:szCs w:val="21"/>
        </w:rPr>
      </w:pPr>
      <w:r>
        <w:rPr>
          <w:rFonts w:hint="eastAsia"/>
          <w:szCs w:val="21"/>
        </w:rPr>
        <w:t>（</w:t>
      </w:r>
      <w:r>
        <w:rPr>
          <w:szCs w:val="21"/>
        </w:rPr>
        <w:t>二）</w:t>
      </w:r>
      <w:r>
        <w:rPr>
          <w:rFonts w:hint="eastAsia"/>
          <w:szCs w:val="21"/>
        </w:rPr>
        <w:t>基</w:t>
      </w:r>
      <w:r>
        <w:rPr>
          <w:rFonts w:hAnsi="宋体" w:hint="eastAsia"/>
          <w:szCs w:val="21"/>
        </w:rPr>
        <w:t>金其他费用按照《基金合同》的约定计提和支付</w:t>
      </w:r>
      <w:r>
        <w:rPr>
          <w:rFonts w:ascii="宋体" w:hAnsi="宋体" w:hint="eastAsia"/>
          <w:color w:val="000000"/>
          <w:szCs w:val="21"/>
        </w:rPr>
        <w:t>。</w:t>
      </w:r>
    </w:p>
    <w:p w14:paraId="229393F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r>
        <w:rPr>
          <w:rFonts w:ascii="宋体" w:hAnsi="宋体" w:cs="Arial"/>
          <w:szCs w:val="21"/>
        </w:rPr>
        <w:cr/>
      </w:r>
    </w:p>
    <w:p w14:paraId="12A07DF8" w14:textId="77777777" w:rsidR="000F2133" w:rsidRDefault="00D82757">
      <w:pPr>
        <w:pStyle w:val="2"/>
        <w:spacing w:beforeLines="100" w:before="312" w:afterLines="50" w:after="156" w:line="360" w:lineRule="auto"/>
        <w:ind w:firstLineChars="250" w:firstLine="527"/>
        <w:jc w:val="center"/>
        <w:rPr>
          <w:rFonts w:ascii="宋体" w:eastAsia="宋体" w:hAnsi="宋体"/>
          <w:sz w:val="21"/>
          <w:szCs w:val="21"/>
        </w:rPr>
      </w:pPr>
      <w:r>
        <w:rPr>
          <w:rFonts w:ascii="宋体" w:eastAsia="宋体" w:hAnsi="宋体"/>
          <w:sz w:val="21"/>
          <w:szCs w:val="21"/>
        </w:rPr>
        <w:br w:type="page"/>
      </w:r>
      <w:bookmarkStart w:id="106" w:name="_Toc348082040"/>
      <w:bookmarkStart w:id="107" w:name="_Toc204947280"/>
      <w:r>
        <w:rPr>
          <w:rFonts w:ascii="宋体" w:eastAsia="宋体" w:hAnsi="宋体" w:hint="eastAsia"/>
          <w:sz w:val="21"/>
          <w:szCs w:val="21"/>
        </w:rPr>
        <w:lastRenderedPageBreak/>
        <w:t>十二、基金份额持有人名册的保管</w:t>
      </w:r>
      <w:bookmarkEnd w:id="106"/>
      <w:bookmarkEnd w:id="107"/>
    </w:p>
    <w:p w14:paraId="320D43A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少于</w:t>
      </w:r>
      <w:r>
        <w:rPr>
          <w:rFonts w:ascii="宋体" w:hAnsi="宋体" w:cs="Arial"/>
          <w:szCs w:val="21"/>
        </w:rPr>
        <w:t>法律法规规定的最低期限</w:t>
      </w:r>
      <w:r>
        <w:rPr>
          <w:rFonts w:ascii="宋体" w:hAnsi="宋体" w:cs="Arial" w:hint="eastAsia"/>
          <w:szCs w:val="21"/>
        </w:rPr>
        <w:t>。如不能妥善保管，则按相关法律法规承担责任。</w:t>
      </w:r>
    </w:p>
    <w:p w14:paraId="41E905C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p>
    <w:p w14:paraId="238E9DC6" w14:textId="77777777" w:rsidR="000F2133" w:rsidRDefault="00D82757">
      <w:pPr>
        <w:pStyle w:val="2"/>
        <w:spacing w:beforeLines="100" w:before="312" w:afterLines="50" w:after="156" w:line="360" w:lineRule="auto"/>
        <w:ind w:firstLine="480"/>
        <w:jc w:val="center"/>
        <w:rPr>
          <w:sz w:val="21"/>
          <w:szCs w:val="21"/>
        </w:rPr>
      </w:pPr>
      <w:r>
        <w:rPr>
          <w:rFonts w:ascii="宋体" w:hAnsi="宋体"/>
          <w:b w:val="0"/>
          <w:sz w:val="21"/>
          <w:szCs w:val="21"/>
        </w:rPr>
        <w:br w:type="page"/>
      </w:r>
      <w:bookmarkStart w:id="108" w:name="_Toc348082041"/>
      <w:bookmarkStart w:id="109" w:name="_Toc204947281"/>
      <w:r>
        <w:rPr>
          <w:rFonts w:ascii="宋体" w:eastAsia="宋体" w:hAnsi="宋体" w:hint="eastAsia"/>
          <w:sz w:val="21"/>
          <w:szCs w:val="21"/>
        </w:rPr>
        <w:lastRenderedPageBreak/>
        <w:t>十三、基金有关文件档案的保存</w:t>
      </w:r>
      <w:bookmarkEnd w:id="108"/>
      <w:bookmarkEnd w:id="109"/>
    </w:p>
    <w:p w14:paraId="3147748C" w14:textId="77777777" w:rsidR="000F2133" w:rsidRDefault="00D8275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（一）档案保存</w:t>
      </w:r>
    </w:p>
    <w:p w14:paraId="1D4EDA8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宋体" w:hAnsi="宋体" w:cs="Arial"/>
          <w:szCs w:val="21"/>
        </w:rPr>
        <w:t>法律法规规定的最低期限。</w:t>
      </w:r>
    </w:p>
    <w:p w14:paraId="752150D1" w14:textId="77777777" w:rsidR="000F2133" w:rsidRDefault="00D8275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（二）合同档案的建立</w:t>
      </w:r>
    </w:p>
    <w:p w14:paraId="1A26467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1.除本协议另有约定外，基金管理人签署重大合同文本后，应及时将合同文本正本送达基金托管人处。</w:t>
      </w:r>
    </w:p>
    <w:p w14:paraId="496AAD88"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2.基金管理人应及时将与本基金账务处理、资金划拨等有关的合同、协议传真或通过双方认可的其他方式发送至基金托管人。</w:t>
      </w:r>
    </w:p>
    <w:p w14:paraId="1C9013E0" w14:textId="77777777" w:rsidR="000F2133" w:rsidRDefault="00D8275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（三）变更与协助</w:t>
      </w:r>
    </w:p>
    <w:p w14:paraId="5E572734" w14:textId="77777777" w:rsidR="000F2133" w:rsidRDefault="00D82757">
      <w:pPr>
        <w:adjustRightInd w:val="0"/>
        <w:snapToGrid w:val="0"/>
        <w:spacing w:line="360" w:lineRule="auto"/>
        <w:ind w:firstLineChars="200" w:firstLine="420"/>
        <w:rPr>
          <w:rFonts w:ascii="宋体" w:hAnsi="宋体"/>
          <w:b/>
          <w:bCs/>
          <w:szCs w:val="21"/>
        </w:rPr>
      </w:pPr>
      <w:proofErr w:type="gramStart"/>
      <w:r>
        <w:rPr>
          <w:rFonts w:ascii="宋体" w:hAnsi="宋体" w:cs="Arial" w:hint="eastAsia"/>
          <w:szCs w:val="21"/>
        </w:rPr>
        <w:t>若基金</w:t>
      </w:r>
      <w:proofErr w:type="gramEnd"/>
      <w:r>
        <w:rPr>
          <w:rFonts w:ascii="宋体" w:hAnsi="宋体" w:cs="Arial" w:hint="eastAsia"/>
          <w:szCs w:val="21"/>
        </w:rPr>
        <w:t>管理人/基金托管人发生变更，未变更的一方有义务协助变更后的接任人接收相应文件。</w:t>
      </w:r>
    </w:p>
    <w:p w14:paraId="5087E3E2" w14:textId="77777777" w:rsidR="000F2133" w:rsidRDefault="00D82757">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（四）基金管理人和基金托管人应按各自职责完整保存原始凭证、记账凭证、基金账册、交易记录和重要合同等，承担保密义务并保存，保存期限不低于法律法规规定的最低期限。</w:t>
      </w:r>
    </w:p>
    <w:p w14:paraId="083E47D2" w14:textId="77777777" w:rsidR="000F2133" w:rsidRDefault="000F2133">
      <w:pPr>
        <w:adjustRightInd w:val="0"/>
        <w:snapToGrid w:val="0"/>
        <w:spacing w:line="360" w:lineRule="auto"/>
        <w:rPr>
          <w:rFonts w:ascii="宋体" w:hAnsi="宋体"/>
          <w:szCs w:val="21"/>
        </w:rPr>
      </w:pPr>
    </w:p>
    <w:p w14:paraId="5855FA49"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0" w:name="_Toc348082042"/>
      <w:bookmarkStart w:id="111" w:name="_Toc204947282"/>
      <w:r>
        <w:rPr>
          <w:rFonts w:ascii="宋体" w:eastAsia="宋体" w:hAnsi="宋体" w:hint="eastAsia"/>
          <w:sz w:val="21"/>
          <w:szCs w:val="21"/>
        </w:rPr>
        <w:lastRenderedPageBreak/>
        <w:t>十四、基金管理人和基金托管人的更换</w:t>
      </w:r>
      <w:bookmarkEnd w:id="110"/>
      <w:bookmarkEnd w:id="111"/>
    </w:p>
    <w:p w14:paraId="756FA8CB" w14:textId="77777777" w:rsidR="000F2133" w:rsidRDefault="00D82757">
      <w:pPr>
        <w:spacing w:line="360" w:lineRule="auto"/>
        <w:ind w:firstLine="420"/>
        <w:rPr>
          <w:rFonts w:ascii="宋体" w:hAnsi="宋体"/>
          <w:kern w:val="0"/>
          <w:szCs w:val="21"/>
        </w:rPr>
      </w:pPr>
      <w:r>
        <w:rPr>
          <w:rFonts w:ascii="宋体" w:hAnsi="宋体" w:hint="eastAsia"/>
          <w:szCs w:val="21"/>
        </w:rPr>
        <w:t>（一）</w:t>
      </w:r>
      <w:r>
        <w:rPr>
          <w:rFonts w:ascii="宋体" w:hAnsi="宋体"/>
          <w:kern w:val="0"/>
          <w:szCs w:val="21"/>
        </w:rPr>
        <w:t>基金管理人职责终止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应妥善保管基金管理业务资料，</w:t>
      </w:r>
      <w:r>
        <w:rPr>
          <w:rFonts w:ascii="宋体" w:hAnsi="宋体" w:cs="Arial" w:hint="eastAsia"/>
          <w:szCs w:val="21"/>
        </w:rPr>
        <w:t>保证不做出对基金份额持有人的利益造成损害的行为，</w:t>
      </w:r>
      <w:r>
        <w:rPr>
          <w:rFonts w:ascii="宋体" w:hAnsi="宋体" w:hint="eastAsia"/>
          <w:kern w:val="0"/>
          <w:szCs w:val="21"/>
        </w:rPr>
        <w:t>并与</w:t>
      </w:r>
      <w:proofErr w:type="gramStart"/>
      <w:r>
        <w:rPr>
          <w:rFonts w:ascii="宋体" w:hAnsi="宋体" w:hint="eastAsia"/>
          <w:kern w:val="0"/>
          <w:szCs w:val="21"/>
        </w:rPr>
        <w:t>新任基金</w:t>
      </w:r>
      <w:proofErr w:type="gramEnd"/>
      <w:r>
        <w:rPr>
          <w:rFonts w:ascii="宋体" w:hAnsi="宋体" w:hint="eastAsia"/>
          <w:kern w:val="0"/>
          <w:szCs w:val="21"/>
        </w:rPr>
        <w:t>管理人或临时基金管理人</w:t>
      </w:r>
      <w:r>
        <w:rPr>
          <w:rFonts w:ascii="宋体" w:hAnsi="宋体"/>
          <w:kern w:val="0"/>
          <w:szCs w:val="21"/>
        </w:rPr>
        <w:t>及时办理基金管理业务的移交手续。</w:t>
      </w:r>
      <w:r>
        <w:rPr>
          <w:rFonts w:ascii="宋体" w:hAnsi="宋体" w:hint="eastAsia"/>
          <w:kern w:val="0"/>
          <w:szCs w:val="21"/>
        </w:rPr>
        <w:t>基金托管人应给予积极配合，并与</w:t>
      </w:r>
      <w:proofErr w:type="gramStart"/>
      <w:r>
        <w:rPr>
          <w:rFonts w:ascii="宋体" w:hAnsi="宋体" w:hint="eastAsia"/>
          <w:kern w:val="0"/>
          <w:szCs w:val="21"/>
        </w:rPr>
        <w:t>新任基金</w:t>
      </w:r>
      <w:proofErr w:type="gramEnd"/>
      <w:r>
        <w:rPr>
          <w:rFonts w:ascii="宋体" w:hAnsi="宋体" w:hint="eastAsia"/>
          <w:kern w:val="0"/>
          <w:szCs w:val="21"/>
        </w:rPr>
        <w:t>管理人或临时基金管理人核对基金资产总值和基金资产净值。</w:t>
      </w:r>
    </w:p>
    <w:p w14:paraId="57AB71A0" w14:textId="77777777" w:rsidR="000F2133" w:rsidRDefault="00D82757">
      <w:pPr>
        <w:spacing w:line="360" w:lineRule="auto"/>
        <w:ind w:firstLine="420"/>
        <w:rPr>
          <w:rFonts w:ascii="宋体" w:hAnsi="宋体"/>
          <w:kern w:val="0"/>
          <w:szCs w:val="21"/>
        </w:rPr>
      </w:pPr>
      <w:r>
        <w:rPr>
          <w:rFonts w:ascii="宋体" w:hAnsi="宋体" w:hint="eastAsia"/>
          <w:szCs w:val="21"/>
        </w:rPr>
        <w:t>（二）</w:t>
      </w:r>
      <w:r>
        <w:rPr>
          <w:rFonts w:ascii="宋体" w:hAnsi="宋体"/>
          <w:kern w:val="0"/>
          <w:szCs w:val="21"/>
        </w:rPr>
        <w:t>基金托管人职责终止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应妥善保管基金财产和基金托管业务资料，</w:t>
      </w:r>
      <w:r>
        <w:rPr>
          <w:rFonts w:ascii="宋体" w:hAnsi="宋体" w:cs="Arial" w:hint="eastAsia"/>
          <w:szCs w:val="21"/>
        </w:rPr>
        <w:t>保证不做出对基金份额持有人的利益造成损害的行为，</w:t>
      </w:r>
      <w:r>
        <w:rPr>
          <w:rFonts w:ascii="宋体" w:hAnsi="宋体" w:hint="eastAsia"/>
          <w:kern w:val="0"/>
          <w:szCs w:val="21"/>
        </w:rPr>
        <w:t>并与</w:t>
      </w:r>
      <w:proofErr w:type="gramStart"/>
      <w:r>
        <w:rPr>
          <w:rFonts w:ascii="宋体" w:hAnsi="宋体" w:hint="eastAsia"/>
          <w:kern w:val="0"/>
          <w:szCs w:val="21"/>
        </w:rPr>
        <w:t>新任基金</w:t>
      </w:r>
      <w:proofErr w:type="gramEnd"/>
      <w:r>
        <w:rPr>
          <w:rFonts w:ascii="宋体" w:hAnsi="宋体" w:hint="eastAsia"/>
          <w:kern w:val="0"/>
          <w:szCs w:val="21"/>
        </w:rPr>
        <w:t>托管人或临时基金托管人</w:t>
      </w:r>
      <w:r>
        <w:rPr>
          <w:rFonts w:ascii="宋体" w:hAnsi="宋体"/>
          <w:kern w:val="0"/>
          <w:szCs w:val="21"/>
        </w:rPr>
        <w:t>及时办理基金财产和基金托管业务的移交手续。</w:t>
      </w:r>
      <w:r>
        <w:rPr>
          <w:rFonts w:ascii="宋体" w:hAnsi="宋体" w:hint="eastAsia"/>
          <w:kern w:val="0"/>
          <w:szCs w:val="21"/>
        </w:rPr>
        <w:t>基金管理人应给予积极配合，并与</w:t>
      </w:r>
      <w:proofErr w:type="gramStart"/>
      <w:r>
        <w:rPr>
          <w:rFonts w:ascii="宋体" w:hAnsi="宋体" w:hint="eastAsia"/>
          <w:kern w:val="0"/>
          <w:szCs w:val="21"/>
        </w:rPr>
        <w:t>新任基金</w:t>
      </w:r>
      <w:proofErr w:type="gramEnd"/>
      <w:r>
        <w:rPr>
          <w:rFonts w:ascii="宋体" w:hAnsi="宋体" w:hint="eastAsia"/>
          <w:kern w:val="0"/>
          <w:szCs w:val="21"/>
        </w:rPr>
        <w:t>托管人或临时基金托管人核对基金资产总值和基金资产净值。</w:t>
      </w:r>
    </w:p>
    <w:p w14:paraId="6732E6F5" w14:textId="77777777" w:rsidR="000F2133" w:rsidRDefault="00D82757">
      <w:pPr>
        <w:spacing w:line="360" w:lineRule="auto"/>
        <w:ind w:firstLine="420"/>
        <w:rPr>
          <w:rFonts w:ascii="宋体" w:hAnsi="宋体"/>
          <w:kern w:val="0"/>
          <w:szCs w:val="21"/>
        </w:rPr>
      </w:pPr>
      <w:r>
        <w:rPr>
          <w:rFonts w:ascii="宋体" w:hAnsi="宋体" w:hint="eastAsia"/>
          <w:kern w:val="0"/>
          <w:szCs w:val="21"/>
        </w:rPr>
        <w:t>（三）其他事宜</w:t>
      </w:r>
      <w:proofErr w:type="gramStart"/>
      <w:r>
        <w:rPr>
          <w:rFonts w:ascii="宋体" w:hAnsi="宋体" w:hint="eastAsia"/>
          <w:kern w:val="0"/>
          <w:szCs w:val="21"/>
        </w:rPr>
        <w:t>见基金</w:t>
      </w:r>
      <w:proofErr w:type="gramEnd"/>
      <w:r>
        <w:rPr>
          <w:rFonts w:ascii="宋体" w:hAnsi="宋体" w:hint="eastAsia"/>
          <w:kern w:val="0"/>
          <w:szCs w:val="21"/>
        </w:rPr>
        <w:t>合同的相关约定。</w:t>
      </w:r>
    </w:p>
    <w:p w14:paraId="26D32B0F" w14:textId="77777777" w:rsidR="000F2133" w:rsidRDefault="000F2133">
      <w:pPr>
        <w:adjustRightInd w:val="0"/>
        <w:snapToGrid w:val="0"/>
        <w:spacing w:line="360" w:lineRule="auto"/>
        <w:rPr>
          <w:rFonts w:ascii="宋体" w:hAnsi="宋体" w:cs="Arial"/>
          <w:szCs w:val="21"/>
        </w:rPr>
      </w:pPr>
    </w:p>
    <w:p w14:paraId="0E27A110"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2" w:name="_Toc204947283"/>
      <w:bookmarkStart w:id="113" w:name="_Toc348082043"/>
      <w:r>
        <w:rPr>
          <w:rFonts w:ascii="宋体" w:eastAsia="宋体" w:hAnsi="宋体" w:hint="eastAsia"/>
          <w:sz w:val="21"/>
          <w:szCs w:val="21"/>
        </w:rPr>
        <w:lastRenderedPageBreak/>
        <w:t>十五、禁止行为</w:t>
      </w:r>
      <w:bookmarkEnd w:id="112"/>
      <w:bookmarkEnd w:id="113"/>
    </w:p>
    <w:p w14:paraId="215AA8A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本协议当事人禁止从事的行为，包括但不限于：</w:t>
      </w:r>
    </w:p>
    <w:p w14:paraId="2E04A6DF" w14:textId="77777777" w:rsidR="000F2133" w:rsidRDefault="00D82757">
      <w:pPr>
        <w:spacing w:line="360" w:lineRule="auto"/>
        <w:ind w:firstLineChars="200" w:firstLine="420"/>
        <w:rPr>
          <w:rFonts w:ascii="宋体" w:hAnsi="宋体"/>
          <w:szCs w:val="21"/>
        </w:rPr>
      </w:pPr>
      <w:r>
        <w:rPr>
          <w:rFonts w:ascii="宋体" w:hAnsi="宋体" w:hint="eastAsia"/>
          <w:szCs w:val="21"/>
        </w:rPr>
        <w:t>（一）基金管理人、基金托管人将其固有财产或者他人财产混同于基金财产从事证券投资。</w:t>
      </w:r>
    </w:p>
    <w:p w14:paraId="03828631" w14:textId="77777777" w:rsidR="000F2133" w:rsidRDefault="00D82757">
      <w:pPr>
        <w:spacing w:line="360" w:lineRule="auto"/>
        <w:ind w:firstLineChars="200" w:firstLine="420"/>
        <w:rPr>
          <w:rFonts w:ascii="宋体" w:hAnsi="宋体"/>
          <w:szCs w:val="21"/>
        </w:rPr>
      </w:pPr>
      <w:r>
        <w:rPr>
          <w:rFonts w:ascii="宋体" w:hAnsi="宋体" w:hint="eastAsia"/>
          <w:szCs w:val="21"/>
        </w:rPr>
        <w:t>（二）基金管理人不公平地对待其管理的不同基金财产，基金托管人不公平地对待其托管的不同基金财产。</w:t>
      </w:r>
    </w:p>
    <w:p w14:paraId="4162BCB9" w14:textId="77777777" w:rsidR="000F2133" w:rsidRDefault="00D82757">
      <w:pPr>
        <w:spacing w:line="360" w:lineRule="auto"/>
        <w:ind w:firstLineChars="200" w:firstLine="420"/>
        <w:rPr>
          <w:rFonts w:ascii="宋体" w:hAnsi="宋体"/>
          <w:szCs w:val="21"/>
        </w:rPr>
      </w:pPr>
      <w:r>
        <w:rPr>
          <w:rFonts w:ascii="宋体" w:hAnsi="宋体" w:hint="eastAsia"/>
          <w:szCs w:val="21"/>
        </w:rPr>
        <w:t>（三）基金管理人、基金托管人利用基金财产或者职务之便为基金份额持有人以外的第三人牟取利益。</w:t>
      </w:r>
    </w:p>
    <w:p w14:paraId="03EEE485" w14:textId="77777777" w:rsidR="000F2133" w:rsidRDefault="00D82757">
      <w:pPr>
        <w:spacing w:line="360" w:lineRule="auto"/>
        <w:ind w:firstLineChars="200" w:firstLine="420"/>
        <w:rPr>
          <w:rFonts w:ascii="宋体" w:hAnsi="宋体"/>
          <w:szCs w:val="21"/>
        </w:rPr>
      </w:pPr>
      <w:r>
        <w:rPr>
          <w:rFonts w:ascii="宋体" w:hAnsi="宋体" w:hint="eastAsia"/>
          <w:szCs w:val="21"/>
        </w:rPr>
        <w:t>（四）基金管理人、基金托管人向基金份额持有人违规承诺收益或者承担损失。</w:t>
      </w:r>
    </w:p>
    <w:p w14:paraId="7EC1779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（五）基金管理人、基金托管人对他人泄露基金运作和管理过程中任何尚未按法律法规规定的方式公开披露的信息。</w:t>
      </w:r>
    </w:p>
    <w:p w14:paraId="5F15BB50" w14:textId="77777777" w:rsidR="000F2133" w:rsidRDefault="00D82757">
      <w:pPr>
        <w:pStyle w:val="a8"/>
        <w:spacing w:line="360" w:lineRule="auto"/>
        <w:ind w:firstLine="420"/>
        <w:rPr>
          <w:rFonts w:ascii="宋体" w:eastAsia="宋体" w:hAnsi="宋体" w:cs="Arial"/>
          <w:sz w:val="21"/>
          <w:szCs w:val="21"/>
        </w:rPr>
      </w:pPr>
      <w:r>
        <w:rPr>
          <w:rFonts w:ascii="宋体" w:eastAsia="宋体" w:hAnsi="宋体" w:cs="Arial" w:hint="eastAsia"/>
          <w:sz w:val="21"/>
          <w:szCs w:val="21"/>
        </w:rPr>
        <w:t>（六）基金管理人在没有充足资金的情况下向基金托管人发出投资指令和付款指令，或违规向基金托管人发出指令。</w:t>
      </w:r>
    </w:p>
    <w:p w14:paraId="5FBFD5C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（七）基金管理人、基金托管人在行政上、财务上不独立，其高级管理人员和其他从业人员相互兼职。</w:t>
      </w:r>
    </w:p>
    <w:p w14:paraId="5D79652C" w14:textId="77777777" w:rsidR="000F2133" w:rsidRDefault="00D82757">
      <w:pPr>
        <w:spacing w:line="360" w:lineRule="auto"/>
        <w:ind w:firstLineChars="200" w:firstLine="420"/>
        <w:rPr>
          <w:rFonts w:ascii="宋体" w:hAnsi="宋体" w:cs="Arial"/>
          <w:szCs w:val="21"/>
        </w:rPr>
      </w:pPr>
      <w:r>
        <w:rPr>
          <w:rFonts w:ascii="宋体" w:hAnsi="宋体" w:cs="Arial" w:hint="eastAsia"/>
          <w:szCs w:val="21"/>
        </w:rPr>
        <w:t>（八）基金托管人私自动用或处分基金财产，根据基金管理人的合法指令、基金合同或托管协议的规定进行处分的除外。</w:t>
      </w:r>
    </w:p>
    <w:p w14:paraId="152B2B12" w14:textId="77777777" w:rsidR="000F2133" w:rsidRDefault="00D82757">
      <w:pPr>
        <w:spacing w:line="360" w:lineRule="auto"/>
        <w:ind w:firstLineChars="200" w:firstLine="420"/>
        <w:rPr>
          <w:rFonts w:ascii="宋体" w:hAnsi="宋体"/>
          <w:szCs w:val="21"/>
        </w:rPr>
      </w:pPr>
      <w:r>
        <w:rPr>
          <w:rFonts w:ascii="宋体" w:hAnsi="宋体" w:cs="Arial" w:hint="eastAsia"/>
          <w:szCs w:val="21"/>
        </w:rPr>
        <w:t>（九）法律法规和基金合同禁止的其他行为，以及</w:t>
      </w:r>
      <w:r>
        <w:rPr>
          <w:rFonts w:ascii="宋体" w:hAnsi="宋体" w:hint="eastAsia"/>
          <w:szCs w:val="21"/>
        </w:rPr>
        <w:t>依照法律、行政法规有关规定，由</w:t>
      </w:r>
      <w:r>
        <w:rPr>
          <w:rFonts w:ascii="宋体" w:hAnsi="宋体" w:cs="Arial" w:hint="eastAsia"/>
          <w:szCs w:val="21"/>
        </w:rPr>
        <w:t>中国证监会</w:t>
      </w:r>
      <w:r>
        <w:rPr>
          <w:rFonts w:ascii="宋体" w:hAnsi="宋体" w:hint="eastAsia"/>
          <w:szCs w:val="21"/>
        </w:rPr>
        <w:t>规定禁止基金管理人、基金托管人从事的其他行为。</w:t>
      </w:r>
    </w:p>
    <w:p w14:paraId="293926B7" w14:textId="77777777" w:rsidR="000F2133" w:rsidRDefault="00D82757">
      <w:pPr>
        <w:spacing w:line="360" w:lineRule="auto"/>
        <w:ind w:firstLineChars="200" w:firstLine="420"/>
        <w:rPr>
          <w:rFonts w:ascii="宋体" w:hAnsi="宋体"/>
          <w:szCs w:val="21"/>
        </w:rPr>
      </w:pPr>
      <w:r>
        <w:rPr>
          <w:rFonts w:ascii="宋体" w:hAnsi="宋体" w:hint="eastAsia"/>
          <w:szCs w:val="21"/>
        </w:rPr>
        <w:t>法律、行政法规或监管部门取消或调整上述限制，如适用于本基金，基金管理人在履行适当程序后，则本基金投资按照取消或调整后的规定执行。</w:t>
      </w:r>
    </w:p>
    <w:p w14:paraId="341FFC19"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hAnsi="宋体"/>
          <w:b w:val="0"/>
          <w:sz w:val="21"/>
          <w:szCs w:val="21"/>
        </w:rPr>
        <w:br w:type="page"/>
      </w:r>
      <w:bookmarkStart w:id="114" w:name="_Toc204947284"/>
      <w:bookmarkStart w:id="115" w:name="_Toc348082044"/>
      <w:r>
        <w:rPr>
          <w:rFonts w:ascii="宋体" w:eastAsia="宋体" w:hAnsi="宋体" w:hint="eastAsia"/>
          <w:sz w:val="21"/>
          <w:szCs w:val="21"/>
        </w:rPr>
        <w:lastRenderedPageBreak/>
        <w:t>十六、托管协议的变更、终止与基金财产的清算</w:t>
      </w:r>
      <w:bookmarkEnd w:id="114"/>
      <w:bookmarkEnd w:id="115"/>
    </w:p>
    <w:p w14:paraId="4A172B84"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（一）托管协议的变更程序</w:t>
      </w:r>
    </w:p>
    <w:p w14:paraId="75ED3806" w14:textId="77777777" w:rsidR="000F2133" w:rsidRDefault="00D82757">
      <w:pPr>
        <w:adjustRightInd w:val="0"/>
        <w:snapToGrid w:val="0"/>
        <w:spacing w:line="360" w:lineRule="auto"/>
        <w:ind w:firstLineChars="200" w:firstLine="420"/>
        <w:rPr>
          <w:rFonts w:ascii="宋体" w:hAnsi="宋体"/>
          <w:szCs w:val="21"/>
        </w:rPr>
      </w:pPr>
      <w:r>
        <w:rPr>
          <w:rFonts w:ascii="宋体" w:hAnsi="宋体" w:cs="Arial" w:hint="eastAsia"/>
          <w:szCs w:val="21"/>
        </w:rPr>
        <w:t>本协议双方当事人经协商一致，可以对协议进行修改。修改后的新协议，其内容不得与基金合同的规定有任何冲突。</w:t>
      </w:r>
    </w:p>
    <w:p w14:paraId="288B2C8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（二）基金托管协议终止的情形</w:t>
      </w:r>
    </w:p>
    <w:p w14:paraId="7E38E620"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1.《基金合同》终止；</w:t>
      </w:r>
    </w:p>
    <w:p w14:paraId="67E14FB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2.基金托管人因解散、破产、撤销等事由，不能继续担任基金托管人的职务，而在6个月内无其他适当的托管机构承接其原有权利义务；</w:t>
      </w:r>
    </w:p>
    <w:p w14:paraId="49BBDD25"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3.基金管理人因解散、破产、撤销等事由，不能继续担任基金管理人的职务，而在6个月内无其他适当的基金管理公司承接其原有权利义务；</w:t>
      </w:r>
    </w:p>
    <w:p w14:paraId="471FC116"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4.发生法律法规、中国证监会或《基金合同》规定的其他终止事项。</w:t>
      </w:r>
    </w:p>
    <w:p w14:paraId="283F515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（三）基金财产的清算</w:t>
      </w:r>
    </w:p>
    <w:p w14:paraId="20215DF7" w14:textId="77777777" w:rsidR="000F2133" w:rsidRDefault="00D82757">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基金管理人与基金托管人按照《基金合同》的约定处理基金财产的清算。</w:t>
      </w:r>
    </w:p>
    <w:p w14:paraId="3B1E85E7" w14:textId="77777777" w:rsidR="000F2133" w:rsidRDefault="000F2133">
      <w:pPr>
        <w:adjustRightInd w:val="0"/>
        <w:snapToGrid w:val="0"/>
        <w:spacing w:line="360" w:lineRule="auto"/>
        <w:rPr>
          <w:rFonts w:ascii="宋体" w:hAnsi="宋体" w:cs="Arial"/>
          <w:szCs w:val="21"/>
        </w:rPr>
      </w:pPr>
    </w:p>
    <w:p w14:paraId="1D03B919"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6" w:name="_Toc348082045"/>
      <w:bookmarkStart w:id="117" w:name="_Toc204947285"/>
      <w:r>
        <w:rPr>
          <w:rFonts w:ascii="宋体" w:eastAsia="宋体" w:hAnsi="宋体" w:hint="eastAsia"/>
          <w:sz w:val="21"/>
          <w:szCs w:val="21"/>
        </w:rPr>
        <w:lastRenderedPageBreak/>
        <w:t>十七、违约责任</w:t>
      </w:r>
      <w:bookmarkEnd w:id="116"/>
      <w:bookmarkEnd w:id="117"/>
    </w:p>
    <w:p w14:paraId="32E0C72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Pr>
          <w:rFonts w:ascii="宋体" w:hAnsi="宋体" w:cs="Arial"/>
          <w:szCs w:val="21"/>
        </w:rPr>
        <w:t>基金管理人、基金托管人</w:t>
      </w:r>
      <w:r>
        <w:rPr>
          <w:rFonts w:ascii="宋体" w:hAnsi="宋体" w:cs="Arial" w:hint="eastAsia"/>
          <w:szCs w:val="21"/>
        </w:rPr>
        <w:t>不</w:t>
      </w:r>
      <w:r>
        <w:rPr>
          <w:rFonts w:ascii="宋体" w:hAnsi="宋体" w:cs="Arial"/>
          <w:szCs w:val="21"/>
        </w:rPr>
        <w:t>履行</w:t>
      </w:r>
      <w:r>
        <w:rPr>
          <w:rFonts w:ascii="宋体" w:hAnsi="宋体" w:cs="Arial" w:hint="eastAsia"/>
          <w:szCs w:val="21"/>
        </w:rPr>
        <w:t>本协议或履行本协议不符合约定的，应当承担违约责任。</w:t>
      </w:r>
    </w:p>
    <w:p w14:paraId="7445F40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Pr>
          <w:rFonts w:ascii="宋体" w:hAnsi="宋体" w:cs="Arial"/>
          <w:szCs w:val="21"/>
        </w:rPr>
        <w:t>基金管理人、基金托管人在履行各自职责的过程中，违反</w:t>
      </w:r>
      <w:r>
        <w:rPr>
          <w:rFonts w:ascii="宋体" w:hAnsi="宋体" w:cs="Arial" w:hint="eastAsia"/>
          <w:szCs w:val="21"/>
        </w:rPr>
        <w:t>《基金法》等法律法规的规定、《基金合同》和本托管协议</w:t>
      </w:r>
      <w:r>
        <w:rPr>
          <w:rFonts w:ascii="宋体" w:hAnsi="宋体" w:cs="Arial"/>
          <w:szCs w:val="21"/>
        </w:rPr>
        <w:t>约定，给基金财产或者基金份额持有人造成损害的，应当分别对各自的行为依法承担赔偿责任；因共同行为给基金财产或者基金份额持有人造成损害的，应当</w:t>
      </w:r>
      <w:r>
        <w:rPr>
          <w:rFonts w:ascii="宋体" w:hAnsi="宋体" w:cs="Arial" w:hint="eastAsia"/>
          <w:szCs w:val="21"/>
        </w:rPr>
        <w:t>根据各自的过错程度对由此造成的直接损失分别承担相应的</w:t>
      </w:r>
      <w:r>
        <w:rPr>
          <w:rFonts w:ascii="宋体" w:hAnsi="宋体" w:cs="Arial"/>
          <w:szCs w:val="21"/>
        </w:rPr>
        <w:t>责任。</w:t>
      </w:r>
    </w:p>
    <w:p w14:paraId="3AB03D0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（三）一方当事人违约，给另一方当事人或基金财产造成损失的，应就直接损失进行赔偿，另一方当事人有权利及义务代表基金向违约方追偿。但是如发生下列情况，当事人免责：</w:t>
      </w:r>
    </w:p>
    <w:p w14:paraId="16216F0A"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1.基金管理人和/或基金托管人按照当时有效的法律法规或中国证监会的规定作为或不作为而造成的损失等；</w:t>
      </w:r>
    </w:p>
    <w:p w14:paraId="1BAD8909"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2.基金管理人由于按照《基金合同》规定的投资原则而行使或不行使其投资权而造成的损失等；</w:t>
      </w:r>
    </w:p>
    <w:p w14:paraId="14B3A699" w14:textId="2E8E5F00" w:rsidR="000F2133" w:rsidRDefault="000176C5">
      <w:pPr>
        <w:adjustRightInd w:val="0"/>
        <w:snapToGrid w:val="0"/>
        <w:spacing w:line="360" w:lineRule="auto"/>
        <w:ind w:firstLineChars="200" w:firstLine="420"/>
        <w:rPr>
          <w:rFonts w:ascii="宋体" w:hAnsi="宋体" w:cs="Arial"/>
          <w:szCs w:val="21"/>
        </w:rPr>
      </w:pPr>
      <w:r>
        <w:rPr>
          <w:rFonts w:ascii="宋体" w:hAnsi="宋体" w:cs="Arial"/>
          <w:szCs w:val="21"/>
        </w:rPr>
        <w:t>3</w:t>
      </w:r>
      <w:r w:rsidR="00D82757">
        <w:rPr>
          <w:rFonts w:ascii="宋体" w:hAnsi="宋体" w:cs="Arial" w:hint="eastAsia"/>
          <w:szCs w:val="21"/>
        </w:rPr>
        <w:t>.不可抗力。</w:t>
      </w:r>
    </w:p>
    <w:p w14:paraId="4B0AF20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7DF4DEF2"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roofErr w:type="gramStart"/>
      <w:r>
        <w:rPr>
          <w:rFonts w:ascii="宋体" w:hAnsi="宋体" w:cs="Arial" w:hint="eastAsia"/>
          <w:szCs w:val="21"/>
        </w:rPr>
        <w:t>若基金</w:t>
      </w:r>
      <w:proofErr w:type="gramEnd"/>
      <w:r>
        <w:rPr>
          <w:rFonts w:ascii="宋体" w:hAnsi="宋体" w:cs="Arial" w:hint="eastAsia"/>
          <w:szCs w:val="21"/>
        </w:rPr>
        <w:t>管理人或基金托管人因履行本协议而被起诉，另一方应提供合理的必要支持。</w:t>
      </w:r>
    </w:p>
    <w:p w14:paraId="3619DE4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或虽然发现但因前述原因而无法更正的，由此造成基金财产或投资人损失，基金管理人和基金托管人免除赔偿责任。但是基金管理人和基金托管人应积极采取必要的措施减轻或消除由此造成的影响。</w:t>
      </w:r>
    </w:p>
    <w:p w14:paraId="19712715" w14:textId="77777777" w:rsidR="000F2133" w:rsidRDefault="000F2133">
      <w:pPr>
        <w:adjustRightInd w:val="0"/>
        <w:snapToGrid w:val="0"/>
        <w:spacing w:line="360" w:lineRule="auto"/>
        <w:ind w:firstLineChars="200" w:firstLine="422"/>
        <w:rPr>
          <w:rFonts w:ascii="宋体" w:hAnsi="宋体"/>
          <w:b/>
          <w:szCs w:val="21"/>
        </w:rPr>
      </w:pPr>
    </w:p>
    <w:p w14:paraId="24F50994" w14:textId="77777777" w:rsidR="000F2133" w:rsidRDefault="000F2133">
      <w:pPr>
        <w:adjustRightInd w:val="0"/>
        <w:snapToGrid w:val="0"/>
        <w:spacing w:line="360" w:lineRule="auto"/>
        <w:ind w:firstLineChars="200" w:firstLine="420"/>
        <w:rPr>
          <w:rFonts w:ascii="宋体" w:hAnsi="宋体" w:cs="Arial"/>
          <w:szCs w:val="21"/>
        </w:rPr>
      </w:pPr>
    </w:p>
    <w:p w14:paraId="677D280A" w14:textId="77777777" w:rsidR="000F2133" w:rsidRDefault="000F2133">
      <w:pPr>
        <w:adjustRightInd w:val="0"/>
        <w:snapToGrid w:val="0"/>
        <w:spacing w:line="360" w:lineRule="auto"/>
        <w:ind w:firstLineChars="200" w:firstLine="420"/>
        <w:rPr>
          <w:rFonts w:ascii="宋体" w:hAnsi="宋体" w:cs="Arial"/>
          <w:szCs w:val="21"/>
        </w:rPr>
      </w:pPr>
    </w:p>
    <w:p w14:paraId="4775E717" w14:textId="77777777" w:rsidR="000F2133" w:rsidRDefault="000F2133">
      <w:pPr>
        <w:adjustRightInd w:val="0"/>
        <w:snapToGrid w:val="0"/>
        <w:spacing w:line="360" w:lineRule="auto"/>
        <w:ind w:firstLineChars="200" w:firstLine="420"/>
        <w:rPr>
          <w:rFonts w:ascii="宋体" w:hAnsi="宋体" w:cs="Arial"/>
          <w:szCs w:val="21"/>
        </w:rPr>
      </w:pPr>
    </w:p>
    <w:p w14:paraId="112F46EF" w14:textId="77777777" w:rsidR="000F2133" w:rsidRDefault="000F2133">
      <w:pPr>
        <w:adjustRightInd w:val="0"/>
        <w:snapToGrid w:val="0"/>
        <w:spacing w:line="360" w:lineRule="auto"/>
        <w:ind w:firstLineChars="200" w:firstLine="420"/>
        <w:rPr>
          <w:rFonts w:ascii="宋体" w:hAnsi="宋体" w:cs="Arial"/>
          <w:szCs w:val="21"/>
        </w:rPr>
      </w:pPr>
    </w:p>
    <w:p w14:paraId="5DC0EFAD" w14:textId="77777777" w:rsidR="000F2133" w:rsidRDefault="000F2133">
      <w:pPr>
        <w:adjustRightInd w:val="0"/>
        <w:snapToGrid w:val="0"/>
        <w:spacing w:line="360" w:lineRule="auto"/>
        <w:ind w:firstLineChars="200" w:firstLine="420"/>
        <w:rPr>
          <w:rFonts w:ascii="宋体" w:hAnsi="宋体" w:cs="Arial"/>
          <w:szCs w:val="21"/>
        </w:rPr>
      </w:pPr>
    </w:p>
    <w:p w14:paraId="4DB7AA2C" w14:textId="77777777" w:rsidR="000F2133" w:rsidRDefault="000F2133">
      <w:pPr>
        <w:adjustRightInd w:val="0"/>
        <w:snapToGrid w:val="0"/>
        <w:spacing w:line="360" w:lineRule="auto"/>
        <w:ind w:firstLineChars="200" w:firstLine="420"/>
        <w:rPr>
          <w:rFonts w:ascii="宋体" w:hAnsi="宋体" w:cs="Arial"/>
          <w:szCs w:val="21"/>
        </w:rPr>
      </w:pPr>
    </w:p>
    <w:p w14:paraId="1A082A29" w14:textId="77777777" w:rsidR="000F2133" w:rsidRDefault="000F2133">
      <w:pPr>
        <w:adjustRightInd w:val="0"/>
        <w:snapToGrid w:val="0"/>
        <w:spacing w:line="360" w:lineRule="auto"/>
        <w:ind w:firstLineChars="200" w:firstLine="420"/>
        <w:rPr>
          <w:rFonts w:ascii="宋体" w:hAnsi="宋体" w:cs="Arial"/>
          <w:szCs w:val="21"/>
        </w:rPr>
      </w:pPr>
    </w:p>
    <w:p w14:paraId="46462802" w14:textId="77777777" w:rsidR="000F2133" w:rsidRDefault="000F2133">
      <w:pPr>
        <w:adjustRightInd w:val="0"/>
        <w:snapToGrid w:val="0"/>
        <w:spacing w:line="360" w:lineRule="auto"/>
        <w:ind w:firstLineChars="200" w:firstLine="420"/>
        <w:rPr>
          <w:rFonts w:ascii="宋体" w:hAnsi="宋体" w:cs="Arial"/>
          <w:szCs w:val="21"/>
        </w:rPr>
      </w:pPr>
    </w:p>
    <w:p w14:paraId="0C79A8A6" w14:textId="77777777" w:rsidR="000F2133" w:rsidRDefault="00D82757">
      <w:pPr>
        <w:pStyle w:val="2"/>
        <w:spacing w:beforeLines="100" w:before="312" w:afterLines="50" w:after="156" w:line="360" w:lineRule="auto"/>
        <w:jc w:val="center"/>
        <w:rPr>
          <w:rFonts w:ascii="宋体" w:eastAsia="宋体" w:hAnsi="宋体"/>
          <w:sz w:val="21"/>
          <w:szCs w:val="21"/>
        </w:rPr>
      </w:pPr>
      <w:bookmarkStart w:id="118" w:name="_Toc204947286"/>
      <w:bookmarkStart w:id="119" w:name="_Toc348082046"/>
      <w:r>
        <w:rPr>
          <w:rFonts w:ascii="宋体" w:eastAsia="宋体" w:hAnsi="宋体" w:hint="eastAsia"/>
          <w:sz w:val="21"/>
          <w:szCs w:val="21"/>
        </w:rPr>
        <w:lastRenderedPageBreak/>
        <w:t>十八、争议解决方式</w:t>
      </w:r>
      <w:bookmarkEnd w:id="118"/>
      <w:bookmarkEnd w:id="119"/>
    </w:p>
    <w:p w14:paraId="5F21AE52" w14:textId="284330C0" w:rsidR="008F71C2" w:rsidRDefault="00610B84">
      <w:pPr>
        <w:adjustRightInd w:val="0"/>
        <w:snapToGrid w:val="0"/>
        <w:spacing w:line="360" w:lineRule="auto"/>
        <w:ind w:firstLineChars="200" w:firstLine="420"/>
        <w:rPr>
          <w:rFonts w:ascii="宋体" w:hAnsi="宋体" w:cs="Arial"/>
          <w:szCs w:val="21"/>
        </w:rPr>
      </w:pPr>
      <w:r>
        <w:rPr>
          <w:rFonts w:ascii="宋体" w:hAnsi="宋体" w:cs="Arial" w:hint="eastAsia"/>
          <w:szCs w:val="21"/>
        </w:rPr>
        <w:t>双</w:t>
      </w:r>
      <w:r w:rsidR="008F71C2" w:rsidRPr="008F71C2">
        <w:rPr>
          <w:rFonts w:ascii="宋体" w:hAnsi="宋体" w:cs="Arial" w:hint="eastAsia"/>
          <w:szCs w:val="21"/>
        </w:rPr>
        <w:t>方当事人同意，因《基金合同》而产生的或与《基金合同》有关的一切争议，如不愿或者不能通过协商、调解解决的，应提交中国国际经济贸易仲裁委员会，根据该会当时有效的仲裁规则进行仲裁，仲裁地点为北京市。仲裁裁决是终局的，对</w:t>
      </w:r>
      <w:r w:rsidR="000A5659">
        <w:rPr>
          <w:rFonts w:ascii="宋体" w:hAnsi="宋体" w:cs="Arial" w:hint="eastAsia"/>
          <w:szCs w:val="21"/>
        </w:rPr>
        <w:t>双</w:t>
      </w:r>
      <w:r w:rsidR="008F71C2" w:rsidRPr="008F71C2">
        <w:rPr>
          <w:rFonts w:ascii="宋体" w:hAnsi="宋体" w:cs="Arial" w:hint="eastAsia"/>
          <w:szCs w:val="21"/>
        </w:rPr>
        <w:t>方当事人均有约束力。除非仲裁裁决另有裁定，仲裁费、合理的律师费用由败诉方承担。</w:t>
      </w:r>
    </w:p>
    <w:p w14:paraId="7179CA99" w14:textId="4CC93C78"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争议处理期间，基金管理人和基金托管人应恪守各自的职责，继续忠实、勤勉、尽责地履行基金合同和本协议规定的义务，维护基金份额持有人的合法权益。</w:t>
      </w:r>
    </w:p>
    <w:p w14:paraId="4DE52C6A" w14:textId="73EE56B4"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本协议受中华人民共和国法律（为本协议之目的，不含香港特别行政区、澳门特别行政区法律和台湾地区的有关规定）管辖并从其解释。</w:t>
      </w:r>
    </w:p>
    <w:p w14:paraId="6BE5B3ED"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0" w:name="_Toc204947287"/>
      <w:bookmarkStart w:id="121" w:name="_Toc348082047"/>
      <w:r>
        <w:rPr>
          <w:rFonts w:ascii="宋体" w:eastAsia="宋体" w:hAnsi="宋体" w:hint="eastAsia"/>
          <w:sz w:val="21"/>
          <w:szCs w:val="21"/>
        </w:rPr>
        <w:lastRenderedPageBreak/>
        <w:t>十九、托管协议的效力</w:t>
      </w:r>
      <w:bookmarkEnd w:id="120"/>
      <w:bookmarkEnd w:id="121"/>
    </w:p>
    <w:p w14:paraId="66347EA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双方对托管协议的效力约定如下：</w:t>
      </w:r>
    </w:p>
    <w:p w14:paraId="06EB10A7"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在向中国证监会申请发售基金份额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02EA9D8E"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14:paraId="7DAAFD9D"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（三）托管协议自生效之日起对托管协议当事人具有同等的法律约束力。</w:t>
      </w:r>
    </w:p>
    <w:p w14:paraId="23D0769C" w14:textId="77777777" w:rsidR="000F2133" w:rsidRDefault="00D82757">
      <w:pPr>
        <w:adjustRightInd w:val="0"/>
        <w:snapToGrid w:val="0"/>
        <w:spacing w:line="360" w:lineRule="auto"/>
        <w:ind w:firstLineChars="200" w:firstLine="420"/>
        <w:rPr>
          <w:rFonts w:ascii="宋体" w:hAnsi="宋体"/>
          <w:szCs w:val="21"/>
        </w:rPr>
      </w:pPr>
      <w:r>
        <w:rPr>
          <w:rFonts w:ascii="宋体" w:hAnsi="宋体" w:cs="Arial" w:hint="eastAsia"/>
          <w:szCs w:val="21"/>
        </w:rPr>
        <w:t>（四）本协议一式</w:t>
      </w:r>
      <w:r>
        <w:rPr>
          <w:rFonts w:hint="eastAsia"/>
          <w:szCs w:val="21"/>
        </w:rPr>
        <w:t>三</w:t>
      </w:r>
      <w:r>
        <w:rPr>
          <w:rFonts w:ascii="宋体" w:hAnsi="宋体" w:cs="Arial" w:hint="eastAsia"/>
          <w:szCs w:val="21"/>
        </w:rPr>
        <w:t>份，协议双方各持一份，由基金管理人根据需要上报监管机构一份，每份具有同等法律效力。</w:t>
      </w:r>
    </w:p>
    <w:p w14:paraId="0F6311EC" w14:textId="77777777" w:rsidR="000F2133" w:rsidRDefault="000F2133">
      <w:pPr>
        <w:adjustRightInd w:val="0"/>
        <w:snapToGrid w:val="0"/>
        <w:spacing w:line="360" w:lineRule="auto"/>
        <w:rPr>
          <w:rFonts w:ascii="宋体" w:hAnsi="宋体" w:cs="Arial"/>
          <w:szCs w:val="21"/>
        </w:rPr>
      </w:pPr>
    </w:p>
    <w:p w14:paraId="66B336A4"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2" w:name="_Toc348082048"/>
      <w:bookmarkStart w:id="123" w:name="_Toc204947288"/>
      <w:r>
        <w:rPr>
          <w:rFonts w:ascii="宋体" w:eastAsia="宋体" w:hAnsi="宋体" w:hint="eastAsia"/>
          <w:sz w:val="21"/>
          <w:szCs w:val="21"/>
        </w:rPr>
        <w:lastRenderedPageBreak/>
        <w:t>二十、其他事项</w:t>
      </w:r>
      <w:bookmarkEnd w:id="122"/>
      <w:bookmarkEnd w:id="123"/>
    </w:p>
    <w:p w14:paraId="04441C5B"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如发生有权司法机关依法冻结基金份额持有人的基金份额时，基金管理人应予以配合，承担司法协助义务。</w:t>
      </w:r>
    </w:p>
    <w:p w14:paraId="44007C51"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除本协议有明确定义外，本协议的用语定义适用基金合同的约定。本协议未尽事宜，当事人依据基金合同、有关法律法规等规定协商办理。</w:t>
      </w:r>
    </w:p>
    <w:p w14:paraId="6AFCDA83" w14:textId="77777777" w:rsidR="000F2133" w:rsidRDefault="00D82757">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4" w:name="_Toc204947289"/>
      <w:bookmarkStart w:id="125" w:name="_Toc348082049"/>
      <w:r>
        <w:rPr>
          <w:rFonts w:ascii="宋体" w:eastAsia="宋体" w:hAnsi="宋体" w:hint="eastAsia"/>
          <w:sz w:val="21"/>
          <w:szCs w:val="21"/>
        </w:rPr>
        <w:lastRenderedPageBreak/>
        <w:t>二十一、托管协议的签订</w:t>
      </w:r>
      <w:bookmarkEnd w:id="124"/>
      <w:bookmarkEnd w:id="125"/>
    </w:p>
    <w:p w14:paraId="0157CF73" w14:textId="77777777" w:rsidR="000F2133" w:rsidRDefault="00D82757">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本协议双方法定代表人或授权代表签章、签订地、签订日</w:t>
      </w:r>
    </w:p>
    <w:bookmarkEnd w:id="3"/>
    <w:p w14:paraId="40478A0D" w14:textId="77777777" w:rsidR="000F2133" w:rsidRDefault="000F2133">
      <w:pPr>
        <w:rPr>
          <w:rFonts w:ascii="宋体" w:hAnsi="宋体" w:cs="Arial"/>
          <w:szCs w:val="21"/>
        </w:rPr>
      </w:pPr>
    </w:p>
    <w:p w14:paraId="119EF136" w14:textId="77777777" w:rsidR="000F2133" w:rsidRDefault="000F2133">
      <w:pPr>
        <w:rPr>
          <w:rFonts w:ascii="宋体" w:hAnsi="宋体" w:cs="Arial"/>
          <w:szCs w:val="21"/>
        </w:rPr>
      </w:pPr>
    </w:p>
    <w:p w14:paraId="06E54676" w14:textId="77777777" w:rsidR="000F2133" w:rsidRDefault="000F2133">
      <w:pPr>
        <w:rPr>
          <w:rFonts w:ascii="宋体" w:hAnsi="宋体" w:cs="Arial"/>
          <w:szCs w:val="21"/>
        </w:rPr>
      </w:pPr>
    </w:p>
    <w:p w14:paraId="5F255FDD" w14:textId="77777777" w:rsidR="000F2133" w:rsidRDefault="000F2133">
      <w:pPr>
        <w:rPr>
          <w:rFonts w:ascii="宋体" w:hAnsi="宋体" w:cs="Arial"/>
          <w:szCs w:val="21"/>
        </w:rPr>
      </w:pPr>
    </w:p>
    <w:p w14:paraId="7EAF9703" w14:textId="77777777" w:rsidR="000F2133" w:rsidRDefault="000F2133">
      <w:pPr>
        <w:rPr>
          <w:rFonts w:ascii="宋体" w:hAnsi="宋体" w:cs="Arial"/>
          <w:szCs w:val="21"/>
        </w:rPr>
      </w:pPr>
    </w:p>
    <w:p w14:paraId="2FD8B6D7" w14:textId="77777777" w:rsidR="000F2133" w:rsidRDefault="000F2133">
      <w:pPr>
        <w:rPr>
          <w:rFonts w:ascii="宋体" w:hAnsi="宋体" w:cs="Arial"/>
          <w:szCs w:val="21"/>
        </w:rPr>
      </w:pPr>
    </w:p>
    <w:p w14:paraId="049288FA" w14:textId="77777777" w:rsidR="000F2133" w:rsidRDefault="000F2133">
      <w:pPr>
        <w:rPr>
          <w:rFonts w:ascii="宋体" w:hAnsi="宋体" w:cs="Arial"/>
          <w:szCs w:val="21"/>
        </w:rPr>
      </w:pPr>
    </w:p>
    <w:p w14:paraId="2DCB4AB8" w14:textId="77777777" w:rsidR="000F2133" w:rsidRDefault="000F2133">
      <w:pPr>
        <w:rPr>
          <w:rFonts w:ascii="宋体" w:hAnsi="宋体" w:cs="Arial"/>
          <w:szCs w:val="21"/>
        </w:rPr>
      </w:pPr>
    </w:p>
    <w:p w14:paraId="38964753" w14:textId="77777777" w:rsidR="000F2133" w:rsidRDefault="000F2133">
      <w:pPr>
        <w:rPr>
          <w:rFonts w:ascii="宋体" w:hAnsi="宋体" w:cs="Arial"/>
          <w:szCs w:val="21"/>
        </w:rPr>
      </w:pPr>
    </w:p>
    <w:p w14:paraId="0DDAA35D" w14:textId="77777777" w:rsidR="000F2133" w:rsidRDefault="000F2133">
      <w:pPr>
        <w:rPr>
          <w:rFonts w:ascii="宋体" w:hAnsi="宋体" w:cs="Arial"/>
          <w:szCs w:val="21"/>
        </w:rPr>
      </w:pPr>
    </w:p>
    <w:p w14:paraId="4F11185B" w14:textId="77777777" w:rsidR="000F2133" w:rsidRDefault="000F2133">
      <w:pPr>
        <w:rPr>
          <w:rFonts w:ascii="宋体" w:hAnsi="宋体" w:cs="Arial"/>
          <w:szCs w:val="21"/>
        </w:rPr>
      </w:pPr>
    </w:p>
    <w:p w14:paraId="00B2C6B1" w14:textId="77777777" w:rsidR="000F2133" w:rsidRDefault="000F2133">
      <w:pPr>
        <w:rPr>
          <w:rFonts w:ascii="宋体" w:hAnsi="宋体" w:cs="Arial"/>
          <w:szCs w:val="21"/>
        </w:rPr>
      </w:pPr>
    </w:p>
    <w:p w14:paraId="0D495085" w14:textId="77777777" w:rsidR="000F2133" w:rsidRDefault="000F2133">
      <w:pPr>
        <w:rPr>
          <w:rFonts w:ascii="宋体" w:hAnsi="宋体" w:cs="Arial"/>
          <w:szCs w:val="21"/>
        </w:rPr>
      </w:pPr>
    </w:p>
    <w:p w14:paraId="0FDB8445" w14:textId="77777777" w:rsidR="000F2133" w:rsidRDefault="000F2133">
      <w:pPr>
        <w:rPr>
          <w:rFonts w:ascii="宋体" w:hAnsi="宋体" w:cs="Arial"/>
          <w:szCs w:val="21"/>
        </w:rPr>
      </w:pPr>
    </w:p>
    <w:p w14:paraId="5F82B861" w14:textId="77777777" w:rsidR="000F2133" w:rsidRDefault="000F2133">
      <w:pPr>
        <w:rPr>
          <w:rFonts w:ascii="宋体" w:hAnsi="宋体" w:cs="Arial"/>
          <w:szCs w:val="21"/>
        </w:rPr>
      </w:pPr>
    </w:p>
    <w:p w14:paraId="4F5F9B35" w14:textId="77777777" w:rsidR="000F2133" w:rsidRDefault="000F2133">
      <w:pPr>
        <w:rPr>
          <w:rFonts w:ascii="宋体" w:hAnsi="宋体" w:cs="Arial"/>
          <w:szCs w:val="21"/>
        </w:rPr>
      </w:pPr>
    </w:p>
    <w:p w14:paraId="1702FC94" w14:textId="77777777" w:rsidR="000F2133" w:rsidRDefault="000F2133">
      <w:pPr>
        <w:rPr>
          <w:rFonts w:ascii="宋体" w:hAnsi="宋体" w:cs="Arial"/>
          <w:szCs w:val="21"/>
        </w:rPr>
      </w:pPr>
    </w:p>
    <w:p w14:paraId="70C78FF2" w14:textId="77777777" w:rsidR="000F2133" w:rsidRDefault="000F2133">
      <w:pPr>
        <w:rPr>
          <w:rFonts w:ascii="宋体" w:hAnsi="宋体" w:cs="Arial"/>
          <w:szCs w:val="21"/>
        </w:rPr>
      </w:pPr>
    </w:p>
    <w:p w14:paraId="5E9C0848" w14:textId="77777777" w:rsidR="000F2133" w:rsidRDefault="000F2133">
      <w:pPr>
        <w:rPr>
          <w:rFonts w:ascii="宋体" w:hAnsi="宋体" w:cs="Arial"/>
          <w:szCs w:val="21"/>
        </w:rPr>
      </w:pPr>
    </w:p>
    <w:p w14:paraId="69904E59" w14:textId="77777777" w:rsidR="000F2133" w:rsidRDefault="000F2133">
      <w:pPr>
        <w:rPr>
          <w:rFonts w:ascii="宋体" w:hAnsi="宋体" w:cs="Arial"/>
          <w:szCs w:val="21"/>
        </w:rPr>
      </w:pPr>
    </w:p>
    <w:p w14:paraId="7612A6B6" w14:textId="77777777" w:rsidR="000F2133" w:rsidRDefault="000F2133">
      <w:pPr>
        <w:rPr>
          <w:rFonts w:ascii="宋体" w:hAnsi="宋体" w:cs="Arial"/>
          <w:szCs w:val="21"/>
        </w:rPr>
      </w:pPr>
    </w:p>
    <w:p w14:paraId="45D54506" w14:textId="77777777" w:rsidR="000F2133" w:rsidRDefault="000F2133">
      <w:pPr>
        <w:rPr>
          <w:rFonts w:ascii="宋体" w:hAnsi="宋体" w:cs="Arial"/>
          <w:szCs w:val="21"/>
        </w:rPr>
      </w:pPr>
    </w:p>
    <w:p w14:paraId="3AAEB87C" w14:textId="77777777" w:rsidR="000F2133" w:rsidRDefault="000F2133">
      <w:pPr>
        <w:rPr>
          <w:rFonts w:ascii="宋体" w:hAnsi="宋体" w:cs="Arial"/>
          <w:szCs w:val="21"/>
        </w:rPr>
      </w:pPr>
    </w:p>
    <w:p w14:paraId="768A3FF0" w14:textId="77777777" w:rsidR="000F2133" w:rsidRDefault="000F2133">
      <w:pPr>
        <w:rPr>
          <w:rFonts w:ascii="宋体" w:hAnsi="宋体" w:cs="Arial"/>
          <w:szCs w:val="21"/>
        </w:rPr>
      </w:pPr>
    </w:p>
    <w:p w14:paraId="65199A96" w14:textId="77777777" w:rsidR="000F2133" w:rsidRDefault="000F2133">
      <w:pPr>
        <w:rPr>
          <w:rFonts w:ascii="宋体" w:hAnsi="宋体" w:cs="Arial"/>
          <w:szCs w:val="21"/>
        </w:rPr>
      </w:pPr>
    </w:p>
    <w:p w14:paraId="6768EC0D" w14:textId="77777777" w:rsidR="000F2133" w:rsidRDefault="000F2133">
      <w:pPr>
        <w:rPr>
          <w:rFonts w:ascii="宋体" w:hAnsi="宋体" w:cs="Arial"/>
          <w:szCs w:val="21"/>
        </w:rPr>
      </w:pPr>
    </w:p>
    <w:p w14:paraId="61757F4C" w14:textId="77777777" w:rsidR="000F2133" w:rsidRDefault="000F2133">
      <w:pPr>
        <w:rPr>
          <w:rFonts w:ascii="宋体" w:hAnsi="宋体" w:cs="Arial"/>
          <w:szCs w:val="21"/>
        </w:rPr>
      </w:pPr>
    </w:p>
    <w:p w14:paraId="12317F9D" w14:textId="77777777" w:rsidR="000F2133" w:rsidRDefault="000F2133">
      <w:pPr>
        <w:rPr>
          <w:rFonts w:ascii="宋体" w:hAnsi="宋体" w:cs="Arial"/>
          <w:szCs w:val="21"/>
        </w:rPr>
      </w:pPr>
    </w:p>
    <w:p w14:paraId="6F5F5B69" w14:textId="77777777" w:rsidR="000F2133" w:rsidRDefault="000F2133">
      <w:pPr>
        <w:rPr>
          <w:rFonts w:ascii="宋体" w:hAnsi="宋体" w:cs="Arial"/>
          <w:szCs w:val="21"/>
        </w:rPr>
      </w:pPr>
    </w:p>
    <w:p w14:paraId="73CAFABC" w14:textId="77777777" w:rsidR="000F2133" w:rsidRDefault="000F2133">
      <w:pPr>
        <w:rPr>
          <w:rFonts w:ascii="宋体" w:hAnsi="宋体" w:cs="Arial"/>
          <w:szCs w:val="21"/>
        </w:rPr>
      </w:pPr>
    </w:p>
    <w:p w14:paraId="5DAA878F" w14:textId="77777777" w:rsidR="000F2133" w:rsidRDefault="000F2133">
      <w:pPr>
        <w:rPr>
          <w:rFonts w:ascii="宋体" w:hAnsi="宋体" w:cs="Arial"/>
          <w:szCs w:val="21"/>
        </w:rPr>
      </w:pPr>
    </w:p>
    <w:p w14:paraId="367B83C5" w14:textId="77777777" w:rsidR="000F2133" w:rsidRDefault="000F2133">
      <w:pPr>
        <w:rPr>
          <w:rFonts w:ascii="宋体" w:hAnsi="宋体" w:cs="Arial"/>
          <w:szCs w:val="21"/>
        </w:rPr>
      </w:pPr>
    </w:p>
    <w:p w14:paraId="78B5F528" w14:textId="77777777" w:rsidR="000F2133" w:rsidRDefault="000F2133">
      <w:pPr>
        <w:rPr>
          <w:rFonts w:ascii="宋体" w:hAnsi="宋体" w:cs="Arial"/>
          <w:szCs w:val="21"/>
        </w:rPr>
      </w:pPr>
    </w:p>
    <w:p w14:paraId="275CC542" w14:textId="77777777" w:rsidR="000F2133" w:rsidRDefault="000F2133">
      <w:pPr>
        <w:rPr>
          <w:rFonts w:ascii="宋体" w:hAnsi="宋体" w:cs="Arial"/>
          <w:szCs w:val="21"/>
        </w:rPr>
      </w:pPr>
    </w:p>
    <w:p w14:paraId="2E74AB43" w14:textId="77777777" w:rsidR="000F2133" w:rsidRDefault="000F2133">
      <w:pPr>
        <w:rPr>
          <w:rFonts w:ascii="宋体" w:hAnsi="宋体" w:cs="Arial"/>
          <w:szCs w:val="21"/>
        </w:rPr>
      </w:pPr>
    </w:p>
    <w:p w14:paraId="04B4BFD3" w14:textId="77777777" w:rsidR="000F2133" w:rsidRDefault="000F2133">
      <w:pPr>
        <w:rPr>
          <w:rFonts w:ascii="宋体" w:hAnsi="宋体" w:cs="Arial"/>
          <w:szCs w:val="21"/>
        </w:rPr>
      </w:pPr>
    </w:p>
    <w:p w14:paraId="31980C6C" w14:textId="77777777" w:rsidR="000F2133" w:rsidRDefault="000F2133">
      <w:pPr>
        <w:rPr>
          <w:rFonts w:ascii="宋体" w:hAnsi="宋体" w:cs="Arial"/>
          <w:szCs w:val="21"/>
        </w:rPr>
      </w:pPr>
    </w:p>
    <w:p w14:paraId="65EDC114" w14:textId="77777777" w:rsidR="000F2133" w:rsidRDefault="000F2133">
      <w:pPr>
        <w:rPr>
          <w:rFonts w:ascii="宋体" w:hAnsi="宋体" w:cs="Arial"/>
          <w:szCs w:val="21"/>
        </w:rPr>
      </w:pPr>
    </w:p>
    <w:p w14:paraId="5901322B" w14:textId="77777777" w:rsidR="000F2133" w:rsidRDefault="000F2133">
      <w:pPr>
        <w:rPr>
          <w:rFonts w:ascii="宋体" w:hAnsi="宋体" w:cs="Arial"/>
          <w:szCs w:val="21"/>
        </w:rPr>
      </w:pPr>
    </w:p>
    <w:p w14:paraId="61987077" w14:textId="77777777" w:rsidR="000F2133" w:rsidRDefault="000F2133">
      <w:pPr>
        <w:rPr>
          <w:rFonts w:ascii="宋体" w:hAnsi="宋体" w:cs="Arial"/>
          <w:szCs w:val="21"/>
        </w:rPr>
      </w:pPr>
    </w:p>
    <w:p w14:paraId="5AB791C8" w14:textId="77777777" w:rsidR="000F2133" w:rsidRDefault="000F2133">
      <w:pPr>
        <w:rPr>
          <w:rFonts w:ascii="宋体" w:hAnsi="宋体" w:cs="Arial" w:hint="eastAsia"/>
          <w:szCs w:val="21"/>
        </w:rPr>
      </w:pPr>
    </w:p>
    <w:sectPr w:rsidR="000F2133">
      <w:headerReference w:type="default" r:id="rId40"/>
      <w:footerReference w:type="default" r:id="rId4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D5A7" w14:textId="77777777" w:rsidR="00D16238" w:rsidRDefault="00D16238">
      <w:r>
        <w:separator/>
      </w:r>
    </w:p>
  </w:endnote>
  <w:endnote w:type="continuationSeparator" w:id="0">
    <w:p w14:paraId="0DFAD112" w14:textId="77777777" w:rsidR="00D16238" w:rsidRDefault="00D1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869" w14:textId="77777777" w:rsidR="005161D3" w:rsidRDefault="005161D3">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76F2E23" w14:textId="77777777" w:rsidR="005161D3" w:rsidRDefault="005161D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D19C" w14:textId="77777777" w:rsidR="005161D3" w:rsidRDefault="005161D3">
    <w:pPr>
      <w:pStyle w:val="aa"/>
      <w:jc w:val="center"/>
    </w:pPr>
    <w:r>
      <w:fldChar w:fldCharType="begin"/>
    </w:r>
    <w:r>
      <w:instrText xml:space="preserve"> PAGE   \* MERGEFORMAT </w:instrText>
    </w:r>
    <w:r>
      <w:fldChar w:fldCharType="separate"/>
    </w:r>
    <w:r>
      <w:t>35</w:t>
    </w:r>
    <w:r>
      <w:fldChar w:fldCharType="end"/>
    </w:r>
  </w:p>
  <w:p w14:paraId="282F2437" w14:textId="77777777" w:rsidR="005161D3" w:rsidRDefault="005161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6C86" w14:textId="77777777" w:rsidR="00D16238" w:rsidRDefault="00D16238">
      <w:r>
        <w:separator/>
      </w:r>
    </w:p>
  </w:footnote>
  <w:footnote w:type="continuationSeparator" w:id="0">
    <w:p w14:paraId="4F749953" w14:textId="77777777" w:rsidR="00D16238" w:rsidRDefault="00D1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0834" w14:textId="0316F597" w:rsidR="005161D3" w:rsidRDefault="005161D3">
    <w:pPr>
      <w:pStyle w:val="ac"/>
      <w:jc w:val="right"/>
    </w:pPr>
    <w:r>
      <w:rPr>
        <w:rFonts w:ascii="宋体" w:hAnsi="宋体" w:hint="eastAsia"/>
      </w:rPr>
      <w:t>中欧全景智选混合型证券投资基金托管协议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74"/>
    <w:rsid w:val="00001AB6"/>
    <w:rsid w:val="00001E42"/>
    <w:rsid w:val="00002977"/>
    <w:rsid w:val="00003DDD"/>
    <w:rsid w:val="00004215"/>
    <w:rsid w:val="00006F03"/>
    <w:rsid w:val="00007126"/>
    <w:rsid w:val="0000774E"/>
    <w:rsid w:val="00007C2F"/>
    <w:rsid w:val="00010125"/>
    <w:rsid w:val="0001044F"/>
    <w:rsid w:val="00013C5B"/>
    <w:rsid w:val="000143CC"/>
    <w:rsid w:val="00014739"/>
    <w:rsid w:val="00014D21"/>
    <w:rsid w:val="00014DB1"/>
    <w:rsid w:val="00016874"/>
    <w:rsid w:val="00016A01"/>
    <w:rsid w:val="00017201"/>
    <w:rsid w:val="000176C5"/>
    <w:rsid w:val="00022CE2"/>
    <w:rsid w:val="00022D6C"/>
    <w:rsid w:val="00023EE9"/>
    <w:rsid w:val="00024205"/>
    <w:rsid w:val="00024C74"/>
    <w:rsid w:val="00027D10"/>
    <w:rsid w:val="00030BCA"/>
    <w:rsid w:val="000317B9"/>
    <w:rsid w:val="00031A4E"/>
    <w:rsid w:val="00031D78"/>
    <w:rsid w:val="00031D96"/>
    <w:rsid w:val="00034D11"/>
    <w:rsid w:val="00035F02"/>
    <w:rsid w:val="0003668E"/>
    <w:rsid w:val="00036EC2"/>
    <w:rsid w:val="00041EA9"/>
    <w:rsid w:val="00042898"/>
    <w:rsid w:val="000441B2"/>
    <w:rsid w:val="00045017"/>
    <w:rsid w:val="00045690"/>
    <w:rsid w:val="00045751"/>
    <w:rsid w:val="00046DB8"/>
    <w:rsid w:val="00047948"/>
    <w:rsid w:val="00047EDD"/>
    <w:rsid w:val="00051CC9"/>
    <w:rsid w:val="00052827"/>
    <w:rsid w:val="000529D1"/>
    <w:rsid w:val="00052BEE"/>
    <w:rsid w:val="00052D58"/>
    <w:rsid w:val="00052FE6"/>
    <w:rsid w:val="00053108"/>
    <w:rsid w:val="000545DE"/>
    <w:rsid w:val="0005725D"/>
    <w:rsid w:val="00061D37"/>
    <w:rsid w:val="00064E77"/>
    <w:rsid w:val="00066315"/>
    <w:rsid w:val="0006703B"/>
    <w:rsid w:val="0006718A"/>
    <w:rsid w:val="00067DA7"/>
    <w:rsid w:val="00070DB9"/>
    <w:rsid w:val="00071723"/>
    <w:rsid w:val="00072176"/>
    <w:rsid w:val="0007281A"/>
    <w:rsid w:val="00074758"/>
    <w:rsid w:val="00074F42"/>
    <w:rsid w:val="00076C89"/>
    <w:rsid w:val="0007714A"/>
    <w:rsid w:val="00080AFA"/>
    <w:rsid w:val="00080E58"/>
    <w:rsid w:val="0008111E"/>
    <w:rsid w:val="00082FA8"/>
    <w:rsid w:val="00083A8A"/>
    <w:rsid w:val="0008568D"/>
    <w:rsid w:val="0009016D"/>
    <w:rsid w:val="00090707"/>
    <w:rsid w:val="00091E90"/>
    <w:rsid w:val="00092ECF"/>
    <w:rsid w:val="0009373C"/>
    <w:rsid w:val="00093E2F"/>
    <w:rsid w:val="00093EE1"/>
    <w:rsid w:val="000942C9"/>
    <w:rsid w:val="00095055"/>
    <w:rsid w:val="0009574B"/>
    <w:rsid w:val="00097239"/>
    <w:rsid w:val="000A1593"/>
    <w:rsid w:val="000A1777"/>
    <w:rsid w:val="000A1F60"/>
    <w:rsid w:val="000A20C8"/>
    <w:rsid w:val="000A2A32"/>
    <w:rsid w:val="000A48E4"/>
    <w:rsid w:val="000A5659"/>
    <w:rsid w:val="000B3268"/>
    <w:rsid w:val="000B6174"/>
    <w:rsid w:val="000B6AA8"/>
    <w:rsid w:val="000B7C7D"/>
    <w:rsid w:val="000C100E"/>
    <w:rsid w:val="000C1D2F"/>
    <w:rsid w:val="000C1FA6"/>
    <w:rsid w:val="000C26FF"/>
    <w:rsid w:val="000C5514"/>
    <w:rsid w:val="000C5A20"/>
    <w:rsid w:val="000C6767"/>
    <w:rsid w:val="000C68E7"/>
    <w:rsid w:val="000C6E67"/>
    <w:rsid w:val="000C6FAD"/>
    <w:rsid w:val="000D2057"/>
    <w:rsid w:val="000D38A7"/>
    <w:rsid w:val="000D38FD"/>
    <w:rsid w:val="000D4134"/>
    <w:rsid w:val="000D7E47"/>
    <w:rsid w:val="000E3362"/>
    <w:rsid w:val="000E35CB"/>
    <w:rsid w:val="000E572D"/>
    <w:rsid w:val="000E6573"/>
    <w:rsid w:val="000E691E"/>
    <w:rsid w:val="000E6C4D"/>
    <w:rsid w:val="000E7A07"/>
    <w:rsid w:val="000E7A28"/>
    <w:rsid w:val="000F2133"/>
    <w:rsid w:val="000F2B08"/>
    <w:rsid w:val="000F3A96"/>
    <w:rsid w:val="000F5CA3"/>
    <w:rsid w:val="000F6A84"/>
    <w:rsid w:val="00101318"/>
    <w:rsid w:val="00101B58"/>
    <w:rsid w:val="00102071"/>
    <w:rsid w:val="0010284E"/>
    <w:rsid w:val="0010485A"/>
    <w:rsid w:val="001051B2"/>
    <w:rsid w:val="00105310"/>
    <w:rsid w:val="0010575B"/>
    <w:rsid w:val="00107DAE"/>
    <w:rsid w:val="0011015F"/>
    <w:rsid w:val="00110704"/>
    <w:rsid w:val="00111B0D"/>
    <w:rsid w:val="00112B6B"/>
    <w:rsid w:val="00113B59"/>
    <w:rsid w:val="001147DE"/>
    <w:rsid w:val="00115064"/>
    <w:rsid w:val="00115CE2"/>
    <w:rsid w:val="0011619B"/>
    <w:rsid w:val="00116D28"/>
    <w:rsid w:val="00117512"/>
    <w:rsid w:val="0011783B"/>
    <w:rsid w:val="00120287"/>
    <w:rsid w:val="00120ABE"/>
    <w:rsid w:val="0012211F"/>
    <w:rsid w:val="00124047"/>
    <w:rsid w:val="00126670"/>
    <w:rsid w:val="00130A39"/>
    <w:rsid w:val="001312FE"/>
    <w:rsid w:val="00131569"/>
    <w:rsid w:val="00132D3A"/>
    <w:rsid w:val="00133130"/>
    <w:rsid w:val="0013367F"/>
    <w:rsid w:val="00133AE9"/>
    <w:rsid w:val="001349F1"/>
    <w:rsid w:val="00134CB2"/>
    <w:rsid w:val="00135008"/>
    <w:rsid w:val="00135AF1"/>
    <w:rsid w:val="00135F72"/>
    <w:rsid w:val="001362F3"/>
    <w:rsid w:val="00136679"/>
    <w:rsid w:val="00137E5E"/>
    <w:rsid w:val="00140CFC"/>
    <w:rsid w:val="001423DA"/>
    <w:rsid w:val="0014418D"/>
    <w:rsid w:val="001451B1"/>
    <w:rsid w:val="0014619B"/>
    <w:rsid w:val="00146246"/>
    <w:rsid w:val="00147997"/>
    <w:rsid w:val="00150AE6"/>
    <w:rsid w:val="00153191"/>
    <w:rsid w:val="00153CD2"/>
    <w:rsid w:val="001543AF"/>
    <w:rsid w:val="00155106"/>
    <w:rsid w:val="001553D0"/>
    <w:rsid w:val="001565EA"/>
    <w:rsid w:val="0015665A"/>
    <w:rsid w:val="00156A3F"/>
    <w:rsid w:val="00160684"/>
    <w:rsid w:val="00160700"/>
    <w:rsid w:val="001607F9"/>
    <w:rsid w:val="00161DD2"/>
    <w:rsid w:val="0016408C"/>
    <w:rsid w:val="001648AD"/>
    <w:rsid w:val="00165A63"/>
    <w:rsid w:val="00165D3D"/>
    <w:rsid w:val="00170A79"/>
    <w:rsid w:val="00172530"/>
    <w:rsid w:val="00172648"/>
    <w:rsid w:val="0017350F"/>
    <w:rsid w:val="0017370E"/>
    <w:rsid w:val="00173C51"/>
    <w:rsid w:val="00174565"/>
    <w:rsid w:val="001748DD"/>
    <w:rsid w:val="00175369"/>
    <w:rsid w:val="00176684"/>
    <w:rsid w:val="001802A9"/>
    <w:rsid w:val="00181DCC"/>
    <w:rsid w:val="00182D88"/>
    <w:rsid w:val="00184DF5"/>
    <w:rsid w:val="00185465"/>
    <w:rsid w:val="00185825"/>
    <w:rsid w:val="00185AD1"/>
    <w:rsid w:val="0018653A"/>
    <w:rsid w:val="00187473"/>
    <w:rsid w:val="0019194A"/>
    <w:rsid w:val="00192F15"/>
    <w:rsid w:val="001945D9"/>
    <w:rsid w:val="001961E4"/>
    <w:rsid w:val="00197A72"/>
    <w:rsid w:val="00197C29"/>
    <w:rsid w:val="001A072F"/>
    <w:rsid w:val="001A27BB"/>
    <w:rsid w:val="001A31BA"/>
    <w:rsid w:val="001A4014"/>
    <w:rsid w:val="001A4100"/>
    <w:rsid w:val="001A42D4"/>
    <w:rsid w:val="001A6884"/>
    <w:rsid w:val="001B07DD"/>
    <w:rsid w:val="001B3B5D"/>
    <w:rsid w:val="001B4E7D"/>
    <w:rsid w:val="001C044F"/>
    <w:rsid w:val="001C0471"/>
    <w:rsid w:val="001C2010"/>
    <w:rsid w:val="001C2A8E"/>
    <w:rsid w:val="001C3BCD"/>
    <w:rsid w:val="001C3C95"/>
    <w:rsid w:val="001C5B7E"/>
    <w:rsid w:val="001C615B"/>
    <w:rsid w:val="001C6D08"/>
    <w:rsid w:val="001C7718"/>
    <w:rsid w:val="001C77FB"/>
    <w:rsid w:val="001D0D88"/>
    <w:rsid w:val="001D25D0"/>
    <w:rsid w:val="001D4655"/>
    <w:rsid w:val="001D46C2"/>
    <w:rsid w:val="001D5CCB"/>
    <w:rsid w:val="001D695B"/>
    <w:rsid w:val="001D747C"/>
    <w:rsid w:val="001E3C72"/>
    <w:rsid w:val="001E4473"/>
    <w:rsid w:val="001E4F3D"/>
    <w:rsid w:val="001E5F15"/>
    <w:rsid w:val="001E681E"/>
    <w:rsid w:val="001E6E20"/>
    <w:rsid w:val="001F0F63"/>
    <w:rsid w:val="001F2533"/>
    <w:rsid w:val="001F2D81"/>
    <w:rsid w:val="001F3177"/>
    <w:rsid w:val="001F31FB"/>
    <w:rsid w:val="001F4169"/>
    <w:rsid w:val="001F5D3D"/>
    <w:rsid w:val="001F6F44"/>
    <w:rsid w:val="002009F5"/>
    <w:rsid w:val="00200A19"/>
    <w:rsid w:val="002019B6"/>
    <w:rsid w:val="00201FEC"/>
    <w:rsid w:val="00204966"/>
    <w:rsid w:val="00205B18"/>
    <w:rsid w:val="00206847"/>
    <w:rsid w:val="002071A9"/>
    <w:rsid w:val="00210BD4"/>
    <w:rsid w:val="002136E7"/>
    <w:rsid w:val="00213732"/>
    <w:rsid w:val="00214174"/>
    <w:rsid w:val="00215314"/>
    <w:rsid w:val="00216CAA"/>
    <w:rsid w:val="002200C9"/>
    <w:rsid w:val="002201EE"/>
    <w:rsid w:val="002215D2"/>
    <w:rsid w:val="00221872"/>
    <w:rsid w:val="00222074"/>
    <w:rsid w:val="00222341"/>
    <w:rsid w:val="00226F76"/>
    <w:rsid w:val="002306C9"/>
    <w:rsid w:val="00231B62"/>
    <w:rsid w:val="002325C9"/>
    <w:rsid w:val="002330CA"/>
    <w:rsid w:val="002332D3"/>
    <w:rsid w:val="00234248"/>
    <w:rsid w:val="002343CA"/>
    <w:rsid w:val="002363F7"/>
    <w:rsid w:val="00237AD7"/>
    <w:rsid w:val="0024032B"/>
    <w:rsid w:val="0024082B"/>
    <w:rsid w:val="00242261"/>
    <w:rsid w:val="0024239D"/>
    <w:rsid w:val="00242944"/>
    <w:rsid w:val="00242E69"/>
    <w:rsid w:val="00245570"/>
    <w:rsid w:val="00246B69"/>
    <w:rsid w:val="00247986"/>
    <w:rsid w:val="00247FC1"/>
    <w:rsid w:val="0026065F"/>
    <w:rsid w:val="002627A6"/>
    <w:rsid w:val="002631C1"/>
    <w:rsid w:val="002658A5"/>
    <w:rsid w:val="00267009"/>
    <w:rsid w:val="0027036E"/>
    <w:rsid w:val="002706F7"/>
    <w:rsid w:val="00271A77"/>
    <w:rsid w:val="002759C1"/>
    <w:rsid w:val="00275EA7"/>
    <w:rsid w:val="00276CBA"/>
    <w:rsid w:val="00280546"/>
    <w:rsid w:val="00281578"/>
    <w:rsid w:val="00281FF7"/>
    <w:rsid w:val="00285B1F"/>
    <w:rsid w:val="00285E1A"/>
    <w:rsid w:val="0028655B"/>
    <w:rsid w:val="00287B07"/>
    <w:rsid w:val="00287DD6"/>
    <w:rsid w:val="00290CAA"/>
    <w:rsid w:val="002911CA"/>
    <w:rsid w:val="00291ACE"/>
    <w:rsid w:val="00291CFA"/>
    <w:rsid w:val="00292831"/>
    <w:rsid w:val="00292A48"/>
    <w:rsid w:val="0029304B"/>
    <w:rsid w:val="002931BB"/>
    <w:rsid w:val="00293C2B"/>
    <w:rsid w:val="00295263"/>
    <w:rsid w:val="0029563B"/>
    <w:rsid w:val="002961C9"/>
    <w:rsid w:val="002A066D"/>
    <w:rsid w:val="002A0B4E"/>
    <w:rsid w:val="002A205A"/>
    <w:rsid w:val="002A2BDE"/>
    <w:rsid w:val="002A2D2D"/>
    <w:rsid w:val="002A342B"/>
    <w:rsid w:val="002A6996"/>
    <w:rsid w:val="002A790E"/>
    <w:rsid w:val="002A7E73"/>
    <w:rsid w:val="002B0A41"/>
    <w:rsid w:val="002B11CF"/>
    <w:rsid w:val="002B19DD"/>
    <w:rsid w:val="002B243E"/>
    <w:rsid w:val="002B2AD4"/>
    <w:rsid w:val="002B3C7D"/>
    <w:rsid w:val="002B4064"/>
    <w:rsid w:val="002B6CBA"/>
    <w:rsid w:val="002B7266"/>
    <w:rsid w:val="002B7527"/>
    <w:rsid w:val="002C06EA"/>
    <w:rsid w:val="002C2B27"/>
    <w:rsid w:val="002C4ADA"/>
    <w:rsid w:val="002C5BA7"/>
    <w:rsid w:val="002C5E9A"/>
    <w:rsid w:val="002C6520"/>
    <w:rsid w:val="002C6DF2"/>
    <w:rsid w:val="002C7359"/>
    <w:rsid w:val="002C7C3C"/>
    <w:rsid w:val="002D1198"/>
    <w:rsid w:val="002D155A"/>
    <w:rsid w:val="002D1D4F"/>
    <w:rsid w:val="002D5211"/>
    <w:rsid w:val="002E05C3"/>
    <w:rsid w:val="002E3DED"/>
    <w:rsid w:val="002E46D7"/>
    <w:rsid w:val="002E54B5"/>
    <w:rsid w:val="002E5D20"/>
    <w:rsid w:val="002E6F4E"/>
    <w:rsid w:val="002E73AA"/>
    <w:rsid w:val="002F1E2E"/>
    <w:rsid w:val="002F2074"/>
    <w:rsid w:val="002F211E"/>
    <w:rsid w:val="002F3F6D"/>
    <w:rsid w:val="002F5799"/>
    <w:rsid w:val="002F66B1"/>
    <w:rsid w:val="002F6712"/>
    <w:rsid w:val="002F68F6"/>
    <w:rsid w:val="002F7A38"/>
    <w:rsid w:val="0030078F"/>
    <w:rsid w:val="003026F5"/>
    <w:rsid w:val="00306429"/>
    <w:rsid w:val="00306D95"/>
    <w:rsid w:val="00306F4E"/>
    <w:rsid w:val="0030739A"/>
    <w:rsid w:val="0031123E"/>
    <w:rsid w:val="003123ED"/>
    <w:rsid w:val="003137F2"/>
    <w:rsid w:val="0031445C"/>
    <w:rsid w:val="003146A1"/>
    <w:rsid w:val="003147D4"/>
    <w:rsid w:val="003154CF"/>
    <w:rsid w:val="00317638"/>
    <w:rsid w:val="00320987"/>
    <w:rsid w:val="003222A7"/>
    <w:rsid w:val="00322A50"/>
    <w:rsid w:val="00323511"/>
    <w:rsid w:val="00324DE4"/>
    <w:rsid w:val="0032522B"/>
    <w:rsid w:val="003263FE"/>
    <w:rsid w:val="00326458"/>
    <w:rsid w:val="00330931"/>
    <w:rsid w:val="003322EE"/>
    <w:rsid w:val="00333019"/>
    <w:rsid w:val="003331FC"/>
    <w:rsid w:val="003336F7"/>
    <w:rsid w:val="00334F74"/>
    <w:rsid w:val="003369A7"/>
    <w:rsid w:val="00340B0D"/>
    <w:rsid w:val="00342DF8"/>
    <w:rsid w:val="003431C7"/>
    <w:rsid w:val="0034380F"/>
    <w:rsid w:val="00343899"/>
    <w:rsid w:val="00345036"/>
    <w:rsid w:val="00352537"/>
    <w:rsid w:val="003532E6"/>
    <w:rsid w:val="00353894"/>
    <w:rsid w:val="00353DE8"/>
    <w:rsid w:val="00355528"/>
    <w:rsid w:val="00356567"/>
    <w:rsid w:val="003571CB"/>
    <w:rsid w:val="00360142"/>
    <w:rsid w:val="00360FE3"/>
    <w:rsid w:val="003659AF"/>
    <w:rsid w:val="00365B40"/>
    <w:rsid w:val="00366692"/>
    <w:rsid w:val="003674A3"/>
    <w:rsid w:val="00367A27"/>
    <w:rsid w:val="00371CDD"/>
    <w:rsid w:val="00372444"/>
    <w:rsid w:val="003726C2"/>
    <w:rsid w:val="00373A0E"/>
    <w:rsid w:val="00373B7C"/>
    <w:rsid w:val="00374CE4"/>
    <w:rsid w:val="00375360"/>
    <w:rsid w:val="0037637F"/>
    <w:rsid w:val="00383076"/>
    <w:rsid w:val="00383F0D"/>
    <w:rsid w:val="00387721"/>
    <w:rsid w:val="003916CF"/>
    <w:rsid w:val="00392DA4"/>
    <w:rsid w:val="003936BA"/>
    <w:rsid w:val="0039673F"/>
    <w:rsid w:val="003979A1"/>
    <w:rsid w:val="00397BC5"/>
    <w:rsid w:val="003A1410"/>
    <w:rsid w:val="003A30E5"/>
    <w:rsid w:val="003A4F07"/>
    <w:rsid w:val="003A6B7B"/>
    <w:rsid w:val="003A726C"/>
    <w:rsid w:val="003B0389"/>
    <w:rsid w:val="003B1C76"/>
    <w:rsid w:val="003B5DEA"/>
    <w:rsid w:val="003B6922"/>
    <w:rsid w:val="003C02BF"/>
    <w:rsid w:val="003C0916"/>
    <w:rsid w:val="003C104A"/>
    <w:rsid w:val="003C13DD"/>
    <w:rsid w:val="003C29ED"/>
    <w:rsid w:val="003C5DC5"/>
    <w:rsid w:val="003C6F47"/>
    <w:rsid w:val="003C7068"/>
    <w:rsid w:val="003C756C"/>
    <w:rsid w:val="003D3A28"/>
    <w:rsid w:val="003D426C"/>
    <w:rsid w:val="003D49AD"/>
    <w:rsid w:val="003D4BBC"/>
    <w:rsid w:val="003D5389"/>
    <w:rsid w:val="003D5C2D"/>
    <w:rsid w:val="003D7BA3"/>
    <w:rsid w:val="003E0139"/>
    <w:rsid w:val="003E0AD5"/>
    <w:rsid w:val="003E10DB"/>
    <w:rsid w:val="003E16F3"/>
    <w:rsid w:val="003E21A2"/>
    <w:rsid w:val="003E46C5"/>
    <w:rsid w:val="003F13ED"/>
    <w:rsid w:val="003F784C"/>
    <w:rsid w:val="004008A7"/>
    <w:rsid w:val="00401C64"/>
    <w:rsid w:val="00403655"/>
    <w:rsid w:val="004038C3"/>
    <w:rsid w:val="00403FE4"/>
    <w:rsid w:val="00404CFA"/>
    <w:rsid w:val="00405405"/>
    <w:rsid w:val="00405438"/>
    <w:rsid w:val="004058C4"/>
    <w:rsid w:val="0040782C"/>
    <w:rsid w:val="00407946"/>
    <w:rsid w:val="00407DD4"/>
    <w:rsid w:val="00411088"/>
    <w:rsid w:val="00412D2C"/>
    <w:rsid w:val="00412F7E"/>
    <w:rsid w:val="00413037"/>
    <w:rsid w:val="00413681"/>
    <w:rsid w:val="004142E4"/>
    <w:rsid w:val="004226A1"/>
    <w:rsid w:val="00423845"/>
    <w:rsid w:val="00424934"/>
    <w:rsid w:val="004255F7"/>
    <w:rsid w:val="00425D01"/>
    <w:rsid w:val="004265DC"/>
    <w:rsid w:val="004275E3"/>
    <w:rsid w:val="0042797D"/>
    <w:rsid w:val="00427FD7"/>
    <w:rsid w:val="004300FB"/>
    <w:rsid w:val="00430DD9"/>
    <w:rsid w:val="00431AC3"/>
    <w:rsid w:val="00431F66"/>
    <w:rsid w:val="004324F7"/>
    <w:rsid w:val="00434945"/>
    <w:rsid w:val="00434F41"/>
    <w:rsid w:val="00434F49"/>
    <w:rsid w:val="004359C6"/>
    <w:rsid w:val="004365D5"/>
    <w:rsid w:val="00437913"/>
    <w:rsid w:val="00437998"/>
    <w:rsid w:val="00440182"/>
    <w:rsid w:val="00440E3A"/>
    <w:rsid w:val="0044103D"/>
    <w:rsid w:val="00442664"/>
    <w:rsid w:val="00442736"/>
    <w:rsid w:val="00442F04"/>
    <w:rsid w:val="00443903"/>
    <w:rsid w:val="00443C07"/>
    <w:rsid w:val="0044539E"/>
    <w:rsid w:val="00446AB8"/>
    <w:rsid w:val="0044748B"/>
    <w:rsid w:val="00450D6E"/>
    <w:rsid w:val="00450FE9"/>
    <w:rsid w:val="004530E4"/>
    <w:rsid w:val="004535FF"/>
    <w:rsid w:val="00455436"/>
    <w:rsid w:val="00457502"/>
    <w:rsid w:val="004607BB"/>
    <w:rsid w:val="00460C25"/>
    <w:rsid w:val="004610F6"/>
    <w:rsid w:val="00461F61"/>
    <w:rsid w:val="00462B35"/>
    <w:rsid w:val="00464303"/>
    <w:rsid w:val="00464ECF"/>
    <w:rsid w:val="00467DCB"/>
    <w:rsid w:val="00470300"/>
    <w:rsid w:val="00470498"/>
    <w:rsid w:val="00470E62"/>
    <w:rsid w:val="00470E6D"/>
    <w:rsid w:val="0047119A"/>
    <w:rsid w:val="004713C6"/>
    <w:rsid w:val="00471403"/>
    <w:rsid w:val="00472909"/>
    <w:rsid w:val="00473586"/>
    <w:rsid w:val="00473B5C"/>
    <w:rsid w:val="00474DFC"/>
    <w:rsid w:val="00475042"/>
    <w:rsid w:val="00475541"/>
    <w:rsid w:val="00476249"/>
    <w:rsid w:val="0048026F"/>
    <w:rsid w:val="00482A96"/>
    <w:rsid w:val="00486012"/>
    <w:rsid w:val="0048671F"/>
    <w:rsid w:val="0048715E"/>
    <w:rsid w:val="0049105E"/>
    <w:rsid w:val="00492BCA"/>
    <w:rsid w:val="00492F38"/>
    <w:rsid w:val="00493296"/>
    <w:rsid w:val="00493DC8"/>
    <w:rsid w:val="00494817"/>
    <w:rsid w:val="004A3409"/>
    <w:rsid w:val="004A3ED9"/>
    <w:rsid w:val="004A4931"/>
    <w:rsid w:val="004B0ED0"/>
    <w:rsid w:val="004B144E"/>
    <w:rsid w:val="004B2C2F"/>
    <w:rsid w:val="004B30C5"/>
    <w:rsid w:val="004B31DB"/>
    <w:rsid w:val="004B59F2"/>
    <w:rsid w:val="004B6573"/>
    <w:rsid w:val="004B752C"/>
    <w:rsid w:val="004B7C6E"/>
    <w:rsid w:val="004C007C"/>
    <w:rsid w:val="004C2330"/>
    <w:rsid w:val="004C5801"/>
    <w:rsid w:val="004C6121"/>
    <w:rsid w:val="004C707D"/>
    <w:rsid w:val="004D0596"/>
    <w:rsid w:val="004D2553"/>
    <w:rsid w:val="004D2A62"/>
    <w:rsid w:val="004D2E26"/>
    <w:rsid w:val="004D2FCF"/>
    <w:rsid w:val="004D5ACC"/>
    <w:rsid w:val="004D628E"/>
    <w:rsid w:val="004E0F7D"/>
    <w:rsid w:val="004E1291"/>
    <w:rsid w:val="004E14CC"/>
    <w:rsid w:val="004E3EBF"/>
    <w:rsid w:val="004E7184"/>
    <w:rsid w:val="004F22EC"/>
    <w:rsid w:val="004F42C1"/>
    <w:rsid w:val="004F5B6D"/>
    <w:rsid w:val="004F5D7A"/>
    <w:rsid w:val="004F6344"/>
    <w:rsid w:val="0050011F"/>
    <w:rsid w:val="00500AAA"/>
    <w:rsid w:val="00501975"/>
    <w:rsid w:val="00503D3F"/>
    <w:rsid w:val="00504AC5"/>
    <w:rsid w:val="00505AC7"/>
    <w:rsid w:val="00511BB2"/>
    <w:rsid w:val="00511C6C"/>
    <w:rsid w:val="00511CB6"/>
    <w:rsid w:val="005143A9"/>
    <w:rsid w:val="0051588C"/>
    <w:rsid w:val="00515D94"/>
    <w:rsid w:val="005161D3"/>
    <w:rsid w:val="0051636B"/>
    <w:rsid w:val="00521B52"/>
    <w:rsid w:val="0052319D"/>
    <w:rsid w:val="005238FA"/>
    <w:rsid w:val="005248B6"/>
    <w:rsid w:val="00526015"/>
    <w:rsid w:val="00526FCA"/>
    <w:rsid w:val="00527783"/>
    <w:rsid w:val="00527AF1"/>
    <w:rsid w:val="00527B02"/>
    <w:rsid w:val="0053173A"/>
    <w:rsid w:val="005369AE"/>
    <w:rsid w:val="00536FA9"/>
    <w:rsid w:val="00541673"/>
    <w:rsid w:val="005451F4"/>
    <w:rsid w:val="005451F9"/>
    <w:rsid w:val="0054649E"/>
    <w:rsid w:val="00547B2A"/>
    <w:rsid w:val="005502D9"/>
    <w:rsid w:val="00550F23"/>
    <w:rsid w:val="005543AC"/>
    <w:rsid w:val="00556147"/>
    <w:rsid w:val="005563F9"/>
    <w:rsid w:val="00556EE6"/>
    <w:rsid w:val="00557173"/>
    <w:rsid w:val="00557D3A"/>
    <w:rsid w:val="00561E97"/>
    <w:rsid w:val="00562B42"/>
    <w:rsid w:val="00562DD1"/>
    <w:rsid w:val="005630A4"/>
    <w:rsid w:val="005635C7"/>
    <w:rsid w:val="00564D50"/>
    <w:rsid w:val="005660EE"/>
    <w:rsid w:val="0056678C"/>
    <w:rsid w:val="00566951"/>
    <w:rsid w:val="00570170"/>
    <w:rsid w:val="00570215"/>
    <w:rsid w:val="00570851"/>
    <w:rsid w:val="00570FF9"/>
    <w:rsid w:val="00571B4A"/>
    <w:rsid w:val="00575A62"/>
    <w:rsid w:val="0057669C"/>
    <w:rsid w:val="005768DC"/>
    <w:rsid w:val="00577374"/>
    <w:rsid w:val="00580351"/>
    <w:rsid w:val="00580A4E"/>
    <w:rsid w:val="005822B8"/>
    <w:rsid w:val="00582659"/>
    <w:rsid w:val="00582E59"/>
    <w:rsid w:val="005833A0"/>
    <w:rsid w:val="00583F43"/>
    <w:rsid w:val="005841DD"/>
    <w:rsid w:val="005849A4"/>
    <w:rsid w:val="00586675"/>
    <w:rsid w:val="00587C97"/>
    <w:rsid w:val="00591E65"/>
    <w:rsid w:val="00592DAA"/>
    <w:rsid w:val="00593932"/>
    <w:rsid w:val="0059475D"/>
    <w:rsid w:val="00594A4C"/>
    <w:rsid w:val="005A06D7"/>
    <w:rsid w:val="005A2A9E"/>
    <w:rsid w:val="005A343F"/>
    <w:rsid w:val="005A41FF"/>
    <w:rsid w:val="005A7140"/>
    <w:rsid w:val="005B060E"/>
    <w:rsid w:val="005B0BDC"/>
    <w:rsid w:val="005B1738"/>
    <w:rsid w:val="005B240C"/>
    <w:rsid w:val="005B4925"/>
    <w:rsid w:val="005B4A95"/>
    <w:rsid w:val="005B6483"/>
    <w:rsid w:val="005B66FD"/>
    <w:rsid w:val="005B685B"/>
    <w:rsid w:val="005B6A9D"/>
    <w:rsid w:val="005B6E9D"/>
    <w:rsid w:val="005B79BB"/>
    <w:rsid w:val="005C0810"/>
    <w:rsid w:val="005C1490"/>
    <w:rsid w:val="005C173F"/>
    <w:rsid w:val="005C18FA"/>
    <w:rsid w:val="005C2546"/>
    <w:rsid w:val="005C4B40"/>
    <w:rsid w:val="005C4FF8"/>
    <w:rsid w:val="005C75C0"/>
    <w:rsid w:val="005C7F22"/>
    <w:rsid w:val="005D1D8F"/>
    <w:rsid w:val="005D3BFB"/>
    <w:rsid w:val="005D58AE"/>
    <w:rsid w:val="005D6727"/>
    <w:rsid w:val="005D708B"/>
    <w:rsid w:val="005D7F1C"/>
    <w:rsid w:val="005E1592"/>
    <w:rsid w:val="005E16C6"/>
    <w:rsid w:val="005E1B90"/>
    <w:rsid w:val="005E339E"/>
    <w:rsid w:val="005E6E86"/>
    <w:rsid w:val="005E7A99"/>
    <w:rsid w:val="005F0EBB"/>
    <w:rsid w:val="005F20E0"/>
    <w:rsid w:val="005F288F"/>
    <w:rsid w:val="005F2B6C"/>
    <w:rsid w:val="005F2BCB"/>
    <w:rsid w:val="005F3264"/>
    <w:rsid w:val="005F3385"/>
    <w:rsid w:val="005F33C4"/>
    <w:rsid w:val="005F3898"/>
    <w:rsid w:val="005F3B5B"/>
    <w:rsid w:val="005F3CC2"/>
    <w:rsid w:val="005F3E7C"/>
    <w:rsid w:val="005F5705"/>
    <w:rsid w:val="005F625F"/>
    <w:rsid w:val="005F6436"/>
    <w:rsid w:val="006002B3"/>
    <w:rsid w:val="00601640"/>
    <w:rsid w:val="0060476E"/>
    <w:rsid w:val="006066F6"/>
    <w:rsid w:val="00607523"/>
    <w:rsid w:val="006100CE"/>
    <w:rsid w:val="00610B84"/>
    <w:rsid w:val="0061136C"/>
    <w:rsid w:val="006114C3"/>
    <w:rsid w:val="00611B88"/>
    <w:rsid w:val="00611C3D"/>
    <w:rsid w:val="00611F48"/>
    <w:rsid w:val="006129B4"/>
    <w:rsid w:val="00613F8A"/>
    <w:rsid w:val="00613FA0"/>
    <w:rsid w:val="00615A06"/>
    <w:rsid w:val="00617280"/>
    <w:rsid w:val="00621321"/>
    <w:rsid w:val="00621718"/>
    <w:rsid w:val="006256CA"/>
    <w:rsid w:val="00627C19"/>
    <w:rsid w:val="0063025C"/>
    <w:rsid w:val="00630D2C"/>
    <w:rsid w:val="0063393F"/>
    <w:rsid w:val="00635FBE"/>
    <w:rsid w:val="00636746"/>
    <w:rsid w:val="00642873"/>
    <w:rsid w:val="00642C8A"/>
    <w:rsid w:val="00644B26"/>
    <w:rsid w:val="00645C69"/>
    <w:rsid w:val="00646F15"/>
    <w:rsid w:val="006475D5"/>
    <w:rsid w:val="006500AD"/>
    <w:rsid w:val="006520C3"/>
    <w:rsid w:val="00652128"/>
    <w:rsid w:val="00652650"/>
    <w:rsid w:val="00652DBF"/>
    <w:rsid w:val="00652F3E"/>
    <w:rsid w:val="006546BE"/>
    <w:rsid w:val="00655C71"/>
    <w:rsid w:val="006604F6"/>
    <w:rsid w:val="00660A76"/>
    <w:rsid w:val="00663B13"/>
    <w:rsid w:val="00666292"/>
    <w:rsid w:val="0066664D"/>
    <w:rsid w:val="00667E4B"/>
    <w:rsid w:val="00670B94"/>
    <w:rsid w:val="00671570"/>
    <w:rsid w:val="00672A62"/>
    <w:rsid w:val="00673714"/>
    <w:rsid w:val="0067409C"/>
    <w:rsid w:val="0067725F"/>
    <w:rsid w:val="00677614"/>
    <w:rsid w:val="00681481"/>
    <w:rsid w:val="00683A15"/>
    <w:rsid w:val="006841EB"/>
    <w:rsid w:val="00685EC8"/>
    <w:rsid w:val="00691621"/>
    <w:rsid w:val="006916FE"/>
    <w:rsid w:val="006921BC"/>
    <w:rsid w:val="0069385D"/>
    <w:rsid w:val="00694C3B"/>
    <w:rsid w:val="006975FC"/>
    <w:rsid w:val="0069780E"/>
    <w:rsid w:val="006A1692"/>
    <w:rsid w:val="006A2CB1"/>
    <w:rsid w:val="006A368F"/>
    <w:rsid w:val="006A3B8D"/>
    <w:rsid w:val="006A4448"/>
    <w:rsid w:val="006A51FB"/>
    <w:rsid w:val="006A54A7"/>
    <w:rsid w:val="006A63C4"/>
    <w:rsid w:val="006B01D1"/>
    <w:rsid w:val="006B0E86"/>
    <w:rsid w:val="006B42CE"/>
    <w:rsid w:val="006B43D2"/>
    <w:rsid w:val="006B51F7"/>
    <w:rsid w:val="006B61D0"/>
    <w:rsid w:val="006B6A5C"/>
    <w:rsid w:val="006B794F"/>
    <w:rsid w:val="006B7B59"/>
    <w:rsid w:val="006C05C1"/>
    <w:rsid w:val="006C1F6E"/>
    <w:rsid w:val="006C28E5"/>
    <w:rsid w:val="006C3797"/>
    <w:rsid w:val="006C79D1"/>
    <w:rsid w:val="006C79E0"/>
    <w:rsid w:val="006C7BF9"/>
    <w:rsid w:val="006C7C04"/>
    <w:rsid w:val="006D2279"/>
    <w:rsid w:val="006D4D56"/>
    <w:rsid w:val="006D5FE6"/>
    <w:rsid w:val="006D625A"/>
    <w:rsid w:val="006D62EB"/>
    <w:rsid w:val="006D7966"/>
    <w:rsid w:val="006D79DE"/>
    <w:rsid w:val="006E1F64"/>
    <w:rsid w:val="006E2461"/>
    <w:rsid w:val="006E463B"/>
    <w:rsid w:val="006E56FE"/>
    <w:rsid w:val="006E5ECE"/>
    <w:rsid w:val="006E7E3E"/>
    <w:rsid w:val="006F0EAC"/>
    <w:rsid w:val="006F1996"/>
    <w:rsid w:val="006F1EA5"/>
    <w:rsid w:val="006F2AD7"/>
    <w:rsid w:val="006F2BF9"/>
    <w:rsid w:val="006F2C40"/>
    <w:rsid w:val="006F6A25"/>
    <w:rsid w:val="00700699"/>
    <w:rsid w:val="00701585"/>
    <w:rsid w:val="00701CFC"/>
    <w:rsid w:val="007030BF"/>
    <w:rsid w:val="00703FD5"/>
    <w:rsid w:val="0070609D"/>
    <w:rsid w:val="00706A7E"/>
    <w:rsid w:val="007079B4"/>
    <w:rsid w:val="007124F5"/>
    <w:rsid w:val="00712A58"/>
    <w:rsid w:val="00712BB8"/>
    <w:rsid w:val="0071396E"/>
    <w:rsid w:val="00717934"/>
    <w:rsid w:val="00721126"/>
    <w:rsid w:val="00722A46"/>
    <w:rsid w:val="007238CF"/>
    <w:rsid w:val="007244D7"/>
    <w:rsid w:val="00725F0B"/>
    <w:rsid w:val="00726F74"/>
    <w:rsid w:val="0072728E"/>
    <w:rsid w:val="00727382"/>
    <w:rsid w:val="00727851"/>
    <w:rsid w:val="00731175"/>
    <w:rsid w:val="00731589"/>
    <w:rsid w:val="00731D1B"/>
    <w:rsid w:val="00732512"/>
    <w:rsid w:val="007328E1"/>
    <w:rsid w:val="00732CE8"/>
    <w:rsid w:val="00734A9B"/>
    <w:rsid w:val="00735D98"/>
    <w:rsid w:val="00735EE5"/>
    <w:rsid w:val="0074155D"/>
    <w:rsid w:val="00741591"/>
    <w:rsid w:val="00742397"/>
    <w:rsid w:val="00743188"/>
    <w:rsid w:val="0074501A"/>
    <w:rsid w:val="00745036"/>
    <w:rsid w:val="00746CAE"/>
    <w:rsid w:val="00752925"/>
    <w:rsid w:val="00752E67"/>
    <w:rsid w:val="0075647E"/>
    <w:rsid w:val="00756507"/>
    <w:rsid w:val="007565C9"/>
    <w:rsid w:val="00756BF1"/>
    <w:rsid w:val="00756E58"/>
    <w:rsid w:val="00757919"/>
    <w:rsid w:val="00757EF2"/>
    <w:rsid w:val="0076074D"/>
    <w:rsid w:val="00760C2A"/>
    <w:rsid w:val="007645F9"/>
    <w:rsid w:val="0076471D"/>
    <w:rsid w:val="007662C0"/>
    <w:rsid w:val="00766662"/>
    <w:rsid w:val="00766773"/>
    <w:rsid w:val="00766CC7"/>
    <w:rsid w:val="00766F04"/>
    <w:rsid w:val="007737BD"/>
    <w:rsid w:val="00773D5C"/>
    <w:rsid w:val="0077494E"/>
    <w:rsid w:val="00774D42"/>
    <w:rsid w:val="0077626C"/>
    <w:rsid w:val="007765A0"/>
    <w:rsid w:val="007801DE"/>
    <w:rsid w:val="00780560"/>
    <w:rsid w:val="00781111"/>
    <w:rsid w:val="0078152B"/>
    <w:rsid w:val="0078195F"/>
    <w:rsid w:val="00782E30"/>
    <w:rsid w:val="007834CA"/>
    <w:rsid w:val="007846E4"/>
    <w:rsid w:val="00785A06"/>
    <w:rsid w:val="007861DB"/>
    <w:rsid w:val="0078628A"/>
    <w:rsid w:val="00787792"/>
    <w:rsid w:val="0079105A"/>
    <w:rsid w:val="007911F6"/>
    <w:rsid w:val="00792AAD"/>
    <w:rsid w:val="00793716"/>
    <w:rsid w:val="00793C1F"/>
    <w:rsid w:val="00795D6D"/>
    <w:rsid w:val="00796B3C"/>
    <w:rsid w:val="00796DD2"/>
    <w:rsid w:val="00797097"/>
    <w:rsid w:val="00797644"/>
    <w:rsid w:val="00797C38"/>
    <w:rsid w:val="00797C6F"/>
    <w:rsid w:val="007A0A83"/>
    <w:rsid w:val="007A351B"/>
    <w:rsid w:val="007A3F9F"/>
    <w:rsid w:val="007A6E8B"/>
    <w:rsid w:val="007A6FD9"/>
    <w:rsid w:val="007B0E25"/>
    <w:rsid w:val="007B28B1"/>
    <w:rsid w:val="007B2DFC"/>
    <w:rsid w:val="007B2EB0"/>
    <w:rsid w:val="007B2F91"/>
    <w:rsid w:val="007B42C3"/>
    <w:rsid w:val="007B4881"/>
    <w:rsid w:val="007B65FA"/>
    <w:rsid w:val="007B6A4E"/>
    <w:rsid w:val="007C0329"/>
    <w:rsid w:val="007C1033"/>
    <w:rsid w:val="007C503D"/>
    <w:rsid w:val="007C516A"/>
    <w:rsid w:val="007C6CD5"/>
    <w:rsid w:val="007C7136"/>
    <w:rsid w:val="007C7465"/>
    <w:rsid w:val="007D16BC"/>
    <w:rsid w:val="007D1ED1"/>
    <w:rsid w:val="007D2175"/>
    <w:rsid w:val="007D23BD"/>
    <w:rsid w:val="007D2FD1"/>
    <w:rsid w:val="007D4180"/>
    <w:rsid w:val="007D4784"/>
    <w:rsid w:val="007D56E4"/>
    <w:rsid w:val="007D573C"/>
    <w:rsid w:val="007D5A52"/>
    <w:rsid w:val="007D5C10"/>
    <w:rsid w:val="007E1AC2"/>
    <w:rsid w:val="007E53FF"/>
    <w:rsid w:val="007E6F7F"/>
    <w:rsid w:val="007E7A88"/>
    <w:rsid w:val="007F0197"/>
    <w:rsid w:val="007F0C87"/>
    <w:rsid w:val="007F342A"/>
    <w:rsid w:val="007F438F"/>
    <w:rsid w:val="007F64C0"/>
    <w:rsid w:val="0080033D"/>
    <w:rsid w:val="00800858"/>
    <w:rsid w:val="00800A9F"/>
    <w:rsid w:val="00801335"/>
    <w:rsid w:val="00804470"/>
    <w:rsid w:val="00805F2E"/>
    <w:rsid w:val="00806BB3"/>
    <w:rsid w:val="00806BE9"/>
    <w:rsid w:val="00807072"/>
    <w:rsid w:val="00807401"/>
    <w:rsid w:val="00810902"/>
    <w:rsid w:val="00811A25"/>
    <w:rsid w:val="00811F94"/>
    <w:rsid w:val="00812583"/>
    <w:rsid w:val="00813A33"/>
    <w:rsid w:val="008150CF"/>
    <w:rsid w:val="00815297"/>
    <w:rsid w:val="00815EAE"/>
    <w:rsid w:val="00816CFB"/>
    <w:rsid w:val="00820A94"/>
    <w:rsid w:val="0082124A"/>
    <w:rsid w:val="00821CAB"/>
    <w:rsid w:val="00822FD6"/>
    <w:rsid w:val="00823BB7"/>
    <w:rsid w:val="00824C02"/>
    <w:rsid w:val="00824FDC"/>
    <w:rsid w:val="0082507C"/>
    <w:rsid w:val="008268A7"/>
    <w:rsid w:val="00826953"/>
    <w:rsid w:val="008274A4"/>
    <w:rsid w:val="008275EB"/>
    <w:rsid w:val="00830F1B"/>
    <w:rsid w:val="008314C8"/>
    <w:rsid w:val="00832DBF"/>
    <w:rsid w:val="00833439"/>
    <w:rsid w:val="008334AE"/>
    <w:rsid w:val="00833E36"/>
    <w:rsid w:val="00835DB3"/>
    <w:rsid w:val="00836508"/>
    <w:rsid w:val="00836E06"/>
    <w:rsid w:val="00840286"/>
    <w:rsid w:val="00842367"/>
    <w:rsid w:val="00842A4E"/>
    <w:rsid w:val="00842F1B"/>
    <w:rsid w:val="008432B4"/>
    <w:rsid w:val="0084364F"/>
    <w:rsid w:val="0084367A"/>
    <w:rsid w:val="00843C14"/>
    <w:rsid w:val="00844AB1"/>
    <w:rsid w:val="0084538E"/>
    <w:rsid w:val="00845E2D"/>
    <w:rsid w:val="008460EA"/>
    <w:rsid w:val="00846296"/>
    <w:rsid w:val="008464E7"/>
    <w:rsid w:val="00851B9B"/>
    <w:rsid w:val="00852396"/>
    <w:rsid w:val="0085426A"/>
    <w:rsid w:val="00854772"/>
    <w:rsid w:val="0085557E"/>
    <w:rsid w:val="00856A0D"/>
    <w:rsid w:val="008571AA"/>
    <w:rsid w:val="00860027"/>
    <w:rsid w:val="00860E5A"/>
    <w:rsid w:val="008632B4"/>
    <w:rsid w:val="00863871"/>
    <w:rsid w:val="00863F31"/>
    <w:rsid w:val="00870568"/>
    <w:rsid w:val="0087067E"/>
    <w:rsid w:val="00870727"/>
    <w:rsid w:val="00870987"/>
    <w:rsid w:val="008709AE"/>
    <w:rsid w:val="0087525B"/>
    <w:rsid w:val="0088000D"/>
    <w:rsid w:val="00880D4D"/>
    <w:rsid w:val="008832F3"/>
    <w:rsid w:val="00884A40"/>
    <w:rsid w:val="0088517F"/>
    <w:rsid w:val="0088608E"/>
    <w:rsid w:val="0088676C"/>
    <w:rsid w:val="00891017"/>
    <w:rsid w:val="00895C7C"/>
    <w:rsid w:val="008A02ED"/>
    <w:rsid w:val="008A0ABE"/>
    <w:rsid w:val="008A0D1F"/>
    <w:rsid w:val="008A0EC8"/>
    <w:rsid w:val="008A2276"/>
    <w:rsid w:val="008A2DBE"/>
    <w:rsid w:val="008A381C"/>
    <w:rsid w:val="008A475E"/>
    <w:rsid w:val="008A4AF8"/>
    <w:rsid w:val="008A583E"/>
    <w:rsid w:val="008A5B6B"/>
    <w:rsid w:val="008A769D"/>
    <w:rsid w:val="008A7B02"/>
    <w:rsid w:val="008A7E71"/>
    <w:rsid w:val="008B007A"/>
    <w:rsid w:val="008B08D2"/>
    <w:rsid w:val="008B1FEF"/>
    <w:rsid w:val="008B2160"/>
    <w:rsid w:val="008B2B8A"/>
    <w:rsid w:val="008B35A5"/>
    <w:rsid w:val="008B3600"/>
    <w:rsid w:val="008B4216"/>
    <w:rsid w:val="008B5F76"/>
    <w:rsid w:val="008B6712"/>
    <w:rsid w:val="008C0FCB"/>
    <w:rsid w:val="008C115C"/>
    <w:rsid w:val="008C6393"/>
    <w:rsid w:val="008C6AFC"/>
    <w:rsid w:val="008D0178"/>
    <w:rsid w:val="008D050D"/>
    <w:rsid w:val="008D1B5E"/>
    <w:rsid w:val="008D2326"/>
    <w:rsid w:val="008D251D"/>
    <w:rsid w:val="008D3DBB"/>
    <w:rsid w:val="008D4510"/>
    <w:rsid w:val="008E19A9"/>
    <w:rsid w:val="008E330B"/>
    <w:rsid w:val="008E561B"/>
    <w:rsid w:val="008E600B"/>
    <w:rsid w:val="008E6C96"/>
    <w:rsid w:val="008F2631"/>
    <w:rsid w:val="008F2B93"/>
    <w:rsid w:val="008F61C4"/>
    <w:rsid w:val="008F71C2"/>
    <w:rsid w:val="00900BD8"/>
    <w:rsid w:val="00901F9D"/>
    <w:rsid w:val="00903F94"/>
    <w:rsid w:val="009045B4"/>
    <w:rsid w:val="009045D9"/>
    <w:rsid w:val="009060E6"/>
    <w:rsid w:val="00907862"/>
    <w:rsid w:val="0090792E"/>
    <w:rsid w:val="00907D99"/>
    <w:rsid w:val="00910249"/>
    <w:rsid w:val="00912F9F"/>
    <w:rsid w:val="00913B61"/>
    <w:rsid w:val="009178C4"/>
    <w:rsid w:val="00917D89"/>
    <w:rsid w:val="0092005F"/>
    <w:rsid w:val="0092043E"/>
    <w:rsid w:val="009207A4"/>
    <w:rsid w:val="00921C43"/>
    <w:rsid w:val="00921F94"/>
    <w:rsid w:val="00923A95"/>
    <w:rsid w:val="009250F6"/>
    <w:rsid w:val="00925601"/>
    <w:rsid w:val="00925CD6"/>
    <w:rsid w:val="00925D05"/>
    <w:rsid w:val="009261AE"/>
    <w:rsid w:val="00926997"/>
    <w:rsid w:val="00926B86"/>
    <w:rsid w:val="009279B7"/>
    <w:rsid w:val="00935656"/>
    <w:rsid w:val="009428D7"/>
    <w:rsid w:val="00943834"/>
    <w:rsid w:val="009447D8"/>
    <w:rsid w:val="009449DC"/>
    <w:rsid w:val="00944BA7"/>
    <w:rsid w:val="009454F9"/>
    <w:rsid w:val="009458C3"/>
    <w:rsid w:val="009472CA"/>
    <w:rsid w:val="0094778B"/>
    <w:rsid w:val="00950757"/>
    <w:rsid w:val="00950F26"/>
    <w:rsid w:val="00951752"/>
    <w:rsid w:val="00952965"/>
    <w:rsid w:val="0095299F"/>
    <w:rsid w:val="00952B6F"/>
    <w:rsid w:val="0095382C"/>
    <w:rsid w:val="00953D84"/>
    <w:rsid w:val="00954499"/>
    <w:rsid w:val="00954EED"/>
    <w:rsid w:val="009556C6"/>
    <w:rsid w:val="00955893"/>
    <w:rsid w:val="00957CFA"/>
    <w:rsid w:val="0096004A"/>
    <w:rsid w:val="009606D2"/>
    <w:rsid w:val="009608F1"/>
    <w:rsid w:val="0096117E"/>
    <w:rsid w:val="009615C7"/>
    <w:rsid w:val="00961AF3"/>
    <w:rsid w:val="00962667"/>
    <w:rsid w:val="00962DED"/>
    <w:rsid w:val="00966533"/>
    <w:rsid w:val="00966824"/>
    <w:rsid w:val="00966A97"/>
    <w:rsid w:val="00966E0D"/>
    <w:rsid w:val="00970B64"/>
    <w:rsid w:val="00971C82"/>
    <w:rsid w:val="00971F2C"/>
    <w:rsid w:val="0097369D"/>
    <w:rsid w:val="00977941"/>
    <w:rsid w:val="00977F16"/>
    <w:rsid w:val="00980D64"/>
    <w:rsid w:val="00980FD0"/>
    <w:rsid w:val="00981211"/>
    <w:rsid w:val="00982B83"/>
    <w:rsid w:val="0098330E"/>
    <w:rsid w:val="00983463"/>
    <w:rsid w:val="0098477A"/>
    <w:rsid w:val="00984AC3"/>
    <w:rsid w:val="0098566E"/>
    <w:rsid w:val="00985BCB"/>
    <w:rsid w:val="00987B0E"/>
    <w:rsid w:val="00987D64"/>
    <w:rsid w:val="0099009F"/>
    <w:rsid w:val="0099128F"/>
    <w:rsid w:val="0099216A"/>
    <w:rsid w:val="00994EE6"/>
    <w:rsid w:val="00996942"/>
    <w:rsid w:val="009969AC"/>
    <w:rsid w:val="009A03D8"/>
    <w:rsid w:val="009A2381"/>
    <w:rsid w:val="009A3982"/>
    <w:rsid w:val="009A3A62"/>
    <w:rsid w:val="009A3ED6"/>
    <w:rsid w:val="009A4C7F"/>
    <w:rsid w:val="009B0E97"/>
    <w:rsid w:val="009B1939"/>
    <w:rsid w:val="009B2078"/>
    <w:rsid w:val="009B26B2"/>
    <w:rsid w:val="009B2C27"/>
    <w:rsid w:val="009B3884"/>
    <w:rsid w:val="009B38FE"/>
    <w:rsid w:val="009B41D2"/>
    <w:rsid w:val="009B4212"/>
    <w:rsid w:val="009B57E0"/>
    <w:rsid w:val="009B68F6"/>
    <w:rsid w:val="009B78E1"/>
    <w:rsid w:val="009C08FE"/>
    <w:rsid w:val="009C3F7E"/>
    <w:rsid w:val="009C4AAE"/>
    <w:rsid w:val="009C4DE8"/>
    <w:rsid w:val="009C4FDF"/>
    <w:rsid w:val="009C52D4"/>
    <w:rsid w:val="009C6D89"/>
    <w:rsid w:val="009C7626"/>
    <w:rsid w:val="009C7D6D"/>
    <w:rsid w:val="009D0F20"/>
    <w:rsid w:val="009D3C5B"/>
    <w:rsid w:val="009D6FA3"/>
    <w:rsid w:val="009D6FE1"/>
    <w:rsid w:val="009D714E"/>
    <w:rsid w:val="009D72FF"/>
    <w:rsid w:val="009D78E5"/>
    <w:rsid w:val="009E11BC"/>
    <w:rsid w:val="009E163A"/>
    <w:rsid w:val="009E1B8D"/>
    <w:rsid w:val="009E27AD"/>
    <w:rsid w:val="009E2853"/>
    <w:rsid w:val="009E35E1"/>
    <w:rsid w:val="009E38AF"/>
    <w:rsid w:val="009E411C"/>
    <w:rsid w:val="009E59D7"/>
    <w:rsid w:val="009E5B23"/>
    <w:rsid w:val="009F0F8E"/>
    <w:rsid w:val="009F16E8"/>
    <w:rsid w:val="009F1F57"/>
    <w:rsid w:val="009F25A2"/>
    <w:rsid w:val="009F3FE1"/>
    <w:rsid w:val="009F5177"/>
    <w:rsid w:val="009F53A5"/>
    <w:rsid w:val="009F7D62"/>
    <w:rsid w:val="009F7F86"/>
    <w:rsid w:val="00A01902"/>
    <w:rsid w:val="00A01C18"/>
    <w:rsid w:val="00A02D04"/>
    <w:rsid w:val="00A04270"/>
    <w:rsid w:val="00A0506D"/>
    <w:rsid w:val="00A063D0"/>
    <w:rsid w:val="00A101E3"/>
    <w:rsid w:val="00A10943"/>
    <w:rsid w:val="00A11C9C"/>
    <w:rsid w:val="00A13F97"/>
    <w:rsid w:val="00A15F89"/>
    <w:rsid w:val="00A16593"/>
    <w:rsid w:val="00A176EE"/>
    <w:rsid w:val="00A21CE1"/>
    <w:rsid w:val="00A21FEA"/>
    <w:rsid w:val="00A220D1"/>
    <w:rsid w:val="00A2297E"/>
    <w:rsid w:val="00A23B5D"/>
    <w:rsid w:val="00A246A9"/>
    <w:rsid w:val="00A256D1"/>
    <w:rsid w:val="00A26AAE"/>
    <w:rsid w:val="00A26AB3"/>
    <w:rsid w:val="00A27125"/>
    <w:rsid w:val="00A27572"/>
    <w:rsid w:val="00A279FF"/>
    <w:rsid w:val="00A27BEE"/>
    <w:rsid w:val="00A30531"/>
    <w:rsid w:val="00A32231"/>
    <w:rsid w:val="00A3470D"/>
    <w:rsid w:val="00A350ED"/>
    <w:rsid w:val="00A352A1"/>
    <w:rsid w:val="00A36248"/>
    <w:rsid w:val="00A36FD6"/>
    <w:rsid w:val="00A37238"/>
    <w:rsid w:val="00A41504"/>
    <w:rsid w:val="00A419E5"/>
    <w:rsid w:val="00A41DFC"/>
    <w:rsid w:val="00A4379E"/>
    <w:rsid w:val="00A47A31"/>
    <w:rsid w:val="00A47A6A"/>
    <w:rsid w:val="00A47D24"/>
    <w:rsid w:val="00A50139"/>
    <w:rsid w:val="00A52AC1"/>
    <w:rsid w:val="00A5644B"/>
    <w:rsid w:val="00A6202F"/>
    <w:rsid w:val="00A620DD"/>
    <w:rsid w:val="00A62147"/>
    <w:rsid w:val="00A64376"/>
    <w:rsid w:val="00A64BBA"/>
    <w:rsid w:val="00A7031D"/>
    <w:rsid w:val="00A71FDA"/>
    <w:rsid w:val="00A723EA"/>
    <w:rsid w:val="00A73353"/>
    <w:rsid w:val="00A73BAB"/>
    <w:rsid w:val="00A75182"/>
    <w:rsid w:val="00A76AC9"/>
    <w:rsid w:val="00A80652"/>
    <w:rsid w:val="00A81138"/>
    <w:rsid w:val="00A83D75"/>
    <w:rsid w:val="00A84AB9"/>
    <w:rsid w:val="00A85E58"/>
    <w:rsid w:val="00A86812"/>
    <w:rsid w:val="00A86DBF"/>
    <w:rsid w:val="00A90182"/>
    <w:rsid w:val="00A903EA"/>
    <w:rsid w:val="00A90BE6"/>
    <w:rsid w:val="00A919BF"/>
    <w:rsid w:val="00A91BE1"/>
    <w:rsid w:val="00A93209"/>
    <w:rsid w:val="00A93473"/>
    <w:rsid w:val="00A95969"/>
    <w:rsid w:val="00A96A42"/>
    <w:rsid w:val="00AA062D"/>
    <w:rsid w:val="00AA0844"/>
    <w:rsid w:val="00AA30E5"/>
    <w:rsid w:val="00AA3CE7"/>
    <w:rsid w:val="00AA44BE"/>
    <w:rsid w:val="00AA493E"/>
    <w:rsid w:val="00AA5F2A"/>
    <w:rsid w:val="00AA65D8"/>
    <w:rsid w:val="00AA7E18"/>
    <w:rsid w:val="00AB09A1"/>
    <w:rsid w:val="00AB1D9C"/>
    <w:rsid w:val="00AB36FA"/>
    <w:rsid w:val="00AB3D14"/>
    <w:rsid w:val="00AB4940"/>
    <w:rsid w:val="00AB581C"/>
    <w:rsid w:val="00AB5BB2"/>
    <w:rsid w:val="00AB65AE"/>
    <w:rsid w:val="00AB7492"/>
    <w:rsid w:val="00AC32FA"/>
    <w:rsid w:val="00AC54D8"/>
    <w:rsid w:val="00AC6EE5"/>
    <w:rsid w:val="00AC7BE3"/>
    <w:rsid w:val="00AC7E1A"/>
    <w:rsid w:val="00AD065B"/>
    <w:rsid w:val="00AD0888"/>
    <w:rsid w:val="00AD258E"/>
    <w:rsid w:val="00AD33BA"/>
    <w:rsid w:val="00AD397F"/>
    <w:rsid w:val="00AD57B5"/>
    <w:rsid w:val="00AD5CF0"/>
    <w:rsid w:val="00AD5E7E"/>
    <w:rsid w:val="00AE0A46"/>
    <w:rsid w:val="00AE2549"/>
    <w:rsid w:val="00AE27C3"/>
    <w:rsid w:val="00AE2D7D"/>
    <w:rsid w:val="00AE2E94"/>
    <w:rsid w:val="00AE3DC9"/>
    <w:rsid w:val="00AE420D"/>
    <w:rsid w:val="00AE4C6E"/>
    <w:rsid w:val="00AE647A"/>
    <w:rsid w:val="00AE7F08"/>
    <w:rsid w:val="00AF0C80"/>
    <w:rsid w:val="00AF14E3"/>
    <w:rsid w:val="00AF2353"/>
    <w:rsid w:val="00AF29BA"/>
    <w:rsid w:val="00AF29CE"/>
    <w:rsid w:val="00AF4A32"/>
    <w:rsid w:val="00AF50A3"/>
    <w:rsid w:val="00AF7892"/>
    <w:rsid w:val="00B0090E"/>
    <w:rsid w:val="00B00B62"/>
    <w:rsid w:val="00B00C0F"/>
    <w:rsid w:val="00B03923"/>
    <w:rsid w:val="00B06D85"/>
    <w:rsid w:val="00B112C7"/>
    <w:rsid w:val="00B1198E"/>
    <w:rsid w:val="00B13CE8"/>
    <w:rsid w:val="00B204A8"/>
    <w:rsid w:val="00B2107F"/>
    <w:rsid w:val="00B21114"/>
    <w:rsid w:val="00B21651"/>
    <w:rsid w:val="00B21652"/>
    <w:rsid w:val="00B2251C"/>
    <w:rsid w:val="00B23A73"/>
    <w:rsid w:val="00B23FF4"/>
    <w:rsid w:val="00B25AA6"/>
    <w:rsid w:val="00B26461"/>
    <w:rsid w:val="00B3037D"/>
    <w:rsid w:val="00B30863"/>
    <w:rsid w:val="00B320F7"/>
    <w:rsid w:val="00B32C0D"/>
    <w:rsid w:val="00B34D90"/>
    <w:rsid w:val="00B3563B"/>
    <w:rsid w:val="00B35B88"/>
    <w:rsid w:val="00B361BB"/>
    <w:rsid w:val="00B368D9"/>
    <w:rsid w:val="00B37C57"/>
    <w:rsid w:val="00B37D2D"/>
    <w:rsid w:val="00B4022D"/>
    <w:rsid w:val="00B42371"/>
    <w:rsid w:val="00B435D2"/>
    <w:rsid w:val="00B44EEC"/>
    <w:rsid w:val="00B470F0"/>
    <w:rsid w:val="00B5023B"/>
    <w:rsid w:val="00B52D77"/>
    <w:rsid w:val="00B5336D"/>
    <w:rsid w:val="00B544D6"/>
    <w:rsid w:val="00B55005"/>
    <w:rsid w:val="00B57323"/>
    <w:rsid w:val="00B61804"/>
    <w:rsid w:val="00B6306F"/>
    <w:rsid w:val="00B6534B"/>
    <w:rsid w:val="00B661D0"/>
    <w:rsid w:val="00B7051B"/>
    <w:rsid w:val="00B70B29"/>
    <w:rsid w:val="00B71C1F"/>
    <w:rsid w:val="00B74205"/>
    <w:rsid w:val="00B74B7A"/>
    <w:rsid w:val="00B75139"/>
    <w:rsid w:val="00B76A3B"/>
    <w:rsid w:val="00B80138"/>
    <w:rsid w:val="00B80376"/>
    <w:rsid w:val="00B80807"/>
    <w:rsid w:val="00B81344"/>
    <w:rsid w:val="00B821E3"/>
    <w:rsid w:val="00B825BF"/>
    <w:rsid w:val="00B8339C"/>
    <w:rsid w:val="00B839FC"/>
    <w:rsid w:val="00B8417E"/>
    <w:rsid w:val="00B84B41"/>
    <w:rsid w:val="00B859F1"/>
    <w:rsid w:val="00B85DA7"/>
    <w:rsid w:val="00B862CC"/>
    <w:rsid w:val="00B86630"/>
    <w:rsid w:val="00B86818"/>
    <w:rsid w:val="00B868E9"/>
    <w:rsid w:val="00B90D94"/>
    <w:rsid w:val="00B924D6"/>
    <w:rsid w:val="00B93FC3"/>
    <w:rsid w:val="00B949CF"/>
    <w:rsid w:val="00B9518F"/>
    <w:rsid w:val="00B95CFC"/>
    <w:rsid w:val="00B96881"/>
    <w:rsid w:val="00B969AB"/>
    <w:rsid w:val="00B971F4"/>
    <w:rsid w:val="00BA10C2"/>
    <w:rsid w:val="00BA25AC"/>
    <w:rsid w:val="00BA6A0F"/>
    <w:rsid w:val="00BB0623"/>
    <w:rsid w:val="00BB0C3F"/>
    <w:rsid w:val="00BB1026"/>
    <w:rsid w:val="00BB1D57"/>
    <w:rsid w:val="00BB204F"/>
    <w:rsid w:val="00BB2D0F"/>
    <w:rsid w:val="00BB32CF"/>
    <w:rsid w:val="00BB5884"/>
    <w:rsid w:val="00BB645B"/>
    <w:rsid w:val="00BB76FF"/>
    <w:rsid w:val="00BB7F82"/>
    <w:rsid w:val="00BC005C"/>
    <w:rsid w:val="00BC0FD7"/>
    <w:rsid w:val="00BC1462"/>
    <w:rsid w:val="00BC2AB2"/>
    <w:rsid w:val="00BC4B56"/>
    <w:rsid w:val="00BC4F68"/>
    <w:rsid w:val="00BC666D"/>
    <w:rsid w:val="00BC66EB"/>
    <w:rsid w:val="00BC67DD"/>
    <w:rsid w:val="00BC751E"/>
    <w:rsid w:val="00BD0295"/>
    <w:rsid w:val="00BD02C2"/>
    <w:rsid w:val="00BD0957"/>
    <w:rsid w:val="00BD0F24"/>
    <w:rsid w:val="00BD27C8"/>
    <w:rsid w:val="00BD2D7E"/>
    <w:rsid w:val="00BD310C"/>
    <w:rsid w:val="00BD3A23"/>
    <w:rsid w:val="00BD4FD3"/>
    <w:rsid w:val="00BD7D9B"/>
    <w:rsid w:val="00BE105B"/>
    <w:rsid w:val="00BE1FE7"/>
    <w:rsid w:val="00BE32ED"/>
    <w:rsid w:val="00BE3391"/>
    <w:rsid w:val="00BE3691"/>
    <w:rsid w:val="00BE3910"/>
    <w:rsid w:val="00BE3E14"/>
    <w:rsid w:val="00BE4978"/>
    <w:rsid w:val="00BE4A3A"/>
    <w:rsid w:val="00BE50D3"/>
    <w:rsid w:val="00BE5F6F"/>
    <w:rsid w:val="00BE72B4"/>
    <w:rsid w:val="00BE7429"/>
    <w:rsid w:val="00BF04F3"/>
    <w:rsid w:val="00BF24DC"/>
    <w:rsid w:val="00BF2C5A"/>
    <w:rsid w:val="00BF2DB0"/>
    <w:rsid w:val="00BF3E29"/>
    <w:rsid w:val="00BF41DA"/>
    <w:rsid w:val="00BF4FB5"/>
    <w:rsid w:val="00BF5A45"/>
    <w:rsid w:val="00BF5C40"/>
    <w:rsid w:val="00BF5D91"/>
    <w:rsid w:val="00BF6E03"/>
    <w:rsid w:val="00C00AA3"/>
    <w:rsid w:val="00C01E9C"/>
    <w:rsid w:val="00C01F26"/>
    <w:rsid w:val="00C024D8"/>
    <w:rsid w:val="00C06268"/>
    <w:rsid w:val="00C072C8"/>
    <w:rsid w:val="00C079FF"/>
    <w:rsid w:val="00C10685"/>
    <w:rsid w:val="00C10926"/>
    <w:rsid w:val="00C114A2"/>
    <w:rsid w:val="00C120AC"/>
    <w:rsid w:val="00C15231"/>
    <w:rsid w:val="00C174E2"/>
    <w:rsid w:val="00C17A51"/>
    <w:rsid w:val="00C21FA9"/>
    <w:rsid w:val="00C242E8"/>
    <w:rsid w:val="00C2456F"/>
    <w:rsid w:val="00C267AD"/>
    <w:rsid w:val="00C2779C"/>
    <w:rsid w:val="00C31172"/>
    <w:rsid w:val="00C312FC"/>
    <w:rsid w:val="00C329D4"/>
    <w:rsid w:val="00C342C2"/>
    <w:rsid w:val="00C34371"/>
    <w:rsid w:val="00C34FE9"/>
    <w:rsid w:val="00C35D67"/>
    <w:rsid w:val="00C36FAE"/>
    <w:rsid w:val="00C405A7"/>
    <w:rsid w:val="00C41223"/>
    <w:rsid w:val="00C41257"/>
    <w:rsid w:val="00C42338"/>
    <w:rsid w:val="00C44C70"/>
    <w:rsid w:val="00C451DC"/>
    <w:rsid w:val="00C4542B"/>
    <w:rsid w:val="00C45B44"/>
    <w:rsid w:val="00C46966"/>
    <w:rsid w:val="00C479DB"/>
    <w:rsid w:val="00C5087B"/>
    <w:rsid w:val="00C5361F"/>
    <w:rsid w:val="00C53CD5"/>
    <w:rsid w:val="00C55A43"/>
    <w:rsid w:val="00C6075C"/>
    <w:rsid w:val="00C60E74"/>
    <w:rsid w:val="00C61982"/>
    <w:rsid w:val="00C657D3"/>
    <w:rsid w:val="00C72F51"/>
    <w:rsid w:val="00C73BD5"/>
    <w:rsid w:val="00C7566F"/>
    <w:rsid w:val="00C76838"/>
    <w:rsid w:val="00C77CA7"/>
    <w:rsid w:val="00C77D41"/>
    <w:rsid w:val="00C8101F"/>
    <w:rsid w:val="00C81E26"/>
    <w:rsid w:val="00C82637"/>
    <w:rsid w:val="00C82765"/>
    <w:rsid w:val="00C8304B"/>
    <w:rsid w:val="00C83466"/>
    <w:rsid w:val="00C8416E"/>
    <w:rsid w:val="00C861CA"/>
    <w:rsid w:val="00C874F1"/>
    <w:rsid w:val="00C927F5"/>
    <w:rsid w:val="00C928F5"/>
    <w:rsid w:val="00C92F34"/>
    <w:rsid w:val="00C9303A"/>
    <w:rsid w:val="00C937F0"/>
    <w:rsid w:val="00C94243"/>
    <w:rsid w:val="00C94905"/>
    <w:rsid w:val="00C9501C"/>
    <w:rsid w:val="00CA13E6"/>
    <w:rsid w:val="00CA1DA1"/>
    <w:rsid w:val="00CA2396"/>
    <w:rsid w:val="00CA2560"/>
    <w:rsid w:val="00CA48BB"/>
    <w:rsid w:val="00CA5CA2"/>
    <w:rsid w:val="00CA6899"/>
    <w:rsid w:val="00CB0871"/>
    <w:rsid w:val="00CB174C"/>
    <w:rsid w:val="00CB2D8D"/>
    <w:rsid w:val="00CB40E0"/>
    <w:rsid w:val="00CB5002"/>
    <w:rsid w:val="00CB5BA3"/>
    <w:rsid w:val="00CB5BC9"/>
    <w:rsid w:val="00CB6149"/>
    <w:rsid w:val="00CB72F1"/>
    <w:rsid w:val="00CC0340"/>
    <w:rsid w:val="00CC13D2"/>
    <w:rsid w:val="00CC2A6E"/>
    <w:rsid w:val="00CC38E1"/>
    <w:rsid w:val="00CC3CEA"/>
    <w:rsid w:val="00CC4120"/>
    <w:rsid w:val="00CC4287"/>
    <w:rsid w:val="00CC4451"/>
    <w:rsid w:val="00CC4D5E"/>
    <w:rsid w:val="00CC57AA"/>
    <w:rsid w:val="00CC6872"/>
    <w:rsid w:val="00CC781B"/>
    <w:rsid w:val="00CC7F18"/>
    <w:rsid w:val="00CD012C"/>
    <w:rsid w:val="00CD0600"/>
    <w:rsid w:val="00CD15F0"/>
    <w:rsid w:val="00CD37DC"/>
    <w:rsid w:val="00CD4109"/>
    <w:rsid w:val="00CD5FFC"/>
    <w:rsid w:val="00CE1076"/>
    <w:rsid w:val="00CE1171"/>
    <w:rsid w:val="00CE2391"/>
    <w:rsid w:val="00CE276D"/>
    <w:rsid w:val="00CE606A"/>
    <w:rsid w:val="00CE6CF0"/>
    <w:rsid w:val="00CE6D88"/>
    <w:rsid w:val="00CE7CC4"/>
    <w:rsid w:val="00CF070D"/>
    <w:rsid w:val="00CF1CD5"/>
    <w:rsid w:val="00CF1DB7"/>
    <w:rsid w:val="00CF2FDE"/>
    <w:rsid w:val="00CF4172"/>
    <w:rsid w:val="00CF5676"/>
    <w:rsid w:val="00CF5871"/>
    <w:rsid w:val="00CF6DD7"/>
    <w:rsid w:val="00CF7136"/>
    <w:rsid w:val="00CF7C44"/>
    <w:rsid w:val="00D018D2"/>
    <w:rsid w:val="00D02019"/>
    <w:rsid w:val="00D02A08"/>
    <w:rsid w:val="00D04EBF"/>
    <w:rsid w:val="00D05545"/>
    <w:rsid w:val="00D05878"/>
    <w:rsid w:val="00D06681"/>
    <w:rsid w:val="00D07389"/>
    <w:rsid w:val="00D076A4"/>
    <w:rsid w:val="00D07AD8"/>
    <w:rsid w:val="00D1282F"/>
    <w:rsid w:val="00D13508"/>
    <w:rsid w:val="00D13AC5"/>
    <w:rsid w:val="00D152E4"/>
    <w:rsid w:val="00D16238"/>
    <w:rsid w:val="00D16D15"/>
    <w:rsid w:val="00D16FD0"/>
    <w:rsid w:val="00D204A6"/>
    <w:rsid w:val="00D20847"/>
    <w:rsid w:val="00D219DF"/>
    <w:rsid w:val="00D21EC3"/>
    <w:rsid w:val="00D235CA"/>
    <w:rsid w:val="00D2395F"/>
    <w:rsid w:val="00D2424A"/>
    <w:rsid w:val="00D24A18"/>
    <w:rsid w:val="00D24A96"/>
    <w:rsid w:val="00D24E44"/>
    <w:rsid w:val="00D2621F"/>
    <w:rsid w:val="00D27602"/>
    <w:rsid w:val="00D306A8"/>
    <w:rsid w:val="00D31034"/>
    <w:rsid w:val="00D31995"/>
    <w:rsid w:val="00D32058"/>
    <w:rsid w:val="00D34969"/>
    <w:rsid w:val="00D35786"/>
    <w:rsid w:val="00D3685E"/>
    <w:rsid w:val="00D438F7"/>
    <w:rsid w:val="00D46506"/>
    <w:rsid w:val="00D4678D"/>
    <w:rsid w:val="00D47B40"/>
    <w:rsid w:val="00D51987"/>
    <w:rsid w:val="00D520A3"/>
    <w:rsid w:val="00D531CD"/>
    <w:rsid w:val="00D53FA1"/>
    <w:rsid w:val="00D55C41"/>
    <w:rsid w:val="00D60DEC"/>
    <w:rsid w:val="00D6154A"/>
    <w:rsid w:val="00D6245B"/>
    <w:rsid w:val="00D63499"/>
    <w:rsid w:val="00D63EDE"/>
    <w:rsid w:val="00D64D49"/>
    <w:rsid w:val="00D664D8"/>
    <w:rsid w:val="00D66E66"/>
    <w:rsid w:val="00D738E7"/>
    <w:rsid w:val="00D743B9"/>
    <w:rsid w:val="00D748CF"/>
    <w:rsid w:val="00D74CE7"/>
    <w:rsid w:val="00D7640E"/>
    <w:rsid w:val="00D766FD"/>
    <w:rsid w:val="00D76F14"/>
    <w:rsid w:val="00D81BE8"/>
    <w:rsid w:val="00D82757"/>
    <w:rsid w:val="00D82AAE"/>
    <w:rsid w:val="00D86069"/>
    <w:rsid w:val="00D86433"/>
    <w:rsid w:val="00D867A9"/>
    <w:rsid w:val="00D871F7"/>
    <w:rsid w:val="00D879AD"/>
    <w:rsid w:val="00D90928"/>
    <w:rsid w:val="00D92965"/>
    <w:rsid w:val="00D93AC3"/>
    <w:rsid w:val="00D94880"/>
    <w:rsid w:val="00D94926"/>
    <w:rsid w:val="00D94A1E"/>
    <w:rsid w:val="00D950C6"/>
    <w:rsid w:val="00D954A3"/>
    <w:rsid w:val="00D95676"/>
    <w:rsid w:val="00D95DCA"/>
    <w:rsid w:val="00D95EFC"/>
    <w:rsid w:val="00DA31C9"/>
    <w:rsid w:val="00DA3242"/>
    <w:rsid w:val="00DA4514"/>
    <w:rsid w:val="00DA4D85"/>
    <w:rsid w:val="00DA5F3F"/>
    <w:rsid w:val="00DA614E"/>
    <w:rsid w:val="00DA7563"/>
    <w:rsid w:val="00DB165B"/>
    <w:rsid w:val="00DB2644"/>
    <w:rsid w:val="00DB3BE4"/>
    <w:rsid w:val="00DB4709"/>
    <w:rsid w:val="00DB4AE5"/>
    <w:rsid w:val="00DB5A27"/>
    <w:rsid w:val="00DB608A"/>
    <w:rsid w:val="00DB7853"/>
    <w:rsid w:val="00DC0C3C"/>
    <w:rsid w:val="00DC1674"/>
    <w:rsid w:val="00DC18DD"/>
    <w:rsid w:val="00DC1DF5"/>
    <w:rsid w:val="00DC3796"/>
    <w:rsid w:val="00DC6EC1"/>
    <w:rsid w:val="00DC7E74"/>
    <w:rsid w:val="00DD0660"/>
    <w:rsid w:val="00DD0D92"/>
    <w:rsid w:val="00DD18C0"/>
    <w:rsid w:val="00DD25A5"/>
    <w:rsid w:val="00DD2E6B"/>
    <w:rsid w:val="00DD363B"/>
    <w:rsid w:val="00DD568D"/>
    <w:rsid w:val="00DD7CE8"/>
    <w:rsid w:val="00DE0439"/>
    <w:rsid w:val="00DE112B"/>
    <w:rsid w:val="00DE4B31"/>
    <w:rsid w:val="00DE4F7C"/>
    <w:rsid w:val="00DE55F8"/>
    <w:rsid w:val="00DE6EA0"/>
    <w:rsid w:val="00DE7E91"/>
    <w:rsid w:val="00DF00F4"/>
    <w:rsid w:val="00DF0BD3"/>
    <w:rsid w:val="00DF2923"/>
    <w:rsid w:val="00DF2AB8"/>
    <w:rsid w:val="00DF3717"/>
    <w:rsid w:val="00DF3E95"/>
    <w:rsid w:val="00DF4445"/>
    <w:rsid w:val="00DF4957"/>
    <w:rsid w:val="00DF5EF3"/>
    <w:rsid w:val="00DF6BF9"/>
    <w:rsid w:val="00DF75D4"/>
    <w:rsid w:val="00DF7E3E"/>
    <w:rsid w:val="00E0053E"/>
    <w:rsid w:val="00E00C4C"/>
    <w:rsid w:val="00E02F04"/>
    <w:rsid w:val="00E039FE"/>
    <w:rsid w:val="00E05C15"/>
    <w:rsid w:val="00E062AD"/>
    <w:rsid w:val="00E1062A"/>
    <w:rsid w:val="00E11261"/>
    <w:rsid w:val="00E12670"/>
    <w:rsid w:val="00E12CDB"/>
    <w:rsid w:val="00E132A5"/>
    <w:rsid w:val="00E13C85"/>
    <w:rsid w:val="00E140DB"/>
    <w:rsid w:val="00E15472"/>
    <w:rsid w:val="00E16F85"/>
    <w:rsid w:val="00E17AD1"/>
    <w:rsid w:val="00E17FE7"/>
    <w:rsid w:val="00E200E1"/>
    <w:rsid w:val="00E21218"/>
    <w:rsid w:val="00E22E48"/>
    <w:rsid w:val="00E24640"/>
    <w:rsid w:val="00E24732"/>
    <w:rsid w:val="00E2473B"/>
    <w:rsid w:val="00E25A21"/>
    <w:rsid w:val="00E26B2F"/>
    <w:rsid w:val="00E26F08"/>
    <w:rsid w:val="00E302B0"/>
    <w:rsid w:val="00E309FF"/>
    <w:rsid w:val="00E31932"/>
    <w:rsid w:val="00E31C1B"/>
    <w:rsid w:val="00E3280F"/>
    <w:rsid w:val="00E33838"/>
    <w:rsid w:val="00E33ADC"/>
    <w:rsid w:val="00E34149"/>
    <w:rsid w:val="00E36939"/>
    <w:rsid w:val="00E37EF0"/>
    <w:rsid w:val="00E401CD"/>
    <w:rsid w:val="00E41D26"/>
    <w:rsid w:val="00E4529C"/>
    <w:rsid w:val="00E4548E"/>
    <w:rsid w:val="00E46390"/>
    <w:rsid w:val="00E51C8F"/>
    <w:rsid w:val="00E51E04"/>
    <w:rsid w:val="00E565FE"/>
    <w:rsid w:val="00E60634"/>
    <w:rsid w:val="00E60BC8"/>
    <w:rsid w:val="00E64E60"/>
    <w:rsid w:val="00E6540E"/>
    <w:rsid w:val="00E658D6"/>
    <w:rsid w:val="00E678B6"/>
    <w:rsid w:val="00E71E71"/>
    <w:rsid w:val="00E72E78"/>
    <w:rsid w:val="00E731AF"/>
    <w:rsid w:val="00E74A8F"/>
    <w:rsid w:val="00E75929"/>
    <w:rsid w:val="00E77DD3"/>
    <w:rsid w:val="00E8069E"/>
    <w:rsid w:val="00E80CAD"/>
    <w:rsid w:val="00E83907"/>
    <w:rsid w:val="00E86C77"/>
    <w:rsid w:val="00E86EFD"/>
    <w:rsid w:val="00E870E0"/>
    <w:rsid w:val="00E8764F"/>
    <w:rsid w:val="00E90D07"/>
    <w:rsid w:val="00E91A84"/>
    <w:rsid w:val="00E922A1"/>
    <w:rsid w:val="00E933A4"/>
    <w:rsid w:val="00E9435F"/>
    <w:rsid w:val="00E954BF"/>
    <w:rsid w:val="00E957BA"/>
    <w:rsid w:val="00E96121"/>
    <w:rsid w:val="00E96960"/>
    <w:rsid w:val="00E969F2"/>
    <w:rsid w:val="00E96FD5"/>
    <w:rsid w:val="00E976AA"/>
    <w:rsid w:val="00EA0B55"/>
    <w:rsid w:val="00EA0C8B"/>
    <w:rsid w:val="00EA12B6"/>
    <w:rsid w:val="00EA29A3"/>
    <w:rsid w:val="00EA2B62"/>
    <w:rsid w:val="00EA2B8A"/>
    <w:rsid w:val="00EA566E"/>
    <w:rsid w:val="00EA5911"/>
    <w:rsid w:val="00EA62EC"/>
    <w:rsid w:val="00EA74D6"/>
    <w:rsid w:val="00EA76F9"/>
    <w:rsid w:val="00EB0893"/>
    <w:rsid w:val="00EB106E"/>
    <w:rsid w:val="00EB1B58"/>
    <w:rsid w:val="00EB27B7"/>
    <w:rsid w:val="00EB2A4D"/>
    <w:rsid w:val="00EB2BFD"/>
    <w:rsid w:val="00EB3012"/>
    <w:rsid w:val="00EB3157"/>
    <w:rsid w:val="00EB46DD"/>
    <w:rsid w:val="00EB4A2A"/>
    <w:rsid w:val="00EB5A16"/>
    <w:rsid w:val="00EB5DC2"/>
    <w:rsid w:val="00EC034A"/>
    <w:rsid w:val="00EC0F17"/>
    <w:rsid w:val="00EC38EC"/>
    <w:rsid w:val="00EC3A70"/>
    <w:rsid w:val="00EC41BB"/>
    <w:rsid w:val="00EC6E75"/>
    <w:rsid w:val="00EC710A"/>
    <w:rsid w:val="00EC7E23"/>
    <w:rsid w:val="00ED1B91"/>
    <w:rsid w:val="00ED1CE4"/>
    <w:rsid w:val="00ED20F2"/>
    <w:rsid w:val="00ED21D0"/>
    <w:rsid w:val="00ED2A25"/>
    <w:rsid w:val="00ED3B44"/>
    <w:rsid w:val="00ED4113"/>
    <w:rsid w:val="00ED4121"/>
    <w:rsid w:val="00ED6850"/>
    <w:rsid w:val="00ED7203"/>
    <w:rsid w:val="00ED7610"/>
    <w:rsid w:val="00ED77EF"/>
    <w:rsid w:val="00ED7805"/>
    <w:rsid w:val="00EE0F73"/>
    <w:rsid w:val="00EE1299"/>
    <w:rsid w:val="00EE1700"/>
    <w:rsid w:val="00EE227F"/>
    <w:rsid w:val="00EE2F7F"/>
    <w:rsid w:val="00EE322A"/>
    <w:rsid w:val="00EE3612"/>
    <w:rsid w:val="00EE61A5"/>
    <w:rsid w:val="00EE7A38"/>
    <w:rsid w:val="00EF0914"/>
    <w:rsid w:val="00EF0E17"/>
    <w:rsid w:val="00EF146A"/>
    <w:rsid w:val="00EF1977"/>
    <w:rsid w:val="00EF303D"/>
    <w:rsid w:val="00EF3E4E"/>
    <w:rsid w:val="00EF475E"/>
    <w:rsid w:val="00EF53DB"/>
    <w:rsid w:val="00EF589E"/>
    <w:rsid w:val="00EF63DF"/>
    <w:rsid w:val="00F00C5B"/>
    <w:rsid w:val="00F06A42"/>
    <w:rsid w:val="00F06A78"/>
    <w:rsid w:val="00F07ADC"/>
    <w:rsid w:val="00F11433"/>
    <w:rsid w:val="00F1286B"/>
    <w:rsid w:val="00F13963"/>
    <w:rsid w:val="00F13999"/>
    <w:rsid w:val="00F13BAB"/>
    <w:rsid w:val="00F13BD3"/>
    <w:rsid w:val="00F1403C"/>
    <w:rsid w:val="00F15A80"/>
    <w:rsid w:val="00F15DE1"/>
    <w:rsid w:val="00F167F8"/>
    <w:rsid w:val="00F22C9F"/>
    <w:rsid w:val="00F25338"/>
    <w:rsid w:val="00F2795D"/>
    <w:rsid w:val="00F27F44"/>
    <w:rsid w:val="00F30148"/>
    <w:rsid w:val="00F31026"/>
    <w:rsid w:val="00F31C3E"/>
    <w:rsid w:val="00F32EB2"/>
    <w:rsid w:val="00F33824"/>
    <w:rsid w:val="00F34C94"/>
    <w:rsid w:val="00F35823"/>
    <w:rsid w:val="00F35BA3"/>
    <w:rsid w:val="00F3606A"/>
    <w:rsid w:val="00F415E7"/>
    <w:rsid w:val="00F43ECA"/>
    <w:rsid w:val="00F440CF"/>
    <w:rsid w:val="00F44562"/>
    <w:rsid w:val="00F4628E"/>
    <w:rsid w:val="00F47E8C"/>
    <w:rsid w:val="00F50E48"/>
    <w:rsid w:val="00F524FE"/>
    <w:rsid w:val="00F5262B"/>
    <w:rsid w:val="00F528D3"/>
    <w:rsid w:val="00F52F1C"/>
    <w:rsid w:val="00F54F9A"/>
    <w:rsid w:val="00F55E94"/>
    <w:rsid w:val="00F57C0A"/>
    <w:rsid w:val="00F57D27"/>
    <w:rsid w:val="00F604C2"/>
    <w:rsid w:val="00F60907"/>
    <w:rsid w:val="00F61A2C"/>
    <w:rsid w:val="00F63BAD"/>
    <w:rsid w:val="00F647BA"/>
    <w:rsid w:val="00F64C0B"/>
    <w:rsid w:val="00F65136"/>
    <w:rsid w:val="00F66C04"/>
    <w:rsid w:val="00F66D91"/>
    <w:rsid w:val="00F67A52"/>
    <w:rsid w:val="00F67FD3"/>
    <w:rsid w:val="00F708B2"/>
    <w:rsid w:val="00F73AD8"/>
    <w:rsid w:val="00F74CBB"/>
    <w:rsid w:val="00F75AB4"/>
    <w:rsid w:val="00F75C2F"/>
    <w:rsid w:val="00F76672"/>
    <w:rsid w:val="00F84435"/>
    <w:rsid w:val="00F848C5"/>
    <w:rsid w:val="00F84B55"/>
    <w:rsid w:val="00F84EFC"/>
    <w:rsid w:val="00F85DBF"/>
    <w:rsid w:val="00F85F32"/>
    <w:rsid w:val="00F87EBB"/>
    <w:rsid w:val="00F87F1A"/>
    <w:rsid w:val="00F90DB7"/>
    <w:rsid w:val="00F90E9F"/>
    <w:rsid w:val="00F913BD"/>
    <w:rsid w:val="00F92274"/>
    <w:rsid w:val="00F927EF"/>
    <w:rsid w:val="00F92FE5"/>
    <w:rsid w:val="00F942D9"/>
    <w:rsid w:val="00F945A8"/>
    <w:rsid w:val="00F94F04"/>
    <w:rsid w:val="00F9534F"/>
    <w:rsid w:val="00F95FF6"/>
    <w:rsid w:val="00F96422"/>
    <w:rsid w:val="00F9748F"/>
    <w:rsid w:val="00F9749F"/>
    <w:rsid w:val="00FA0583"/>
    <w:rsid w:val="00FA0E11"/>
    <w:rsid w:val="00FA20C5"/>
    <w:rsid w:val="00FA6503"/>
    <w:rsid w:val="00FA7884"/>
    <w:rsid w:val="00FB27EB"/>
    <w:rsid w:val="00FB32E5"/>
    <w:rsid w:val="00FB3D69"/>
    <w:rsid w:val="00FB48F5"/>
    <w:rsid w:val="00FB6334"/>
    <w:rsid w:val="00FB7B1C"/>
    <w:rsid w:val="00FB7F4F"/>
    <w:rsid w:val="00FC03C4"/>
    <w:rsid w:val="00FC0DF4"/>
    <w:rsid w:val="00FC1F16"/>
    <w:rsid w:val="00FC223B"/>
    <w:rsid w:val="00FC5512"/>
    <w:rsid w:val="00FC6337"/>
    <w:rsid w:val="00FC6DF3"/>
    <w:rsid w:val="00FD02ED"/>
    <w:rsid w:val="00FD0442"/>
    <w:rsid w:val="00FD08AE"/>
    <w:rsid w:val="00FD2D65"/>
    <w:rsid w:val="00FD4FDB"/>
    <w:rsid w:val="00FD520D"/>
    <w:rsid w:val="00FD5FFF"/>
    <w:rsid w:val="00FD74C1"/>
    <w:rsid w:val="00FE0925"/>
    <w:rsid w:val="00FE13D9"/>
    <w:rsid w:val="00FE1AF1"/>
    <w:rsid w:val="00FE22D8"/>
    <w:rsid w:val="00FE2BF6"/>
    <w:rsid w:val="00FE5C27"/>
    <w:rsid w:val="00FE5CFA"/>
    <w:rsid w:val="00FE67A8"/>
    <w:rsid w:val="00FE6B7B"/>
    <w:rsid w:val="00FE792D"/>
    <w:rsid w:val="00FF01A6"/>
    <w:rsid w:val="00FF1320"/>
    <w:rsid w:val="00FF138C"/>
    <w:rsid w:val="00FF6386"/>
    <w:rsid w:val="00FF7D05"/>
    <w:rsid w:val="135973B1"/>
    <w:rsid w:val="1EF20823"/>
    <w:rsid w:val="28B067DC"/>
    <w:rsid w:val="3ADD6D36"/>
    <w:rsid w:val="3C9817A7"/>
    <w:rsid w:val="46A3560D"/>
    <w:rsid w:val="4FDF69B1"/>
    <w:rsid w:val="51B3789B"/>
    <w:rsid w:val="59905694"/>
    <w:rsid w:val="66B15FF3"/>
    <w:rsid w:val="71A4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FA66"/>
  <w15:docId w15:val="{AF531A08-D4DB-4DBA-B682-AF9A7F96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TOC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uiPriority w:val="99"/>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TOC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lang w:val="zh-CN"/>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uiPriority w:val="39"/>
    <w:qFormat/>
    <w:pPr>
      <w:ind w:leftChars="200" w:left="420"/>
    </w:pPr>
  </w:style>
  <w:style w:type="paragraph" w:styleId="TOC9">
    <w:name w:val="toc 9"/>
    <w:basedOn w:val="a"/>
    <w:next w:val="a"/>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lang w:val="zh-CN"/>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Hyperlink"/>
    <w:uiPriority w:val="99"/>
    <w:qFormat/>
    <w:rPr>
      <w:color w:val="0000FF"/>
      <w:u w:val="single"/>
    </w:rPr>
  </w:style>
  <w:style w:type="character" w:styleId="af5">
    <w:name w:val="annotation reference"/>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1">
    <w:name w:val="已访问的超链接1"/>
    <w:qFormat/>
    <w:rPr>
      <w:color w:val="800080"/>
      <w:u w:val="single"/>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uiPriority w:val="99"/>
    <w:qFormat/>
    <w:rPr>
      <w:rFonts w:eastAsia="宋体"/>
      <w:kern w:val="2"/>
      <w:sz w:val="21"/>
      <w:szCs w:val="24"/>
      <w:lang w:val="en-US" w:eastAsia="zh-CN" w:bidi="ar-SA"/>
    </w:rPr>
  </w:style>
  <w:style w:type="paragraph" w:customStyle="1" w:styleId="12">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21">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styleId="af6">
    <w:name w:val="Revision"/>
    <w:hidden/>
    <w:uiPriority w:val="99"/>
    <w:semiHidden/>
    <w:rsid w:val="00C277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8812">
      <w:bodyDiv w:val="1"/>
      <w:marLeft w:val="0"/>
      <w:marRight w:val="0"/>
      <w:marTop w:val="0"/>
      <w:marBottom w:val="0"/>
      <w:divBdr>
        <w:top w:val="none" w:sz="0" w:space="0" w:color="auto"/>
        <w:left w:val="none" w:sz="0" w:space="0" w:color="auto"/>
        <w:bottom w:val="none" w:sz="0" w:space="0" w:color="auto"/>
        <w:right w:val="none" w:sz="0" w:space="0" w:color="auto"/>
      </w:divBdr>
      <w:divsChild>
        <w:div w:id="1156995393">
          <w:marLeft w:val="0"/>
          <w:marRight w:val="0"/>
          <w:marTop w:val="240"/>
          <w:marBottom w:val="240"/>
          <w:divBdr>
            <w:top w:val="none" w:sz="0" w:space="0" w:color="auto"/>
            <w:left w:val="none" w:sz="0" w:space="0" w:color="auto"/>
            <w:bottom w:val="none" w:sz="0" w:space="0" w:color="auto"/>
            <w:right w:val="none" w:sz="0" w:space="0" w:color="auto"/>
          </w:divBdr>
        </w:div>
        <w:div w:id="9504745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2C4B-8A87-48BF-A6A7-3C1EA5160CA1}">
  <ds:schemaRefs>
    <ds:schemaRef ds:uri="http://schemas.openxmlformats.org/officeDocument/2006/bibliography"/>
  </ds:schemaRefs>
</ds:datastoreItem>
</file>

<file path=customXml/itemProps10.xml><?xml version="1.0" encoding="utf-8"?>
<ds:datastoreItem xmlns:ds="http://schemas.openxmlformats.org/officeDocument/2006/customXml" ds:itemID="{20D5CB2A-D5C4-4074-8B18-007A5655CC0E}">
  <ds:schemaRefs>
    <ds:schemaRef ds:uri="http://schemas.openxmlformats.org/officeDocument/2006/bibliography"/>
  </ds:schemaRefs>
</ds:datastoreItem>
</file>

<file path=customXml/itemProps11.xml><?xml version="1.0" encoding="utf-8"?>
<ds:datastoreItem xmlns:ds="http://schemas.openxmlformats.org/officeDocument/2006/customXml" ds:itemID="{35E3E8E6-3D04-4047-8318-222B23C0ED7E}">
  <ds:schemaRefs>
    <ds:schemaRef ds:uri="http://schemas.openxmlformats.org/officeDocument/2006/bibliography"/>
  </ds:schemaRefs>
</ds:datastoreItem>
</file>

<file path=customXml/itemProps12.xml><?xml version="1.0" encoding="utf-8"?>
<ds:datastoreItem xmlns:ds="http://schemas.openxmlformats.org/officeDocument/2006/customXml" ds:itemID="{01CB9732-784A-459D-9AC6-CB20F36AA83F}">
  <ds:schemaRefs>
    <ds:schemaRef ds:uri="http://schemas.openxmlformats.org/officeDocument/2006/bibliography"/>
  </ds:schemaRefs>
</ds:datastoreItem>
</file>

<file path=customXml/itemProps13.xml><?xml version="1.0" encoding="utf-8"?>
<ds:datastoreItem xmlns:ds="http://schemas.openxmlformats.org/officeDocument/2006/customXml" ds:itemID="{02787681-DD3F-41BA-9F74-74599C4ABA20}">
  <ds:schemaRefs>
    <ds:schemaRef ds:uri="http://schemas.openxmlformats.org/officeDocument/2006/bibliography"/>
  </ds:schemaRefs>
</ds:datastoreItem>
</file>

<file path=customXml/itemProps14.xml><?xml version="1.0" encoding="utf-8"?>
<ds:datastoreItem xmlns:ds="http://schemas.openxmlformats.org/officeDocument/2006/customXml" ds:itemID="{11020F76-17A3-4F46-901B-8A436CE1D856}">
  <ds:schemaRefs>
    <ds:schemaRef ds:uri="http://schemas.openxmlformats.org/officeDocument/2006/bibliography"/>
  </ds:schemaRefs>
</ds:datastoreItem>
</file>

<file path=customXml/itemProps15.xml><?xml version="1.0" encoding="utf-8"?>
<ds:datastoreItem xmlns:ds="http://schemas.openxmlformats.org/officeDocument/2006/customXml" ds:itemID="{D022C4A1-6EF4-48A5-9EAF-BEAC30EBE12A}">
  <ds:schemaRefs>
    <ds:schemaRef ds:uri="http://schemas.openxmlformats.org/officeDocument/2006/bibliography"/>
  </ds:schemaRefs>
</ds:datastoreItem>
</file>

<file path=customXml/itemProps16.xml><?xml version="1.0" encoding="utf-8"?>
<ds:datastoreItem xmlns:ds="http://schemas.openxmlformats.org/officeDocument/2006/customXml" ds:itemID="{6B7268E8-C89C-45B7-BB79-01535FD29DE2}">
  <ds:schemaRefs>
    <ds:schemaRef ds:uri="http://schemas.openxmlformats.org/officeDocument/2006/bibliography"/>
  </ds:schemaRefs>
</ds:datastoreItem>
</file>

<file path=customXml/itemProps17.xml><?xml version="1.0" encoding="utf-8"?>
<ds:datastoreItem xmlns:ds="http://schemas.openxmlformats.org/officeDocument/2006/customXml" ds:itemID="{B8D4826B-D580-4B81-A7C0-91C7C5A25DE6}">
  <ds:schemaRefs>
    <ds:schemaRef ds:uri="http://schemas.openxmlformats.org/officeDocument/2006/bibliography"/>
  </ds:schemaRefs>
</ds:datastoreItem>
</file>

<file path=customXml/itemProps18.xml><?xml version="1.0" encoding="utf-8"?>
<ds:datastoreItem xmlns:ds="http://schemas.openxmlformats.org/officeDocument/2006/customXml" ds:itemID="{4C57EE80-954F-4FB1-8CA4-7E969C295317}">
  <ds:schemaRefs>
    <ds:schemaRef ds:uri="http://schemas.openxmlformats.org/officeDocument/2006/bibliography"/>
  </ds:schemaRefs>
</ds:datastoreItem>
</file>

<file path=customXml/itemProps19.xml><?xml version="1.0" encoding="utf-8"?>
<ds:datastoreItem xmlns:ds="http://schemas.openxmlformats.org/officeDocument/2006/customXml" ds:itemID="{6919DC7E-711A-431E-8C09-02224EC1281C}">
  <ds:schemaRefs>
    <ds:schemaRef ds:uri="http://schemas.openxmlformats.org/officeDocument/2006/bibliography"/>
  </ds:schemaRefs>
</ds:datastoreItem>
</file>

<file path=customXml/itemProps2.xml><?xml version="1.0" encoding="utf-8"?>
<ds:datastoreItem xmlns:ds="http://schemas.openxmlformats.org/officeDocument/2006/customXml" ds:itemID="{05305B79-B552-4398-9B4E-7F9360C03368}">
  <ds:schemaRefs>
    <ds:schemaRef ds:uri="http://schemas.openxmlformats.org/officeDocument/2006/bibliography"/>
  </ds:schemaRefs>
</ds:datastoreItem>
</file>

<file path=customXml/itemProps20.xml><?xml version="1.0" encoding="utf-8"?>
<ds:datastoreItem xmlns:ds="http://schemas.openxmlformats.org/officeDocument/2006/customXml" ds:itemID="{A964E764-34B8-4351-8343-F8A0757D59ED}">
  <ds:schemaRefs>
    <ds:schemaRef ds:uri="http://schemas.openxmlformats.org/officeDocument/2006/bibliography"/>
  </ds:schemaRefs>
</ds:datastoreItem>
</file>

<file path=customXml/itemProps21.xml><?xml version="1.0" encoding="utf-8"?>
<ds:datastoreItem xmlns:ds="http://schemas.openxmlformats.org/officeDocument/2006/customXml" ds:itemID="{37E54300-B918-4FCF-BEA5-75BA1163646C}">
  <ds:schemaRefs>
    <ds:schemaRef ds:uri="http://schemas.openxmlformats.org/officeDocument/2006/bibliography"/>
  </ds:schemaRefs>
</ds:datastoreItem>
</file>

<file path=customXml/itemProps22.xml><?xml version="1.0" encoding="utf-8"?>
<ds:datastoreItem xmlns:ds="http://schemas.openxmlformats.org/officeDocument/2006/customXml" ds:itemID="{E7BC6ECB-F6CF-4AAA-A1C5-A8A23C0C64A9}">
  <ds:schemaRefs>
    <ds:schemaRef ds:uri="http://schemas.openxmlformats.org/officeDocument/2006/bibliography"/>
  </ds:schemaRefs>
</ds:datastoreItem>
</file>

<file path=customXml/itemProps23.xml><?xml version="1.0" encoding="utf-8"?>
<ds:datastoreItem xmlns:ds="http://schemas.openxmlformats.org/officeDocument/2006/customXml" ds:itemID="{23BF0C43-4A68-4D48-BE1A-A99A0F19DE79}">
  <ds:schemaRefs>
    <ds:schemaRef ds:uri="http://schemas.openxmlformats.org/officeDocument/2006/bibliography"/>
  </ds:schemaRefs>
</ds:datastoreItem>
</file>

<file path=customXml/itemProps24.xml><?xml version="1.0" encoding="utf-8"?>
<ds:datastoreItem xmlns:ds="http://schemas.openxmlformats.org/officeDocument/2006/customXml" ds:itemID="{4FC1D37C-4F4A-4E40-BEF6-3A9F758AD188}">
  <ds:schemaRefs>
    <ds:schemaRef ds:uri="http://schemas.openxmlformats.org/officeDocument/2006/bibliography"/>
  </ds:schemaRefs>
</ds:datastoreItem>
</file>

<file path=customXml/itemProps25.xml><?xml version="1.0" encoding="utf-8"?>
<ds:datastoreItem xmlns:ds="http://schemas.openxmlformats.org/officeDocument/2006/customXml" ds:itemID="{F4C84B4F-93F6-45EE-80A7-01437E3E748A}">
  <ds:schemaRefs>
    <ds:schemaRef ds:uri="http://schemas.openxmlformats.org/officeDocument/2006/bibliography"/>
  </ds:schemaRefs>
</ds:datastoreItem>
</file>

<file path=customXml/itemProps26.xml><?xml version="1.0" encoding="utf-8"?>
<ds:datastoreItem xmlns:ds="http://schemas.openxmlformats.org/officeDocument/2006/customXml" ds:itemID="{F4DFA7B5-A968-419F-8F88-7FB95D5A5998}">
  <ds:schemaRefs>
    <ds:schemaRef ds:uri="http://schemas.openxmlformats.org/officeDocument/2006/bibliography"/>
  </ds:schemaRefs>
</ds:datastoreItem>
</file>

<file path=customXml/itemProps27.xml><?xml version="1.0" encoding="utf-8"?>
<ds:datastoreItem xmlns:ds="http://schemas.openxmlformats.org/officeDocument/2006/customXml" ds:itemID="{FC8EC00D-A0A6-4A7D-AB12-379492F05BDB}">
  <ds:schemaRefs>
    <ds:schemaRef ds:uri="http://schemas.openxmlformats.org/officeDocument/2006/bibliography"/>
  </ds:schemaRefs>
</ds:datastoreItem>
</file>

<file path=customXml/itemProps28.xml><?xml version="1.0" encoding="utf-8"?>
<ds:datastoreItem xmlns:ds="http://schemas.openxmlformats.org/officeDocument/2006/customXml" ds:itemID="{3781D005-D05C-4C43-9D17-CB0AD31EB2F6}">
  <ds:schemaRefs>
    <ds:schemaRef ds:uri="http://schemas.openxmlformats.org/officeDocument/2006/bibliography"/>
  </ds:schemaRefs>
</ds:datastoreItem>
</file>

<file path=customXml/itemProps29.xml><?xml version="1.0" encoding="utf-8"?>
<ds:datastoreItem xmlns:ds="http://schemas.openxmlformats.org/officeDocument/2006/customXml" ds:itemID="{E48BFED2-CC3A-4F10-B396-FDBDFC87D1EB}">
  <ds:schemaRefs>
    <ds:schemaRef ds:uri="http://schemas.openxmlformats.org/officeDocument/2006/bibliography"/>
  </ds:schemaRefs>
</ds:datastoreItem>
</file>

<file path=customXml/itemProps3.xml><?xml version="1.0" encoding="utf-8"?>
<ds:datastoreItem xmlns:ds="http://schemas.openxmlformats.org/officeDocument/2006/customXml" ds:itemID="{B2009CE7-48D2-4FF2-8077-7452B252AF53}">
  <ds:schemaRefs>
    <ds:schemaRef ds:uri="http://schemas.openxmlformats.org/officeDocument/2006/bibliography"/>
  </ds:schemaRefs>
</ds:datastoreItem>
</file>

<file path=customXml/itemProps30.xml><?xml version="1.0" encoding="utf-8"?>
<ds:datastoreItem xmlns:ds="http://schemas.openxmlformats.org/officeDocument/2006/customXml" ds:itemID="{4BAC16EF-A992-4800-A387-317E0DFC33B1}">
  <ds:schemaRefs>
    <ds:schemaRef ds:uri="http://schemas.openxmlformats.org/officeDocument/2006/bibliography"/>
  </ds:schemaRefs>
</ds:datastoreItem>
</file>

<file path=customXml/itemProps31.xml><?xml version="1.0" encoding="utf-8"?>
<ds:datastoreItem xmlns:ds="http://schemas.openxmlformats.org/officeDocument/2006/customXml" ds:itemID="{0D663050-8650-4D89-B285-393FAC0203A2}">
  <ds:schemaRefs>
    <ds:schemaRef ds:uri="http://schemas.openxmlformats.org/officeDocument/2006/bibliography"/>
  </ds:schemaRefs>
</ds:datastoreItem>
</file>

<file path=customXml/itemProps32.xml><?xml version="1.0" encoding="utf-8"?>
<ds:datastoreItem xmlns:ds="http://schemas.openxmlformats.org/officeDocument/2006/customXml" ds:itemID="{A26B189F-F8CE-4D0E-B3D1-59A1229396B4}">
  <ds:schemaRefs>
    <ds:schemaRef ds:uri="http://schemas.openxmlformats.org/officeDocument/2006/bibliography"/>
  </ds:schemaRefs>
</ds:datastoreItem>
</file>

<file path=customXml/itemProps33.xml><?xml version="1.0" encoding="utf-8"?>
<ds:datastoreItem xmlns:ds="http://schemas.openxmlformats.org/officeDocument/2006/customXml" ds:itemID="{907D376C-4702-4257-A980-500711FB3FCC}">
  <ds:schemaRefs>
    <ds:schemaRef ds:uri="http://schemas.openxmlformats.org/officeDocument/2006/bibliography"/>
  </ds:schemaRefs>
</ds:datastoreItem>
</file>

<file path=customXml/itemProps4.xml><?xml version="1.0" encoding="utf-8"?>
<ds:datastoreItem xmlns:ds="http://schemas.openxmlformats.org/officeDocument/2006/customXml" ds:itemID="{98C9F7B6-33BF-4A0E-95D3-89C22A43651E}">
  <ds:schemaRefs>
    <ds:schemaRef ds:uri="http://schemas.openxmlformats.org/officeDocument/2006/bibliography"/>
  </ds:schemaRefs>
</ds:datastoreItem>
</file>

<file path=customXml/itemProps5.xml><?xml version="1.0" encoding="utf-8"?>
<ds:datastoreItem xmlns:ds="http://schemas.openxmlformats.org/officeDocument/2006/customXml" ds:itemID="{5B2897BB-B746-4929-8734-BA6474A03D42}">
  <ds:schemaRefs>
    <ds:schemaRef ds:uri="http://schemas.openxmlformats.org/officeDocument/2006/bibliography"/>
  </ds:schemaRefs>
</ds:datastoreItem>
</file>

<file path=customXml/itemProps6.xml><?xml version="1.0" encoding="utf-8"?>
<ds:datastoreItem xmlns:ds="http://schemas.openxmlformats.org/officeDocument/2006/customXml" ds:itemID="{5E2C70EB-197C-40F0-8D3B-A72BF21071D3}">
  <ds:schemaRefs>
    <ds:schemaRef ds:uri="http://schemas.openxmlformats.org/officeDocument/2006/bibliography"/>
  </ds:schemaRefs>
</ds:datastoreItem>
</file>

<file path=customXml/itemProps7.xml><?xml version="1.0" encoding="utf-8"?>
<ds:datastoreItem xmlns:ds="http://schemas.openxmlformats.org/officeDocument/2006/customXml" ds:itemID="{30B5D5F1-4E30-4937-A65E-7291C553C19C}">
  <ds:schemaRefs>
    <ds:schemaRef ds:uri="http://schemas.openxmlformats.org/officeDocument/2006/bibliography"/>
  </ds:schemaRefs>
</ds:datastoreItem>
</file>

<file path=customXml/itemProps8.xml><?xml version="1.0" encoding="utf-8"?>
<ds:datastoreItem xmlns:ds="http://schemas.openxmlformats.org/officeDocument/2006/customXml" ds:itemID="{5DDEBA9F-4CCA-4204-8FDD-93957934210E}">
  <ds:schemaRefs>
    <ds:schemaRef ds:uri="http://schemas.openxmlformats.org/officeDocument/2006/bibliography"/>
  </ds:schemaRefs>
</ds:datastoreItem>
</file>

<file path=customXml/itemProps9.xml><?xml version="1.0" encoding="utf-8"?>
<ds:datastoreItem xmlns:ds="http://schemas.openxmlformats.org/officeDocument/2006/customXml" ds:itemID="{60B0F56C-6502-419B-8423-DAAB989A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4491</Words>
  <Characters>25602</Characters>
  <Application>Microsoft Office Word</Application>
  <DocSecurity>0</DocSecurity>
  <Lines>213</Lines>
  <Paragraphs>60</Paragraphs>
  <ScaleCrop>false</ScaleCrop>
  <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资产托管部</dc:creator>
  <cp:lastModifiedBy>严慧宁（战略规划及业务发展部）</cp:lastModifiedBy>
  <cp:revision>121</cp:revision>
  <cp:lastPrinted>2026-02-12T08:30:00Z</cp:lastPrinted>
  <dcterms:created xsi:type="dcterms:W3CDTF">2026-01-29T11:49:00Z</dcterms:created>
  <dcterms:modified xsi:type="dcterms:W3CDTF">2026-05-11T10:32:00Z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ProductBuildVer">
    <vt:lpwstr>2052-12.1.0.24034</vt:lpwstr>
  </property>
  <property fmtid="{D5CDD505-2E9C-101B-9397-08002B2CF9AE}" pid="5" name="ICV">
    <vt:lpwstr>E4F77F4DF7B3464A92650BF1AF06F221</vt:lpwstr>
  </property>
  <property fmtid="{D5CDD505-2E9C-101B-9397-08002B2CF9AE}" pid="6" name="KSOTemplateDocerSaveRecord">
    <vt:lpwstr>eyJoZGlkIjoiZTlmMWVkN2QyMjdkMDA5ZDY4OTI0NzdmYzJiNTA1ODgiLCJ1c2VySWQiOiIyOTI5MDQ2NzUifQ==</vt:lpwstr>
  </property>
</Properties>
</file>