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24774E" w:rsidRDefault="0024774E">
      <w:pPr>
        <w:spacing w:line="520" w:lineRule="exact"/>
        <w:jc w:val="center"/>
        <w:rPr>
          <w:rFonts w:ascii="宋体"/>
          <w:sz w:val="24"/>
          <w:szCs w:val="28"/>
        </w:rPr>
      </w:pPr>
    </w:p>
    <w:p w:rsidR="0024774E" w:rsidRDefault="0024774E">
      <w:pPr>
        <w:spacing w:line="520" w:lineRule="exact"/>
        <w:jc w:val="center"/>
        <w:rPr>
          <w:rFonts w:ascii="宋体" w:hAnsi="宋体"/>
          <w:shadow/>
          <w:sz w:val="28"/>
          <w:szCs w:val="28"/>
        </w:rPr>
      </w:pPr>
    </w:p>
    <w:p w:rsidR="0024774E" w:rsidRDefault="0024774E">
      <w:pPr>
        <w:spacing w:line="520" w:lineRule="exact"/>
        <w:jc w:val="center"/>
        <w:rPr>
          <w:rFonts w:ascii="宋体" w:hAnsi="宋体"/>
          <w:shadow/>
          <w:sz w:val="28"/>
          <w:szCs w:val="28"/>
        </w:rPr>
      </w:pPr>
    </w:p>
    <w:p w:rsidR="0024774E" w:rsidRDefault="0024774E">
      <w:pPr>
        <w:spacing w:line="520" w:lineRule="exact"/>
        <w:jc w:val="center"/>
        <w:rPr>
          <w:rFonts w:ascii="宋体" w:hAnsi="宋体"/>
          <w:shadow/>
          <w:sz w:val="28"/>
          <w:szCs w:val="28"/>
        </w:rPr>
      </w:pPr>
    </w:p>
    <w:p w:rsidR="0024774E" w:rsidRDefault="0024774E">
      <w:pPr>
        <w:spacing w:line="520" w:lineRule="exact"/>
        <w:jc w:val="center"/>
        <w:rPr>
          <w:rFonts w:ascii="宋体" w:hAnsi="宋体"/>
          <w:shadow/>
          <w:sz w:val="28"/>
          <w:szCs w:val="28"/>
        </w:rPr>
      </w:pPr>
    </w:p>
    <w:p w:rsidR="0024774E" w:rsidRPr="00EF692E" w:rsidRDefault="000975C7">
      <w:pPr>
        <w:spacing w:line="360" w:lineRule="auto"/>
        <w:jc w:val="center"/>
        <w:rPr>
          <w:rFonts w:ascii="宋体" w:hAnsi="宋体"/>
          <w:b/>
          <w:sz w:val="44"/>
          <w:szCs w:val="44"/>
        </w:rPr>
      </w:pPr>
      <w:bookmarkStart w:id="0" w:name="_Toc123112222"/>
      <w:bookmarkStart w:id="1" w:name="_Toc139991724"/>
      <w:bookmarkStart w:id="2" w:name="_Toc139992299"/>
      <w:bookmarkStart w:id="3" w:name="_Toc123701381"/>
      <w:bookmarkStart w:id="4" w:name="_Toc123112261"/>
      <w:r w:rsidRPr="00EF692E">
        <w:rPr>
          <w:rFonts w:ascii="宋体" w:hAnsi="宋体" w:hint="eastAsia"/>
          <w:b/>
          <w:sz w:val="44"/>
          <w:szCs w:val="44"/>
        </w:rPr>
        <w:t>招商智信优选6个月持有期混合型</w:t>
      </w:r>
    </w:p>
    <w:p w:rsidR="0024774E" w:rsidRPr="00EF692E" w:rsidRDefault="000975C7">
      <w:pPr>
        <w:spacing w:line="360" w:lineRule="auto"/>
        <w:jc w:val="center"/>
        <w:rPr>
          <w:rFonts w:ascii="宋体" w:hAnsi="宋体"/>
          <w:b/>
          <w:sz w:val="44"/>
          <w:szCs w:val="44"/>
        </w:rPr>
      </w:pPr>
      <w:r w:rsidRPr="00EF692E">
        <w:rPr>
          <w:rFonts w:ascii="宋体" w:hAnsi="宋体" w:hint="eastAsia"/>
          <w:b/>
          <w:sz w:val="44"/>
          <w:szCs w:val="44"/>
        </w:rPr>
        <w:t>基金中基金（FOF）</w:t>
      </w:r>
    </w:p>
    <w:bookmarkEnd w:id="0"/>
    <w:bookmarkEnd w:id="1"/>
    <w:bookmarkEnd w:id="2"/>
    <w:bookmarkEnd w:id="3"/>
    <w:bookmarkEnd w:id="4"/>
    <w:p w:rsidR="0024774E" w:rsidRPr="00EF692E" w:rsidRDefault="000975C7">
      <w:pPr>
        <w:spacing w:line="360" w:lineRule="auto"/>
        <w:jc w:val="center"/>
        <w:rPr>
          <w:rFonts w:ascii="宋体" w:hAnsi="宋体"/>
          <w:b/>
          <w:sz w:val="44"/>
          <w:szCs w:val="44"/>
        </w:rPr>
      </w:pPr>
      <w:r w:rsidRPr="00EF692E">
        <w:rPr>
          <w:rFonts w:ascii="宋体" w:hAnsi="宋体" w:hint="eastAsia"/>
          <w:b/>
          <w:sz w:val="44"/>
          <w:szCs w:val="44"/>
        </w:rPr>
        <w:t>托管协议</w:t>
      </w:r>
    </w:p>
    <w:p w:rsidR="0024774E" w:rsidRPr="00EF692E" w:rsidRDefault="0024774E">
      <w:pPr>
        <w:spacing w:line="360" w:lineRule="auto"/>
        <w:jc w:val="center"/>
        <w:rPr>
          <w:rFonts w:ascii="宋体" w:hAnsi="宋体"/>
          <w:b/>
          <w:sz w:val="44"/>
          <w:szCs w:val="44"/>
        </w:rPr>
      </w:pPr>
    </w:p>
    <w:p w:rsidR="0024774E" w:rsidRPr="00EF692E" w:rsidRDefault="0024774E">
      <w:pPr>
        <w:pStyle w:val="20"/>
        <w:spacing w:line="520" w:lineRule="exact"/>
        <w:ind w:firstLine="560"/>
        <w:rPr>
          <w:rFonts w:hAnsi="宋体"/>
          <w:sz w:val="28"/>
          <w:szCs w:val="28"/>
        </w:rPr>
      </w:pPr>
    </w:p>
    <w:p w:rsidR="0024774E" w:rsidRPr="00EF692E" w:rsidRDefault="0024774E">
      <w:pPr>
        <w:pStyle w:val="20"/>
        <w:spacing w:line="520" w:lineRule="exact"/>
        <w:ind w:firstLine="560"/>
        <w:rPr>
          <w:rFonts w:hAnsi="宋体"/>
          <w:sz w:val="28"/>
          <w:szCs w:val="28"/>
        </w:rPr>
      </w:pPr>
    </w:p>
    <w:p w:rsidR="0024774E" w:rsidRPr="00EF692E" w:rsidRDefault="0024774E">
      <w:pPr>
        <w:pStyle w:val="20"/>
        <w:spacing w:line="520" w:lineRule="exact"/>
        <w:ind w:firstLine="560"/>
        <w:rPr>
          <w:rFonts w:hAnsi="宋体"/>
          <w:sz w:val="28"/>
          <w:szCs w:val="28"/>
        </w:rPr>
      </w:pPr>
    </w:p>
    <w:p w:rsidR="0024774E" w:rsidRPr="00EF692E" w:rsidRDefault="0024774E">
      <w:pPr>
        <w:pStyle w:val="20"/>
        <w:spacing w:line="520" w:lineRule="exact"/>
        <w:ind w:firstLine="560"/>
        <w:rPr>
          <w:rFonts w:hAnsi="宋体"/>
          <w:sz w:val="28"/>
          <w:szCs w:val="28"/>
        </w:rPr>
      </w:pPr>
    </w:p>
    <w:p w:rsidR="0024774E" w:rsidRPr="00EF692E" w:rsidRDefault="0024774E">
      <w:pPr>
        <w:pStyle w:val="20"/>
        <w:spacing w:line="520" w:lineRule="exact"/>
        <w:ind w:firstLine="560"/>
        <w:rPr>
          <w:rFonts w:hAnsi="宋体"/>
          <w:sz w:val="28"/>
          <w:szCs w:val="28"/>
        </w:rPr>
      </w:pPr>
    </w:p>
    <w:p w:rsidR="0024774E" w:rsidRPr="00EF692E" w:rsidRDefault="0024774E">
      <w:pPr>
        <w:pStyle w:val="20"/>
        <w:spacing w:line="520" w:lineRule="exact"/>
        <w:ind w:firstLine="560"/>
        <w:rPr>
          <w:rFonts w:hAnsi="宋体"/>
          <w:sz w:val="28"/>
          <w:szCs w:val="28"/>
        </w:rPr>
      </w:pPr>
    </w:p>
    <w:p w:rsidR="0024774E" w:rsidRPr="00EF692E" w:rsidRDefault="0024774E">
      <w:pPr>
        <w:pStyle w:val="20"/>
        <w:spacing w:line="520" w:lineRule="exact"/>
        <w:ind w:firstLine="560"/>
        <w:rPr>
          <w:rFonts w:hAnsi="宋体"/>
          <w:sz w:val="28"/>
          <w:szCs w:val="28"/>
        </w:rPr>
      </w:pPr>
    </w:p>
    <w:p w:rsidR="0024774E" w:rsidRPr="00EF692E" w:rsidRDefault="000975C7">
      <w:pPr>
        <w:spacing w:line="360" w:lineRule="auto"/>
        <w:jc w:val="center"/>
        <w:rPr>
          <w:rFonts w:ascii="宋体" w:hAnsi="宋体"/>
          <w:b/>
          <w:sz w:val="36"/>
        </w:rPr>
      </w:pPr>
      <w:bookmarkStart w:id="5" w:name="_Toc123112224"/>
      <w:bookmarkStart w:id="6" w:name="_Toc123701383"/>
      <w:bookmarkStart w:id="7" w:name="_Toc139992301"/>
      <w:bookmarkStart w:id="8" w:name="_Toc139991726"/>
      <w:bookmarkStart w:id="9" w:name="_Toc123112263"/>
      <w:r w:rsidRPr="00EF692E">
        <w:rPr>
          <w:rFonts w:ascii="宋体" w:hAnsi="宋体"/>
          <w:b/>
          <w:sz w:val="36"/>
        </w:rPr>
        <w:t>基金管理人：</w:t>
      </w:r>
      <w:bookmarkEnd w:id="5"/>
      <w:bookmarkEnd w:id="6"/>
      <w:bookmarkEnd w:id="7"/>
      <w:bookmarkEnd w:id="8"/>
      <w:bookmarkEnd w:id="9"/>
      <w:r w:rsidRPr="00EF692E">
        <w:rPr>
          <w:rFonts w:ascii="宋体" w:hAnsi="宋体" w:hint="eastAsia"/>
          <w:b/>
          <w:sz w:val="36"/>
        </w:rPr>
        <w:t>招商基金管理有限公司</w:t>
      </w:r>
    </w:p>
    <w:p w:rsidR="0024774E" w:rsidRPr="00EF692E" w:rsidRDefault="000975C7">
      <w:pPr>
        <w:spacing w:line="360" w:lineRule="auto"/>
        <w:jc w:val="center"/>
        <w:rPr>
          <w:rFonts w:ascii="宋体" w:hAnsi="宋体"/>
          <w:b/>
          <w:sz w:val="36"/>
        </w:rPr>
      </w:pPr>
      <w:bookmarkStart w:id="10" w:name="_Toc139991727"/>
      <w:bookmarkStart w:id="11" w:name="_Toc139992302"/>
      <w:bookmarkStart w:id="12" w:name="_Toc123112225"/>
      <w:bookmarkStart w:id="13" w:name="_Toc123701384"/>
      <w:bookmarkStart w:id="14" w:name="_Toc123112264"/>
      <w:r w:rsidRPr="00EF692E">
        <w:rPr>
          <w:rFonts w:ascii="宋体" w:hAnsi="宋体"/>
          <w:b/>
          <w:sz w:val="36"/>
        </w:rPr>
        <w:t>基金托管人：</w:t>
      </w:r>
      <w:r w:rsidRPr="00EF692E">
        <w:rPr>
          <w:rFonts w:ascii="宋体" w:hAnsi="宋体" w:hint="eastAsia"/>
          <w:b/>
          <w:sz w:val="36"/>
        </w:rPr>
        <w:t>中信银行股份有限公司</w:t>
      </w:r>
      <w:bookmarkEnd w:id="10"/>
      <w:bookmarkEnd w:id="11"/>
      <w:bookmarkEnd w:id="12"/>
      <w:bookmarkEnd w:id="13"/>
      <w:bookmarkEnd w:id="14"/>
    </w:p>
    <w:p w:rsidR="0024774E" w:rsidRPr="00EF692E" w:rsidRDefault="0024774E">
      <w:pPr>
        <w:spacing w:line="360" w:lineRule="auto"/>
        <w:rPr>
          <w:rFonts w:ascii="宋体" w:hAnsi="宋体"/>
          <w:b/>
          <w:szCs w:val="28"/>
        </w:rPr>
      </w:pPr>
    </w:p>
    <w:p w:rsidR="0024774E" w:rsidRPr="00EF692E" w:rsidRDefault="0024774E">
      <w:pPr>
        <w:spacing w:line="360" w:lineRule="auto"/>
        <w:ind w:firstLineChars="200" w:firstLine="562"/>
        <w:jc w:val="center"/>
        <w:rPr>
          <w:rFonts w:ascii="宋体" w:hAnsi="宋体"/>
          <w:b/>
          <w:bCs/>
          <w:sz w:val="28"/>
          <w:szCs w:val="28"/>
        </w:rPr>
      </w:pPr>
    </w:p>
    <w:p w:rsidR="0024774E" w:rsidRPr="00EF692E" w:rsidRDefault="0024774E">
      <w:pPr>
        <w:spacing w:line="360" w:lineRule="auto"/>
        <w:ind w:firstLineChars="200" w:firstLine="562"/>
        <w:jc w:val="center"/>
        <w:rPr>
          <w:rFonts w:ascii="宋体" w:hAnsi="宋体"/>
          <w:b/>
          <w:bCs/>
          <w:sz w:val="28"/>
          <w:szCs w:val="28"/>
        </w:rPr>
      </w:pPr>
    </w:p>
    <w:p w:rsidR="0024774E" w:rsidRPr="00EF692E" w:rsidRDefault="0024774E">
      <w:pPr>
        <w:spacing w:line="360" w:lineRule="auto"/>
        <w:rPr>
          <w:rFonts w:ascii="宋体" w:hAnsi="宋体"/>
          <w:b/>
          <w:bCs/>
          <w:sz w:val="28"/>
          <w:szCs w:val="28"/>
        </w:rPr>
      </w:pPr>
    </w:p>
    <w:p w:rsidR="0024774E" w:rsidRPr="00EF692E" w:rsidRDefault="000975C7">
      <w:pPr>
        <w:spacing w:line="360" w:lineRule="auto"/>
        <w:ind w:firstLineChars="200" w:firstLine="562"/>
        <w:jc w:val="center"/>
        <w:rPr>
          <w:rFonts w:ascii="宋体" w:hAnsi="宋体"/>
          <w:b/>
          <w:bCs/>
          <w:sz w:val="28"/>
          <w:szCs w:val="28"/>
        </w:rPr>
      </w:pPr>
      <w:r w:rsidRPr="00EF692E">
        <w:rPr>
          <w:rFonts w:ascii="宋体" w:hAnsi="宋体"/>
          <w:b/>
          <w:bCs/>
          <w:noProof/>
          <w:sz w:val="28"/>
          <w:szCs w:val="28"/>
        </w:rPr>
        <w:drawing>
          <wp:anchor distT="0" distB="0" distL="114300" distR="114300" simplePos="0" relativeHeight="251659264" behindDoc="0" locked="0" layoutInCell="1" allowOverlap="1">
            <wp:simplePos x="0" y="0"/>
            <wp:positionH relativeFrom="margin">
              <wp:align>center</wp:align>
            </wp:positionH>
            <wp:positionV relativeFrom="margin">
              <wp:posOffset>8178800</wp:posOffset>
            </wp:positionV>
            <wp:extent cx="1800225" cy="644525"/>
            <wp:effectExtent l="0" t="0" r="9525" b="3175"/>
            <wp:wrapSquare wrapText="bothSides"/>
            <wp:docPr id="1" name="图片 1" descr="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NEW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800225" cy="644525"/>
                    </a:xfrm>
                    <a:prstGeom prst="rect">
                      <a:avLst/>
                    </a:prstGeom>
                    <a:noFill/>
                  </pic:spPr>
                </pic:pic>
              </a:graphicData>
            </a:graphic>
          </wp:anchor>
        </w:drawing>
      </w:r>
      <w:r w:rsidRPr="00EF692E">
        <w:rPr>
          <w:rFonts w:ascii="宋体" w:hAnsi="宋体" w:hint="eastAsia"/>
          <w:b/>
          <w:bCs/>
          <w:sz w:val="28"/>
          <w:szCs w:val="28"/>
        </w:rPr>
        <w:br w:type="page"/>
      </w:r>
    </w:p>
    <w:p w:rsidR="0024774E" w:rsidRPr="00EF692E" w:rsidRDefault="0024774E">
      <w:pPr>
        <w:spacing w:line="360" w:lineRule="auto"/>
        <w:jc w:val="center"/>
        <w:rPr>
          <w:rFonts w:ascii="宋体" w:hAnsi="宋体"/>
          <w:b/>
          <w:bCs/>
          <w:sz w:val="28"/>
          <w:szCs w:val="28"/>
        </w:rPr>
      </w:pPr>
    </w:p>
    <w:p w:rsidR="0024774E" w:rsidRPr="00EF692E" w:rsidRDefault="000975C7">
      <w:pPr>
        <w:spacing w:line="360" w:lineRule="auto"/>
        <w:jc w:val="center"/>
        <w:rPr>
          <w:rFonts w:ascii="宋体" w:hAnsi="宋体"/>
          <w:b/>
          <w:bCs/>
          <w:sz w:val="28"/>
          <w:szCs w:val="28"/>
        </w:rPr>
      </w:pPr>
      <w:r w:rsidRPr="00EF692E">
        <w:rPr>
          <w:rFonts w:ascii="宋体" w:hAnsi="宋体" w:hint="eastAsia"/>
          <w:b/>
          <w:bCs/>
          <w:sz w:val="28"/>
          <w:szCs w:val="28"/>
        </w:rPr>
        <w:t>目录</w:t>
      </w:r>
    </w:p>
    <w:p w:rsidR="0024774E" w:rsidRPr="00EF692E" w:rsidRDefault="0024774E">
      <w:pPr>
        <w:spacing w:line="360" w:lineRule="auto"/>
        <w:ind w:firstLineChars="200" w:firstLine="562"/>
        <w:jc w:val="center"/>
        <w:rPr>
          <w:rFonts w:ascii="宋体" w:hAnsi="宋体"/>
          <w:b/>
          <w:bCs/>
          <w:sz w:val="28"/>
          <w:szCs w:val="28"/>
        </w:rPr>
      </w:pPr>
    </w:p>
    <w:p w:rsidR="0024774E" w:rsidRPr="00EF692E" w:rsidRDefault="000975C7">
      <w:pPr>
        <w:pStyle w:val="12"/>
        <w:rPr>
          <w:rFonts w:asciiTheme="minorHAnsi" w:eastAsiaTheme="minorEastAsia" w:hAnsiTheme="minorHAnsi" w:cstheme="minorBidi"/>
          <w:noProof/>
          <w:sz w:val="21"/>
          <w:szCs w:val="22"/>
        </w:rPr>
      </w:pPr>
      <w:r w:rsidRPr="00EF692E">
        <w:rPr>
          <w:b/>
          <w:sz w:val="28"/>
          <w:szCs w:val="28"/>
        </w:rPr>
        <w:fldChar w:fldCharType="begin"/>
      </w:r>
      <w:r w:rsidRPr="00EF692E">
        <w:rPr>
          <w:b/>
          <w:sz w:val="28"/>
          <w:szCs w:val="28"/>
        </w:rPr>
        <w:instrText xml:space="preserve"> </w:instrText>
      </w:r>
      <w:r w:rsidRPr="00EF692E">
        <w:rPr>
          <w:rFonts w:hint="eastAsia"/>
          <w:b/>
          <w:sz w:val="28"/>
          <w:szCs w:val="28"/>
        </w:rPr>
        <w:instrText>TOC \o "1-1" \h \z \u</w:instrText>
      </w:r>
      <w:r w:rsidRPr="00EF692E">
        <w:rPr>
          <w:b/>
          <w:sz w:val="28"/>
          <w:szCs w:val="28"/>
        </w:rPr>
        <w:instrText xml:space="preserve"> </w:instrText>
      </w:r>
      <w:r w:rsidRPr="00EF692E">
        <w:rPr>
          <w:b/>
          <w:sz w:val="28"/>
          <w:szCs w:val="28"/>
        </w:rPr>
        <w:fldChar w:fldCharType="separate"/>
      </w:r>
      <w:hyperlink w:anchor="_Toc146725831" w:history="1">
        <w:r w:rsidRPr="00EF692E">
          <w:rPr>
            <w:rStyle w:val="af5"/>
            <w:rFonts w:hint="eastAsia"/>
            <w:bCs/>
            <w:noProof/>
          </w:rPr>
          <w:t>第一条</w:t>
        </w:r>
        <w:r w:rsidRPr="00EF692E">
          <w:rPr>
            <w:rStyle w:val="af5"/>
            <w:bCs/>
            <w:noProof/>
          </w:rPr>
          <w:t xml:space="preserve"> </w:t>
        </w:r>
        <w:r w:rsidRPr="00EF692E">
          <w:rPr>
            <w:rStyle w:val="af5"/>
            <w:rFonts w:hint="eastAsia"/>
            <w:bCs/>
            <w:noProof/>
          </w:rPr>
          <w:t>本协议当事人</w:t>
        </w:r>
        <w:r w:rsidRPr="00EF692E">
          <w:rPr>
            <w:noProof/>
          </w:rPr>
          <w:tab/>
        </w:r>
        <w:r w:rsidRPr="00EF692E">
          <w:rPr>
            <w:noProof/>
          </w:rPr>
          <w:fldChar w:fldCharType="begin"/>
        </w:r>
        <w:r w:rsidRPr="00EF692E">
          <w:rPr>
            <w:noProof/>
          </w:rPr>
          <w:instrText xml:space="preserve"> PAGEREF _Toc146725831 \h </w:instrText>
        </w:r>
        <w:r w:rsidRPr="00EF692E">
          <w:rPr>
            <w:noProof/>
          </w:rPr>
        </w:r>
        <w:r w:rsidRPr="00EF692E">
          <w:rPr>
            <w:noProof/>
          </w:rPr>
          <w:fldChar w:fldCharType="separate"/>
        </w:r>
        <w:r w:rsidR="00B013B9">
          <w:rPr>
            <w:noProof/>
          </w:rPr>
          <w:t>3</w:t>
        </w:r>
        <w:r w:rsidRPr="00EF692E">
          <w:rPr>
            <w:noProof/>
          </w:rPr>
          <w:fldChar w:fldCharType="end"/>
        </w:r>
      </w:hyperlink>
    </w:p>
    <w:p w:rsidR="0024774E" w:rsidRPr="00EF692E" w:rsidRDefault="0021282C">
      <w:pPr>
        <w:pStyle w:val="12"/>
        <w:rPr>
          <w:rFonts w:asciiTheme="minorHAnsi" w:eastAsiaTheme="minorEastAsia" w:hAnsiTheme="minorHAnsi" w:cstheme="minorBidi"/>
          <w:noProof/>
          <w:sz w:val="21"/>
          <w:szCs w:val="22"/>
        </w:rPr>
      </w:pPr>
      <w:hyperlink w:anchor="_Toc146725832" w:history="1">
        <w:r w:rsidR="000975C7" w:rsidRPr="00EF692E">
          <w:rPr>
            <w:rStyle w:val="af5"/>
            <w:rFonts w:hint="eastAsia"/>
            <w:bCs/>
            <w:noProof/>
          </w:rPr>
          <w:t>第二条</w:t>
        </w:r>
        <w:r w:rsidR="000975C7" w:rsidRPr="00EF692E">
          <w:rPr>
            <w:rStyle w:val="af5"/>
            <w:bCs/>
            <w:noProof/>
          </w:rPr>
          <w:t xml:space="preserve"> </w:t>
        </w:r>
        <w:r w:rsidR="000975C7" w:rsidRPr="00EF692E">
          <w:rPr>
            <w:rStyle w:val="af5"/>
            <w:rFonts w:hint="eastAsia"/>
            <w:bCs/>
            <w:noProof/>
          </w:rPr>
          <w:t>本协议的依据、目的和原则</w:t>
        </w:r>
        <w:r w:rsidR="000975C7" w:rsidRPr="00EF692E">
          <w:rPr>
            <w:noProof/>
          </w:rPr>
          <w:tab/>
        </w:r>
        <w:r w:rsidR="000975C7" w:rsidRPr="00EF692E">
          <w:rPr>
            <w:noProof/>
          </w:rPr>
          <w:fldChar w:fldCharType="begin"/>
        </w:r>
        <w:r w:rsidR="000975C7" w:rsidRPr="00EF692E">
          <w:rPr>
            <w:noProof/>
          </w:rPr>
          <w:instrText xml:space="preserve"> PAGEREF _Toc146725832 \h </w:instrText>
        </w:r>
        <w:r w:rsidR="000975C7" w:rsidRPr="00EF692E">
          <w:rPr>
            <w:noProof/>
          </w:rPr>
        </w:r>
        <w:r w:rsidR="000975C7" w:rsidRPr="00EF692E">
          <w:rPr>
            <w:noProof/>
          </w:rPr>
          <w:fldChar w:fldCharType="separate"/>
        </w:r>
        <w:r w:rsidR="00B013B9">
          <w:rPr>
            <w:noProof/>
          </w:rPr>
          <w:t>4</w:t>
        </w:r>
        <w:r w:rsidR="000975C7" w:rsidRPr="00EF692E">
          <w:rPr>
            <w:noProof/>
          </w:rPr>
          <w:fldChar w:fldCharType="end"/>
        </w:r>
      </w:hyperlink>
    </w:p>
    <w:p w:rsidR="0024774E" w:rsidRPr="00EF692E" w:rsidRDefault="0021282C">
      <w:pPr>
        <w:pStyle w:val="12"/>
        <w:rPr>
          <w:rFonts w:asciiTheme="minorHAnsi" w:eastAsiaTheme="minorEastAsia" w:hAnsiTheme="minorHAnsi" w:cstheme="minorBidi"/>
          <w:noProof/>
          <w:sz w:val="21"/>
          <w:szCs w:val="22"/>
        </w:rPr>
      </w:pPr>
      <w:hyperlink w:anchor="_Toc146725833" w:history="1">
        <w:r w:rsidR="000975C7" w:rsidRPr="00EF692E">
          <w:rPr>
            <w:rStyle w:val="af5"/>
            <w:rFonts w:hint="eastAsia"/>
            <w:bCs/>
            <w:noProof/>
          </w:rPr>
          <w:t>第三条</w:t>
        </w:r>
        <w:r w:rsidR="000975C7" w:rsidRPr="00EF692E">
          <w:rPr>
            <w:rStyle w:val="af5"/>
            <w:bCs/>
            <w:noProof/>
          </w:rPr>
          <w:t xml:space="preserve"> </w:t>
        </w:r>
        <w:r w:rsidR="000975C7" w:rsidRPr="00EF692E">
          <w:rPr>
            <w:rStyle w:val="af5"/>
            <w:rFonts w:hint="eastAsia"/>
            <w:bCs/>
            <w:noProof/>
          </w:rPr>
          <w:t>基金托管人对基金管理人的业务监督和核查</w:t>
        </w:r>
        <w:r w:rsidR="000975C7" w:rsidRPr="00EF692E">
          <w:rPr>
            <w:noProof/>
          </w:rPr>
          <w:tab/>
        </w:r>
        <w:r w:rsidR="000975C7" w:rsidRPr="00EF692E">
          <w:rPr>
            <w:noProof/>
          </w:rPr>
          <w:fldChar w:fldCharType="begin"/>
        </w:r>
        <w:r w:rsidR="000975C7" w:rsidRPr="00EF692E">
          <w:rPr>
            <w:noProof/>
          </w:rPr>
          <w:instrText xml:space="preserve"> PAGEREF _Toc146725833 \h </w:instrText>
        </w:r>
        <w:r w:rsidR="000975C7" w:rsidRPr="00EF692E">
          <w:rPr>
            <w:noProof/>
          </w:rPr>
        </w:r>
        <w:r w:rsidR="000975C7" w:rsidRPr="00EF692E">
          <w:rPr>
            <w:noProof/>
          </w:rPr>
          <w:fldChar w:fldCharType="separate"/>
        </w:r>
        <w:r w:rsidR="00B013B9">
          <w:rPr>
            <w:noProof/>
          </w:rPr>
          <w:t>5</w:t>
        </w:r>
        <w:r w:rsidR="000975C7" w:rsidRPr="00EF692E">
          <w:rPr>
            <w:noProof/>
          </w:rPr>
          <w:fldChar w:fldCharType="end"/>
        </w:r>
      </w:hyperlink>
    </w:p>
    <w:p w:rsidR="0024774E" w:rsidRPr="00EF692E" w:rsidRDefault="0021282C">
      <w:pPr>
        <w:pStyle w:val="12"/>
        <w:rPr>
          <w:rFonts w:asciiTheme="minorHAnsi" w:eastAsiaTheme="minorEastAsia" w:hAnsiTheme="minorHAnsi" w:cstheme="minorBidi"/>
          <w:noProof/>
          <w:sz w:val="21"/>
          <w:szCs w:val="22"/>
        </w:rPr>
      </w:pPr>
      <w:hyperlink w:anchor="_Toc146725834" w:history="1">
        <w:r w:rsidR="000975C7" w:rsidRPr="00EF692E">
          <w:rPr>
            <w:rStyle w:val="af5"/>
            <w:rFonts w:hint="eastAsia"/>
            <w:bCs/>
            <w:noProof/>
          </w:rPr>
          <w:t>第四条</w:t>
        </w:r>
        <w:r w:rsidR="000975C7" w:rsidRPr="00EF692E">
          <w:rPr>
            <w:rStyle w:val="af5"/>
            <w:bCs/>
            <w:noProof/>
          </w:rPr>
          <w:t xml:space="preserve"> </w:t>
        </w:r>
        <w:r w:rsidR="000975C7" w:rsidRPr="00EF692E">
          <w:rPr>
            <w:rStyle w:val="af5"/>
            <w:rFonts w:hint="eastAsia"/>
            <w:bCs/>
            <w:noProof/>
          </w:rPr>
          <w:t>基金管理人对基金托管人的业务核查</w:t>
        </w:r>
        <w:r w:rsidR="000975C7" w:rsidRPr="00EF692E">
          <w:rPr>
            <w:noProof/>
          </w:rPr>
          <w:tab/>
        </w:r>
        <w:r w:rsidR="000975C7" w:rsidRPr="00EF692E">
          <w:rPr>
            <w:noProof/>
          </w:rPr>
          <w:fldChar w:fldCharType="begin"/>
        </w:r>
        <w:r w:rsidR="000975C7" w:rsidRPr="00EF692E">
          <w:rPr>
            <w:noProof/>
          </w:rPr>
          <w:instrText xml:space="preserve"> PAGEREF _Toc146725834 \h </w:instrText>
        </w:r>
        <w:r w:rsidR="000975C7" w:rsidRPr="00EF692E">
          <w:rPr>
            <w:noProof/>
          </w:rPr>
        </w:r>
        <w:r w:rsidR="000975C7" w:rsidRPr="00EF692E">
          <w:rPr>
            <w:noProof/>
          </w:rPr>
          <w:fldChar w:fldCharType="separate"/>
        </w:r>
        <w:r w:rsidR="00B013B9">
          <w:rPr>
            <w:noProof/>
          </w:rPr>
          <w:t>14</w:t>
        </w:r>
        <w:r w:rsidR="000975C7" w:rsidRPr="00EF692E">
          <w:rPr>
            <w:noProof/>
          </w:rPr>
          <w:fldChar w:fldCharType="end"/>
        </w:r>
      </w:hyperlink>
    </w:p>
    <w:p w:rsidR="0024774E" w:rsidRPr="00EF692E" w:rsidRDefault="0021282C">
      <w:pPr>
        <w:pStyle w:val="12"/>
        <w:rPr>
          <w:rFonts w:asciiTheme="minorHAnsi" w:eastAsiaTheme="minorEastAsia" w:hAnsiTheme="minorHAnsi" w:cstheme="minorBidi"/>
          <w:noProof/>
          <w:sz w:val="21"/>
          <w:szCs w:val="22"/>
        </w:rPr>
      </w:pPr>
      <w:hyperlink w:anchor="_Toc146725835" w:history="1">
        <w:r w:rsidR="000975C7" w:rsidRPr="00EF692E">
          <w:rPr>
            <w:rStyle w:val="af5"/>
            <w:rFonts w:hint="eastAsia"/>
            <w:bCs/>
            <w:noProof/>
          </w:rPr>
          <w:t>第五条</w:t>
        </w:r>
        <w:r w:rsidR="000975C7" w:rsidRPr="00EF692E">
          <w:rPr>
            <w:rStyle w:val="af5"/>
            <w:bCs/>
            <w:noProof/>
          </w:rPr>
          <w:t xml:space="preserve"> </w:t>
        </w:r>
        <w:r w:rsidR="000975C7" w:rsidRPr="00EF692E">
          <w:rPr>
            <w:rStyle w:val="af5"/>
            <w:rFonts w:hint="eastAsia"/>
            <w:bCs/>
            <w:noProof/>
          </w:rPr>
          <w:t>基金财产保管</w:t>
        </w:r>
        <w:r w:rsidR="000975C7" w:rsidRPr="00EF692E">
          <w:rPr>
            <w:noProof/>
          </w:rPr>
          <w:tab/>
        </w:r>
        <w:r w:rsidR="000975C7" w:rsidRPr="00EF692E">
          <w:rPr>
            <w:noProof/>
          </w:rPr>
          <w:fldChar w:fldCharType="begin"/>
        </w:r>
        <w:r w:rsidR="000975C7" w:rsidRPr="00EF692E">
          <w:rPr>
            <w:noProof/>
          </w:rPr>
          <w:instrText xml:space="preserve"> PAGEREF _Toc146725835 \h </w:instrText>
        </w:r>
        <w:r w:rsidR="000975C7" w:rsidRPr="00EF692E">
          <w:rPr>
            <w:noProof/>
          </w:rPr>
        </w:r>
        <w:r w:rsidR="000975C7" w:rsidRPr="00EF692E">
          <w:rPr>
            <w:noProof/>
          </w:rPr>
          <w:fldChar w:fldCharType="separate"/>
        </w:r>
        <w:r w:rsidR="00B013B9">
          <w:rPr>
            <w:noProof/>
          </w:rPr>
          <w:t>15</w:t>
        </w:r>
        <w:r w:rsidR="000975C7" w:rsidRPr="00EF692E">
          <w:rPr>
            <w:noProof/>
          </w:rPr>
          <w:fldChar w:fldCharType="end"/>
        </w:r>
      </w:hyperlink>
    </w:p>
    <w:p w:rsidR="0024774E" w:rsidRPr="00EF692E" w:rsidRDefault="0021282C">
      <w:pPr>
        <w:pStyle w:val="12"/>
        <w:rPr>
          <w:rFonts w:asciiTheme="minorHAnsi" w:eastAsiaTheme="minorEastAsia" w:hAnsiTheme="minorHAnsi" w:cstheme="minorBidi"/>
          <w:noProof/>
          <w:sz w:val="21"/>
          <w:szCs w:val="22"/>
        </w:rPr>
      </w:pPr>
      <w:hyperlink w:anchor="_Toc146725836" w:history="1">
        <w:r w:rsidR="000975C7" w:rsidRPr="00EF692E">
          <w:rPr>
            <w:rStyle w:val="af5"/>
            <w:rFonts w:hint="eastAsia"/>
            <w:bCs/>
            <w:noProof/>
          </w:rPr>
          <w:t>第六条</w:t>
        </w:r>
        <w:r w:rsidR="000975C7" w:rsidRPr="00EF692E">
          <w:rPr>
            <w:rStyle w:val="af5"/>
            <w:bCs/>
            <w:noProof/>
          </w:rPr>
          <w:t xml:space="preserve"> </w:t>
        </w:r>
        <w:r w:rsidR="000975C7" w:rsidRPr="00EF692E">
          <w:rPr>
            <w:rStyle w:val="af5"/>
            <w:rFonts w:hint="eastAsia"/>
            <w:bCs/>
            <w:noProof/>
          </w:rPr>
          <w:t>指令的发送、确认和执行</w:t>
        </w:r>
        <w:r w:rsidR="000975C7" w:rsidRPr="00EF692E">
          <w:rPr>
            <w:noProof/>
          </w:rPr>
          <w:tab/>
        </w:r>
        <w:r w:rsidR="000975C7" w:rsidRPr="00EF692E">
          <w:rPr>
            <w:noProof/>
          </w:rPr>
          <w:fldChar w:fldCharType="begin"/>
        </w:r>
        <w:r w:rsidR="000975C7" w:rsidRPr="00EF692E">
          <w:rPr>
            <w:noProof/>
          </w:rPr>
          <w:instrText xml:space="preserve"> PAGEREF _Toc146725836 \h </w:instrText>
        </w:r>
        <w:r w:rsidR="000975C7" w:rsidRPr="00EF692E">
          <w:rPr>
            <w:noProof/>
          </w:rPr>
        </w:r>
        <w:r w:rsidR="000975C7" w:rsidRPr="00EF692E">
          <w:rPr>
            <w:noProof/>
          </w:rPr>
          <w:fldChar w:fldCharType="separate"/>
        </w:r>
        <w:r w:rsidR="00B013B9">
          <w:rPr>
            <w:noProof/>
          </w:rPr>
          <w:t>17</w:t>
        </w:r>
        <w:r w:rsidR="000975C7" w:rsidRPr="00EF692E">
          <w:rPr>
            <w:noProof/>
          </w:rPr>
          <w:fldChar w:fldCharType="end"/>
        </w:r>
      </w:hyperlink>
    </w:p>
    <w:p w:rsidR="0024774E" w:rsidRPr="00EF692E" w:rsidRDefault="0021282C">
      <w:pPr>
        <w:pStyle w:val="12"/>
        <w:rPr>
          <w:rFonts w:asciiTheme="minorHAnsi" w:eastAsiaTheme="minorEastAsia" w:hAnsiTheme="minorHAnsi" w:cstheme="minorBidi"/>
          <w:noProof/>
          <w:sz w:val="21"/>
          <w:szCs w:val="22"/>
        </w:rPr>
      </w:pPr>
      <w:hyperlink w:anchor="_Toc146725837" w:history="1">
        <w:r w:rsidR="000975C7" w:rsidRPr="00EF692E">
          <w:rPr>
            <w:rStyle w:val="af5"/>
            <w:rFonts w:hint="eastAsia"/>
            <w:bCs/>
            <w:noProof/>
          </w:rPr>
          <w:t>第七条</w:t>
        </w:r>
        <w:r w:rsidR="000975C7" w:rsidRPr="00EF692E">
          <w:rPr>
            <w:rStyle w:val="af5"/>
            <w:bCs/>
            <w:noProof/>
          </w:rPr>
          <w:t xml:space="preserve"> </w:t>
        </w:r>
        <w:r w:rsidR="000975C7" w:rsidRPr="00EF692E">
          <w:rPr>
            <w:rStyle w:val="af5"/>
            <w:rFonts w:hint="eastAsia"/>
            <w:bCs/>
            <w:noProof/>
          </w:rPr>
          <w:t>交易及清算交收安排</w:t>
        </w:r>
        <w:r w:rsidR="000975C7" w:rsidRPr="00EF692E">
          <w:rPr>
            <w:noProof/>
          </w:rPr>
          <w:tab/>
        </w:r>
        <w:r w:rsidR="000975C7" w:rsidRPr="00EF692E">
          <w:rPr>
            <w:noProof/>
          </w:rPr>
          <w:fldChar w:fldCharType="begin"/>
        </w:r>
        <w:r w:rsidR="000975C7" w:rsidRPr="00EF692E">
          <w:rPr>
            <w:noProof/>
          </w:rPr>
          <w:instrText xml:space="preserve"> PAGEREF _Toc146725837 \h </w:instrText>
        </w:r>
        <w:r w:rsidR="000975C7" w:rsidRPr="00EF692E">
          <w:rPr>
            <w:noProof/>
          </w:rPr>
        </w:r>
        <w:r w:rsidR="000975C7" w:rsidRPr="00EF692E">
          <w:rPr>
            <w:noProof/>
          </w:rPr>
          <w:fldChar w:fldCharType="separate"/>
        </w:r>
        <w:r w:rsidR="00B013B9">
          <w:rPr>
            <w:noProof/>
          </w:rPr>
          <w:t>20</w:t>
        </w:r>
        <w:r w:rsidR="000975C7" w:rsidRPr="00EF692E">
          <w:rPr>
            <w:noProof/>
          </w:rPr>
          <w:fldChar w:fldCharType="end"/>
        </w:r>
      </w:hyperlink>
    </w:p>
    <w:p w:rsidR="0024774E" w:rsidRPr="00EF692E" w:rsidRDefault="0021282C">
      <w:pPr>
        <w:pStyle w:val="12"/>
        <w:rPr>
          <w:rFonts w:asciiTheme="minorHAnsi" w:eastAsiaTheme="minorEastAsia" w:hAnsiTheme="minorHAnsi" w:cstheme="minorBidi"/>
          <w:noProof/>
          <w:sz w:val="21"/>
          <w:szCs w:val="22"/>
        </w:rPr>
      </w:pPr>
      <w:hyperlink w:anchor="_Toc146725838" w:history="1">
        <w:r w:rsidR="000975C7" w:rsidRPr="00EF692E">
          <w:rPr>
            <w:rStyle w:val="af5"/>
            <w:rFonts w:hint="eastAsia"/>
            <w:bCs/>
            <w:noProof/>
          </w:rPr>
          <w:t>第八条</w:t>
        </w:r>
        <w:r w:rsidR="000975C7" w:rsidRPr="00EF692E">
          <w:rPr>
            <w:rStyle w:val="af5"/>
            <w:bCs/>
            <w:noProof/>
          </w:rPr>
          <w:t xml:space="preserve"> </w:t>
        </w:r>
        <w:r w:rsidR="000975C7" w:rsidRPr="00EF692E">
          <w:rPr>
            <w:rStyle w:val="af5"/>
            <w:rFonts w:hint="eastAsia"/>
            <w:bCs/>
            <w:noProof/>
          </w:rPr>
          <w:t>基金资产净值计算和会计核算</w:t>
        </w:r>
        <w:r w:rsidR="000975C7" w:rsidRPr="00EF692E">
          <w:rPr>
            <w:noProof/>
          </w:rPr>
          <w:tab/>
        </w:r>
        <w:r w:rsidR="000975C7" w:rsidRPr="00EF692E">
          <w:rPr>
            <w:noProof/>
          </w:rPr>
          <w:fldChar w:fldCharType="begin"/>
        </w:r>
        <w:r w:rsidR="000975C7" w:rsidRPr="00EF692E">
          <w:rPr>
            <w:noProof/>
          </w:rPr>
          <w:instrText xml:space="preserve"> PAGEREF _Toc146725838 \h </w:instrText>
        </w:r>
        <w:r w:rsidR="000975C7" w:rsidRPr="00EF692E">
          <w:rPr>
            <w:noProof/>
          </w:rPr>
        </w:r>
        <w:r w:rsidR="000975C7" w:rsidRPr="00EF692E">
          <w:rPr>
            <w:noProof/>
          </w:rPr>
          <w:fldChar w:fldCharType="separate"/>
        </w:r>
        <w:r w:rsidR="00B013B9">
          <w:rPr>
            <w:noProof/>
          </w:rPr>
          <w:t>23</w:t>
        </w:r>
        <w:r w:rsidR="000975C7" w:rsidRPr="00EF692E">
          <w:rPr>
            <w:noProof/>
          </w:rPr>
          <w:fldChar w:fldCharType="end"/>
        </w:r>
      </w:hyperlink>
    </w:p>
    <w:p w:rsidR="0024774E" w:rsidRPr="00EF692E" w:rsidRDefault="0021282C">
      <w:pPr>
        <w:pStyle w:val="12"/>
        <w:rPr>
          <w:rFonts w:asciiTheme="minorHAnsi" w:eastAsiaTheme="minorEastAsia" w:hAnsiTheme="minorHAnsi" w:cstheme="minorBidi"/>
          <w:noProof/>
          <w:sz w:val="21"/>
          <w:szCs w:val="22"/>
        </w:rPr>
      </w:pPr>
      <w:hyperlink w:anchor="_Toc146725839" w:history="1">
        <w:r w:rsidR="000975C7" w:rsidRPr="00EF692E">
          <w:rPr>
            <w:rStyle w:val="af5"/>
            <w:rFonts w:hint="eastAsia"/>
            <w:bCs/>
            <w:noProof/>
          </w:rPr>
          <w:t>第九条</w:t>
        </w:r>
        <w:r w:rsidR="000975C7" w:rsidRPr="00EF692E">
          <w:rPr>
            <w:rStyle w:val="af5"/>
            <w:bCs/>
            <w:noProof/>
          </w:rPr>
          <w:t xml:space="preserve"> </w:t>
        </w:r>
        <w:r w:rsidR="000975C7" w:rsidRPr="00EF692E">
          <w:rPr>
            <w:rStyle w:val="af5"/>
            <w:rFonts w:hint="eastAsia"/>
            <w:bCs/>
            <w:noProof/>
          </w:rPr>
          <w:t>基金收益分配</w:t>
        </w:r>
        <w:r w:rsidR="000975C7" w:rsidRPr="00EF692E">
          <w:rPr>
            <w:noProof/>
          </w:rPr>
          <w:tab/>
        </w:r>
        <w:r w:rsidR="000975C7" w:rsidRPr="00EF692E">
          <w:rPr>
            <w:noProof/>
          </w:rPr>
          <w:fldChar w:fldCharType="begin"/>
        </w:r>
        <w:r w:rsidR="000975C7" w:rsidRPr="00EF692E">
          <w:rPr>
            <w:noProof/>
          </w:rPr>
          <w:instrText xml:space="preserve"> PAGEREF _Toc146725839 \h </w:instrText>
        </w:r>
        <w:r w:rsidR="000975C7" w:rsidRPr="00EF692E">
          <w:rPr>
            <w:noProof/>
          </w:rPr>
        </w:r>
        <w:r w:rsidR="000975C7" w:rsidRPr="00EF692E">
          <w:rPr>
            <w:noProof/>
          </w:rPr>
          <w:fldChar w:fldCharType="separate"/>
        </w:r>
        <w:r w:rsidR="00B013B9">
          <w:rPr>
            <w:noProof/>
          </w:rPr>
          <w:t>30</w:t>
        </w:r>
        <w:r w:rsidR="000975C7" w:rsidRPr="00EF692E">
          <w:rPr>
            <w:noProof/>
          </w:rPr>
          <w:fldChar w:fldCharType="end"/>
        </w:r>
      </w:hyperlink>
    </w:p>
    <w:p w:rsidR="0024774E" w:rsidRPr="00EF692E" w:rsidRDefault="0021282C">
      <w:pPr>
        <w:pStyle w:val="12"/>
        <w:rPr>
          <w:rFonts w:asciiTheme="minorHAnsi" w:eastAsiaTheme="minorEastAsia" w:hAnsiTheme="minorHAnsi" w:cstheme="minorBidi"/>
          <w:noProof/>
          <w:sz w:val="21"/>
          <w:szCs w:val="22"/>
        </w:rPr>
      </w:pPr>
      <w:hyperlink w:anchor="_Toc146725840" w:history="1">
        <w:r w:rsidR="000975C7" w:rsidRPr="00EF692E">
          <w:rPr>
            <w:rStyle w:val="af5"/>
            <w:rFonts w:hint="eastAsia"/>
            <w:bCs/>
            <w:noProof/>
          </w:rPr>
          <w:t>第十条</w:t>
        </w:r>
        <w:r w:rsidR="000975C7" w:rsidRPr="00EF692E">
          <w:rPr>
            <w:rStyle w:val="af5"/>
            <w:bCs/>
            <w:noProof/>
          </w:rPr>
          <w:t xml:space="preserve"> </w:t>
        </w:r>
        <w:r w:rsidR="000975C7" w:rsidRPr="00EF692E">
          <w:rPr>
            <w:rStyle w:val="af5"/>
            <w:rFonts w:hint="eastAsia"/>
            <w:bCs/>
            <w:noProof/>
          </w:rPr>
          <w:t>信息披露</w:t>
        </w:r>
        <w:r w:rsidR="000975C7" w:rsidRPr="00EF692E">
          <w:rPr>
            <w:noProof/>
          </w:rPr>
          <w:tab/>
        </w:r>
        <w:r w:rsidR="000975C7" w:rsidRPr="00EF692E">
          <w:rPr>
            <w:noProof/>
          </w:rPr>
          <w:fldChar w:fldCharType="begin"/>
        </w:r>
        <w:r w:rsidR="000975C7" w:rsidRPr="00EF692E">
          <w:rPr>
            <w:noProof/>
          </w:rPr>
          <w:instrText xml:space="preserve"> PAGEREF _Toc146725840 \h </w:instrText>
        </w:r>
        <w:r w:rsidR="000975C7" w:rsidRPr="00EF692E">
          <w:rPr>
            <w:noProof/>
          </w:rPr>
        </w:r>
        <w:r w:rsidR="000975C7" w:rsidRPr="00EF692E">
          <w:rPr>
            <w:noProof/>
          </w:rPr>
          <w:fldChar w:fldCharType="separate"/>
        </w:r>
        <w:r w:rsidR="00B013B9">
          <w:rPr>
            <w:noProof/>
          </w:rPr>
          <w:t>31</w:t>
        </w:r>
        <w:r w:rsidR="000975C7" w:rsidRPr="00EF692E">
          <w:rPr>
            <w:noProof/>
          </w:rPr>
          <w:fldChar w:fldCharType="end"/>
        </w:r>
      </w:hyperlink>
    </w:p>
    <w:p w:rsidR="0024774E" w:rsidRPr="00EF692E" w:rsidRDefault="0021282C">
      <w:pPr>
        <w:pStyle w:val="12"/>
        <w:rPr>
          <w:rFonts w:asciiTheme="minorHAnsi" w:eastAsiaTheme="minorEastAsia" w:hAnsiTheme="minorHAnsi" w:cstheme="minorBidi"/>
          <w:noProof/>
          <w:sz w:val="21"/>
          <w:szCs w:val="22"/>
        </w:rPr>
      </w:pPr>
      <w:hyperlink w:anchor="_Toc146725841" w:history="1">
        <w:r w:rsidR="000975C7" w:rsidRPr="00EF692E">
          <w:rPr>
            <w:rStyle w:val="af5"/>
            <w:rFonts w:hint="eastAsia"/>
            <w:bCs/>
            <w:noProof/>
          </w:rPr>
          <w:t>第十一条</w:t>
        </w:r>
        <w:r w:rsidR="000975C7" w:rsidRPr="00EF692E">
          <w:rPr>
            <w:rStyle w:val="af5"/>
            <w:bCs/>
            <w:noProof/>
          </w:rPr>
          <w:t xml:space="preserve"> </w:t>
        </w:r>
        <w:r w:rsidR="000975C7" w:rsidRPr="00EF692E">
          <w:rPr>
            <w:rStyle w:val="af5"/>
            <w:rFonts w:hint="eastAsia"/>
            <w:bCs/>
            <w:noProof/>
          </w:rPr>
          <w:t>基金费用</w:t>
        </w:r>
        <w:r w:rsidR="000975C7" w:rsidRPr="00EF692E">
          <w:rPr>
            <w:noProof/>
          </w:rPr>
          <w:tab/>
        </w:r>
        <w:r w:rsidR="000975C7" w:rsidRPr="00EF692E">
          <w:rPr>
            <w:noProof/>
          </w:rPr>
          <w:fldChar w:fldCharType="begin"/>
        </w:r>
        <w:r w:rsidR="000975C7" w:rsidRPr="00EF692E">
          <w:rPr>
            <w:noProof/>
          </w:rPr>
          <w:instrText xml:space="preserve"> PAGEREF _Toc146725841 \h </w:instrText>
        </w:r>
        <w:r w:rsidR="000975C7" w:rsidRPr="00EF692E">
          <w:rPr>
            <w:noProof/>
          </w:rPr>
        </w:r>
        <w:r w:rsidR="000975C7" w:rsidRPr="00EF692E">
          <w:rPr>
            <w:noProof/>
          </w:rPr>
          <w:fldChar w:fldCharType="separate"/>
        </w:r>
        <w:r w:rsidR="00B013B9">
          <w:rPr>
            <w:noProof/>
          </w:rPr>
          <w:t>33</w:t>
        </w:r>
        <w:r w:rsidR="000975C7" w:rsidRPr="00EF692E">
          <w:rPr>
            <w:noProof/>
          </w:rPr>
          <w:fldChar w:fldCharType="end"/>
        </w:r>
      </w:hyperlink>
    </w:p>
    <w:p w:rsidR="0024774E" w:rsidRPr="00EF692E" w:rsidRDefault="0021282C">
      <w:pPr>
        <w:pStyle w:val="12"/>
        <w:rPr>
          <w:rFonts w:asciiTheme="minorHAnsi" w:eastAsiaTheme="minorEastAsia" w:hAnsiTheme="minorHAnsi" w:cstheme="minorBidi"/>
          <w:noProof/>
          <w:sz w:val="21"/>
          <w:szCs w:val="22"/>
        </w:rPr>
      </w:pPr>
      <w:hyperlink w:anchor="_Toc146725842" w:history="1">
        <w:r w:rsidR="000975C7" w:rsidRPr="00EF692E">
          <w:rPr>
            <w:rStyle w:val="af5"/>
            <w:rFonts w:hint="eastAsia"/>
            <w:bCs/>
            <w:noProof/>
          </w:rPr>
          <w:t>第十二条</w:t>
        </w:r>
        <w:r w:rsidR="000975C7" w:rsidRPr="00EF692E">
          <w:rPr>
            <w:rStyle w:val="af5"/>
            <w:bCs/>
            <w:noProof/>
          </w:rPr>
          <w:t xml:space="preserve"> </w:t>
        </w:r>
        <w:r w:rsidR="000975C7" w:rsidRPr="00EF692E">
          <w:rPr>
            <w:rStyle w:val="af5"/>
            <w:rFonts w:hint="eastAsia"/>
            <w:bCs/>
            <w:noProof/>
          </w:rPr>
          <w:t>基金份额持有人名册的保管</w:t>
        </w:r>
        <w:r w:rsidR="000975C7" w:rsidRPr="00EF692E">
          <w:rPr>
            <w:noProof/>
          </w:rPr>
          <w:tab/>
        </w:r>
        <w:r w:rsidR="000975C7" w:rsidRPr="00EF692E">
          <w:rPr>
            <w:noProof/>
          </w:rPr>
          <w:fldChar w:fldCharType="begin"/>
        </w:r>
        <w:r w:rsidR="000975C7" w:rsidRPr="00EF692E">
          <w:rPr>
            <w:noProof/>
          </w:rPr>
          <w:instrText xml:space="preserve"> PAGEREF _Toc146725842 \h </w:instrText>
        </w:r>
        <w:r w:rsidR="000975C7" w:rsidRPr="00EF692E">
          <w:rPr>
            <w:noProof/>
          </w:rPr>
        </w:r>
        <w:r w:rsidR="000975C7" w:rsidRPr="00EF692E">
          <w:rPr>
            <w:noProof/>
          </w:rPr>
          <w:fldChar w:fldCharType="separate"/>
        </w:r>
        <w:r w:rsidR="00B013B9">
          <w:rPr>
            <w:noProof/>
          </w:rPr>
          <w:t>35</w:t>
        </w:r>
        <w:r w:rsidR="000975C7" w:rsidRPr="00EF692E">
          <w:rPr>
            <w:noProof/>
          </w:rPr>
          <w:fldChar w:fldCharType="end"/>
        </w:r>
      </w:hyperlink>
    </w:p>
    <w:p w:rsidR="0024774E" w:rsidRPr="00EF692E" w:rsidRDefault="0021282C">
      <w:pPr>
        <w:pStyle w:val="12"/>
        <w:rPr>
          <w:rFonts w:asciiTheme="minorHAnsi" w:eastAsiaTheme="minorEastAsia" w:hAnsiTheme="minorHAnsi" w:cstheme="minorBidi"/>
          <w:noProof/>
          <w:sz w:val="21"/>
          <w:szCs w:val="22"/>
        </w:rPr>
      </w:pPr>
      <w:hyperlink w:anchor="_Toc146725843" w:history="1">
        <w:r w:rsidR="000975C7" w:rsidRPr="00EF692E">
          <w:rPr>
            <w:rStyle w:val="af5"/>
            <w:rFonts w:hint="eastAsia"/>
            <w:bCs/>
            <w:noProof/>
          </w:rPr>
          <w:t>第十三条</w:t>
        </w:r>
        <w:r w:rsidR="000975C7" w:rsidRPr="00EF692E">
          <w:rPr>
            <w:rStyle w:val="af5"/>
            <w:bCs/>
            <w:noProof/>
          </w:rPr>
          <w:t xml:space="preserve"> </w:t>
        </w:r>
        <w:r w:rsidR="000975C7" w:rsidRPr="00EF692E">
          <w:rPr>
            <w:rStyle w:val="af5"/>
            <w:rFonts w:hint="eastAsia"/>
            <w:bCs/>
            <w:noProof/>
          </w:rPr>
          <w:t>基金有关文件和档案的保存</w:t>
        </w:r>
        <w:r w:rsidR="000975C7" w:rsidRPr="00EF692E">
          <w:rPr>
            <w:noProof/>
          </w:rPr>
          <w:tab/>
        </w:r>
        <w:r w:rsidR="000975C7" w:rsidRPr="00EF692E">
          <w:rPr>
            <w:noProof/>
          </w:rPr>
          <w:fldChar w:fldCharType="begin"/>
        </w:r>
        <w:r w:rsidR="000975C7" w:rsidRPr="00EF692E">
          <w:rPr>
            <w:noProof/>
          </w:rPr>
          <w:instrText xml:space="preserve"> PAGEREF _Toc146725843 \h </w:instrText>
        </w:r>
        <w:r w:rsidR="000975C7" w:rsidRPr="00EF692E">
          <w:rPr>
            <w:noProof/>
          </w:rPr>
        </w:r>
        <w:r w:rsidR="000975C7" w:rsidRPr="00EF692E">
          <w:rPr>
            <w:noProof/>
          </w:rPr>
          <w:fldChar w:fldCharType="separate"/>
        </w:r>
        <w:r w:rsidR="00B013B9">
          <w:rPr>
            <w:noProof/>
          </w:rPr>
          <w:t>36</w:t>
        </w:r>
        <w:r w:rsidR="000975C7" w:rsidRPr="00EF692E">
          <w:rPr>
            <w:noProof/>
          </w:rPr>
          <w:fldChar w:fldCharType="end"/>
        </w:r>
      </w:hyperlink>
    </w:p>
    <w:p w:rsidR="0024774E" w:rsidRPr="00EF692E" w:rsidRDefault="0021282C">
      <w:pPr>
        <w:pStyle w:val="12"/>
        <w:rPr>
          <w:rFonts w:asciiTheme="minorHAnsi" w:eastAsiaTheme="minorEastAsia" w:hAnsiTheme="minorHAnsi" w:cstheme="minorBidi"/>
          <w:noProof/>
          <w:sz w:val="21"/>
          <w:szCs w:val="22"/>
        </w:rPr>
      </w:pPr>
      <w:hyperlink w:anchor="_Toc146725844" w:history="1">
        <w:r w:rsidR="000975C7" w:rsidRPr="00EF692E">
          <w:rPr>
            <w:rStyle w:val="af5"/>
            <w:rFonts w:hint="eastAsia"/>
            <w:bCs/>
            <w:noProof/>
          </w:rPr>
          <w:t>第十四条</w:t>
        </w:r>
        <w:r w:rsidR="000975C7" w:rsidRPr="00EF692E">
          <w:rPr>
            <w:rStyle w:val="af5"/>
            <w:bCs/>
            <w:noProof/>
          </w:rPr>
          <w:t xml:space="preserve"> </w:t>
        </w:r>
        <w:r w:rsidR="000975C7" w:rsidRPr="00EF692E">
          <w:rPr>
            <w:rStyle w:val="af5"/>
            <w:rFonts w:hint="eastAsia"/>
            <w:bCs/>
            <w:noProof/>
          </w:rPr>
          <w:t>基金管理人和基金托管人的更换</w:t>
        </w:r>
        <w:r w:rsidR="000975C7" w:rsidRPr="00EF692E">
          <w:rPr>
            <w:noProof/>
          </w:rPr>
          <w:tab/>
        </w:r>
        <w:r w:rsidR="000975C7" w:rsidRPr="00EF692E">
          <w:rPr>
            <w:noProof/>
          </w:rPr>
          <w:fldChar w:fldCharType="begin"/>
        </w:r>
        <w:r w:rsidR="000975C7" w:rsidRPr="00EF692E">
          <w:rPr>
            <w:noProof/>
          </w:rPr>
          <w:instrText xml:space="preserve"> PAGEREF _Toc146725844 \h </w:instrText>
        </w:r>
        <w:r w:rsidR="000975C7" w:rsidRPr="00EF692E">
          <w:rPr>
            <w:noProof/>
          </w:rPr>
        </w:r>
        <w:r w:rsidR="000975C7" w:rsidRPr="00EF692E">
          <w:rPr>
            <w:noProof/>
          </w:rPr>
          <w:fldChar w:fldCharType="separate"/>
        </w:r>
        <w:r w:rsidR="00B013B9">
          <w:rPr>
            <w:noProof/>
          </w:rPr>
          <w:t>36</w:t>
        </w:r>
        <w:r w:rsidR="000975C7" w:rsidRPr="00EF692E">
          <w:rPr>
            <w:noProof/>
          </w:rPr>
          <w:fldChar w:fldCharType="end"/>
        </w:r>
      </w:hyperlink>
    </w:p>
    <w:p w:rsidR="0024774E" w:rsidRPr="00EF692E" w:rsidRDefault="0021282C">
      <w:pPr>
        <w:pStyle w:val="12"/>
        <w:rPr>
          <w:rFonts w:asciiTheme="minorHAnsi" w:eastAsiaTheme="minorEastAsia" w:hAnsiTheme="minorHAnsi" w:cstheme="minorBidi"/>
          <w:noProof/>
          <w:sz w:val="21"/>
          <w:szCs w:val="22"/>
        </w:rPr>
      </w:pPr>
      <w:hyperlink w:anchor="_Toc146725845" w:history="1">
        <w:r w:rsidR="000975C7" w:rsidRPr="00EF692E">
          <w:rPr>
            <w:rStyle w:val="af5"/>
            <w:rFonts w:hint="eastAsia"/>
            <w:bCs/>
            <w:noProof/>
          </w:rPr>
          <w:t>第十五条</w:t>
        </w:r>
        <w:r w:rsidR="000975C7" w:rsidRPr="00EF692E">
          <w:rPr>
            <w:rStyle w:val="af5"/>
            <w:bCs/>
            <w:noProof/>
          </w:rPr>
          <w:t xml:space="preserve"> </w:t>
        </w:r>
        <w:r w:rsidR="000975C7" w:rsidRPr="00EF692E">
          <w:rPr>
            <w:rStyle w:val="af5"/>
            <w:rFonts w:hint="eastAsia"/>
            <w:bCs/>
            <w:noProof/>
          </w:rPr>
          <w:t>禁止行为</w:t>
        </w:r>
        <w:r w:rsidR="000975C7" w:rsidRPr="00EF692E">
          <w:rPr>
            <w:noProof/>
          </w:rPr>
          <w:tab/>
        </w:r>
        <w:r w:rsidR="000975C7" w:rsidRPr="00EF692E">
          <w:rPr>
            <w:noProof/>
          </w:rPr>
          <w:fldChar w:fldCharType="begin"/>
        </w:r>
        <w:r w:rsidR="000975C7" w:rsidRPr="00EF692E">
          <w:rPr>
            <w:noProof/>
          </w:rPr>
          <w:instrText xml:space="preserve"> PAGEREF _Toc146725845 \h </w:instrText>
        </w:r>
        <w:r w:rsidR="000975C7" w:rsidRPr="00EF692E">
          <w:rPr>
            <w:noProof/>
          </w:rPr>
        </w:r>
        <w:r w:rsidR="000975C7" w:rsidRPr="00EF692E">
          <w:rPr>
            <w:noProof/>
          </w:rPr>
          <w:fldChar w:fldCharType="separate"/>
        </w:r>
        <w:r w:rsidR="00B013B9">
          <w:rPr>
            <w:noProof/>
          </w:rPr>
          <w:t>39</w:t>
        </w:r>
        <w:r w:rsidR="000975C7" w:rsidRPr="00EF692E">
          <w:rPr>
            <w:noProof/>
          </w:rPr>
          <w:fldChar w:fldCharType="end"/>
        </w:r>
      </w:hyperlink>
    </w:p>
    <w:p w:rsidR="0024774E" w:rsidRPr="00EF692E" w:rsidRDefault="0021282C">
      <w:pPr>
        <w:pStyle w:val="12"/>
        <w:rPr>
          <w:rFonts w:asciiTheme="minorHAnsi" w:eastAsiaTheme="minorEastAsia" w:hAnsiTheme="minorHAnsi" w:cstheme="minorBidi"/>
          <w:noProof/>
          <w:sz w:val="21"/>
          <w:szCs w:val="22"/>
        </w:rPr>
      </w:pPr>
      <w:hyperlink w:anchor="_Toc146725846" w:history="1">
        <w:r w:rsidR="000975C7" w:rsidRPr="00EF692E">
          <w:rPr>
            <w:rStyle w:val="af5"/>
            <w:rFonts w:hint="eastAsia"/>
            <w:bCs/>
            <w:noProof/>
          </w:rPr>
          <w:t>第十六条</w:t>
        </w:r>
        <w:r w:rsidR="000975C7" w:rsidRPr="00EF692E">
          <w:rPr>
            <w:rStyle w:val="af5"/>
            <w:bCs/>
            <w:noProof/>
          </w:rPr>
          <w:t xml:space="preserve"> </w:t>
        </w:r>
        <w:r w:rsidR="000975C7" w:rsidRPr="00EF692E">
          <w:rPr>
            <w:rStyle w:val="af5"/>
            <w:rFonts w:hint="eastAsia"/>
            <w:bCs/>
            <w:noProof/>
          </w:rPr>
          <w:t>本协议的变更、终止与基金财产的清算</w:t>
        </w:r>
        <w:r w:rsidR="000975C7" w:rsidRPr="00EF692E">
          <w:rPr>
            <w:noProof/>
          </w:rPr>
          <w:tab/>
        </w:r>
        <w:r w:rsidR="000975C7" w:rsidRPr="00EF692E">
          <w:rPr>
            <w:noProof/>
          </w:rPr>
          <w:fldChar w:fldCharType="begin"/>
        </w:r>
        <w:r w:rsidR="000975C7" w:rsidRPr="00EF692E">
          <w:rPr>
            <w:noProof/>
          </w:rPr>
          <w:instrText xml:space="preserve"> PAGEREF _Toc146725846 \h </w:instrText>
        </w:r>
        <w:r w:rsidR="000975C7" w:rsidRPr="00EF692E">
          <w:rPr>
            <w:noProof/>
          </w:rPr>
        </w:r>
        <w:r w:rsidR="000975C7" w:rsidRPr="00EF692E">
          <w:rPr>
            <w:noProof/>
          </w:rPr>
          <w:fldChar w:fldCharType="separate"/>
        </w:r>
        <w:r w:rsidR="00B013B9">
          <w:rPr>
            <w:noProof/>
          </w:rPr>
          <w:t>40</w:t>
        </w:r>
        <w:r w:rsidR="000975C7" w:rsidRPr="00EF692E">
          <w:rPr>
            <w:noProof/>
          </w:rPr>
          <w:fldChar w:fldCharType="end"/>
        </w:r>
      </w:hyperlink>
    </w:p>
    <w:p w:rsidR="0024774E" w:rsidRPr="00EF692E" w:rsidRDefault="0021282C">
      <w:pPr>
        <w:pStyle w:val="12"/>
        <w:rPr>
          <w:rFonts w:asciiTheme="minorHAnsi" w:eastAsiaTheme="minorEastAsia" w:hAnsiTheme="minorHAnsi" w:cstheme="minorBidi"/>
          <w:noProof/>
          <w:sz w:val="21"/>
          <w:szCs w:val="22"/>
        </w:rPr>
      </w:pPr>
      <w:hyperlink w:anchor="_Toc146725847" w:history="1">
        <w:r w:rsidR="000975C7" w:rsidRPr="00EF692E">
          <w:rPr>
            <w:rStyle w:val="af5"/>
            <w:rFonts w:hint="eastAsia"/>
            <w:bCs/>
            <w:noProof/>
          </w:rPr>
          <w:t>第十七条</w:t>
        </w:r>
        <w:r w:rsidR="000975C7" w:rsidRPr="00EF692E">
          <w:rPr>
            <w:rStyle w:val="af5"/>
            <w:bCs/>
            <w:noProof/>
          </w:rPr>
          <w:t xml:space="preserve"> </w:t>
        </w:r>
        <w:r w:rsidR="000975C7" w:rsidRPr="00EF692E">
          <w:rPr>
            <w:rStyle w:val="af5"/>
            <w:rFonts w:hint="eastAsia"/>
            <w:bCs/>
            <w:noProof/>
          </w:rPr>
          <w:t>违约责任</w:t>
        </w:r>
        <w:r w:rsidR="000975C7" w:rsidRPr="00EF692E">
          <w:rPr>
            <w:noProof/>
          </w:rPr>
          <w:tab/>
        </w:r>
        <w:r w:rsidR="000975C7" w:rsidRPr="00EF692E">
          <w:rPr>
            <w:noProof/>
          </w:rPr>
          <w:fldChar w:fldCharType="begin"/>
        </w:r>
        <w:r w:rsidR="000975C7" w:rsidRPr="00EF692E">
          <w:rPr>
            <w:noProof/>
          </w:rPr>
          <w:instrText xml:space="preserve"> PAGEREF _Toc146725847 \h </w:instrText>
        </w:r>
        <w:r w:rsidR="000975C7" w:rsidRPr="00EF692E">
          <w:rPr>
            <w:noProof/>
          </w:rPr>
        </w:r>
        <w:r w:rsidR="000975C7" w:rsidRPr="00EF692E">
          <w:rPr>
            <w:noProof/>
          </w:rPr>
          <w:fldChar w:fldCharType="separate"/>
        </w:r>
        <w:r w:rsidR="00B013B9">
          <w:rPr>
            <w:noProof/>
          </w:rPr>
          <w:t>41</w:t>
        </w:r>
        <w:r w:rsidR="000975C7" w:rsidRPr="00EF692E">
          <w:rPr>
            <w:noProof/>
          </w:rPr>
          <w:fldChar w:fldCharType="end"/>
        </w:r>
      </w:hyperlink>
    </w:p>
    <w:p w:rsidR="0024774E" w:rsidRPr="00EF692E" w:rsidRDefault="0021282C">
      <w:pPr>
        <w:pStyle w:val="12"/>
        <w:rPr>
          <w:rFonts w:asciiTheme="minorHAnsi" w:eastAsiaTheme="minorEastAsia" w:hAnsiTheme="minorHAnsi" w:cstheme="minorBidi"/>
          <w:noProof/>
          <w:sz w:val="21"/>
          <w:szCs w:val="22"/>
        </w:rPr>
      </w:pPr>
      <w:hyperlink w:anchor="_Toc146725848" w:history="1">
        <w:r w:rsidR="000975C7" w:rsidRPr="00EF692E">
          <w:rPr>
            <w:rStyle w:val="af5"/>
            <w:rFonts w:hint="eastAsia"/>
            <w:bCs/>
            <w:noProof/>
          </w:rPr>
          <w:t>第十八条</w:t>
        </w:r>
        <w:r w:rsidR="000975C7" w:rsidRPr="00EF692E">
          <w:rPr>
            <w:rStyle w:val="af5"/>
            <w:bCs/>
            <w:noProof/>
          </w:rPr>
          <w:t xml:space="preserve"> </w:t>
        </w:r>
        <w:r w:rsidR="000975C7" w:rsidRPr="00EF692E">
          <w:rPr>
            <w:rStyle w:val="af5"/>
            <w:rFonts w:hint="eastAsia"/>
            <w:bCs/>
            <w:noProof/>
          </w:rPr>
          <w:t>法律适用和争议解决</w:t>
        </w:r>
        <w:r w:rsidR="000975C7" w:rsidRPr="00EF692E">
          <w:rPr>
            <w:noProof/>
          </w:rPr>
          <w:tab/>
        </w:r>
        <w:r w:rsidR="000975C7" w:rsidRPr="00EF692E">
          <w:rPr>
            <w:noProof/>
          </w:rPr>
          <w:fldChar w:fldCharType="begin"/>
        </w:r>
        <w:r w:rsidR="000975C7" w:rsidRPr="00EF692E">
          <w:rPr>
            <w:noProof/>
          </w:rPr>
          <w:instrText xml:space="preserve"> PAGEREF _Toc146725848 \h </w:instrText>
        </w:r>
        <w:r w:rsidR="000975C7" w:rsidRPr="00EF692E">
          <w:rPr>
            <w:noProof/>
          </w:rPr>
        </w:r>
        <w:r w:rsidR="000975C7" w:rsidRPr="00EF692E">
          <w:rPr>
            <w:noProof/>
          </w:rPr>
          <w:fldChar w:fldCharType="separate"/>
        </w:r>
        <w:r w:rsidR="00B013B9">
          <w:rPr>
            <w:noProof/>
          </w:rPr>
          <w:t>42</w:t>
        </w:r>
        <w:r w:rsidR="000975C7" w:rsidRPr="00EF692E">
          <w:rPr>
            <w:noProof/>
          </w:rPr>
          <w:fldChar w:fldCharType="end"/>
        </w:r>
      </w:hyperlink>
    </w:p>
    <w:p w:rsidR="0024774E" w:rsidRPr="00EF692E" w:rsidRDefault="0021282C">
      <w:pPr>
        <w:pStyle w:val="12"/>
        <w:rPr>
          <w:rFonts w:asciiTheme="minorHAnsi" w:eastAsiaTheme="minorEastAsia" w:hAnsiTheme="minorHAnsi" w:cstheme="minorBidi"/>
          <w:noProof/>
          <w:sz w:val="21"/>
          <w:szCs w:val="22"/>
        </w:rPr>
      </w:pPr>
      <w:hyperlink w:anchor="_Toc146725849" w:history="1">
        <w:r w:rsidR="000975C7" w:rsidRPr="00EF692E">
          <w:rPr>
            <w:rStyle w:val="af5"/>
            <w:rFonts w:hint="eastAsia"/>
            <w:bCs/>
            <w:noProof/>
          </w:rPr>
          <w:t>第十九条</w:t>
        </w:r>
        <w:r w:rsidR="000975C7" w:rsidRPr="00EF692E">
          <w:rPr>
            <w:rStyle w:val="af5"/>
            <w:bCs/>
            <w:noProof/>
          </w:rPr>
          <w:t xml:space="preserve"> </w:t>
        </w:r>
        <w:r w:rsidR="000975C7" w:rsidRPr="00EF692E">
          <w:rPr>
            <w:rStyle w:val="af5"/>
            <w:rFonts w:hint="eastAsia"/>
            <w:bCs/>
            <w:noProof/>
          </w:rPr>
          <w:t>本协议的效力</w:t>
        </w:r>
        <w:r w:rsidR="000975C7" w:rsidRPr="00EF692E">
          <w:rPr>
            <w:noProof/>
          </w:rPr>
          <w:tab/>
        </w:r>
        <w:r w:rsidR="000975C7" w:rsidRPr="00EF692E">
          <w:rPr>
            <w:noProof/>
          </w:rPr>
          <w:fldChar w:fldCharType="begin"/>
        </w:r>
        <w:r w:rsidR="000975C7" w:rsidRPr="00EF692E">
          <w:rPr>
            <w:noProof/>
          </w:rPr>
          <w:instrText xml:space="preserve"> PAGEREF _Toc146725849 \h </w:instrText>
        </w:r>
        <w:r w:rsidR="000975C7" w:rsidRPr="00EF692E">
          <w:rPr>
            <w:noProof/>
          </w:rPr>
        </w:r>
        <w:r w:rsidR="000975C7" w:rsidRPr="00EF692E">
          <w:rPr>
            <w:noProof/>
          </w:rPr>
          <w:fldChar w:fldCharType="separate"/>
        </w:r>
        <w:r w:rsidR="00B013B9">
          <w:rPr>
            <w:noProof/>
          </w:rPr>
          <w:t>43</w:t>
        </w:r>
        <w:r w:rsidR="000975C7" w:rsidRPr="00EF692E">
          <w:rPr>
            <w:noProof/>
          </w:rPr>
          <w:fldChar w:fldCharType="end"/>
        </w:r>
      </w:hyperlink>
    </w:p>
    <w:p w:rsidR="0024774E" w:rsidRPr="00EF692E" w:rsidRDefault="0021282C">
      <w:pPr>
        <w:pStyle w:val="12"/>
        <w:rPr>
          <w:rFonts w:asciiTheme="minorHAnsi" w:eastAsiaTheme="minorEastAsia" w:hAnsiTheme="minorHAnsi" w:cstheme="minorBidi"/>
          <w:noProof/>
          <w:sz w:val="21"/>
          <w:szCs w:val="22"/>
        </w:rPr>
      </w:pPr>
      <w:hyperlink w:anchor="_Toc146725850" w:history="1">
        <w:r w:rsidR="000975C7" w:rsidRPr="00EF692E">
          <w:rPr>
            <w:rStyle w:val="af5"/>
            <w:rFonts w:hint="eastAsia"/>
            <w:bCs/>
            <w:noProof/>
          </w:rPr>
          <w:t>第二十条</w:t>
        </w:r>
        <w:r w:rsidR="000975C7" w:rsidRPr="00EF692E">
          <w:rPr>
            <w:rStyle w:val="af5"/>
            <w:bCs/>
            <w:noProof/>
          </w:rPr>
          <w:t xml:space="preserve"> </w:t>
        </w:r>
        <w:r w:rsidR="000975C7" w:rsidRPr="00EF692E">
          <w:rPr>
            <w:rStyle w:val="af5"/>
            <w:rFonts w:hint="eastAsia"/>
            <w:bCs/>
            <w:noProof/>
          </w:rPr>
          <w:t>基金托管协议的签订</w:t>
        </w:r>
        <w:r w:rsidR="000975C7" w:rsidRPr="00EF692E">
          <w:rPr>
            <w:noProof/>
          </w:rPr>
          <w:tab/>
        </w:r>
        <w:r w:rsidR="000975C7" w:rsidRPr="00EF692E">
          <w:rPr>
            <w:noProof/>
          </w:rPr>
          <w:fldChar w:fldCharType="begin"/>
        </w:r>
        <w:r w:rsidR="000975C7" w:rsidRPr="00EF692E">
          <w:rPr>
            <w:noProof/>
          </w:rPr>
          <w:instrText xml:space="preserve"> PAGEREF _Toc146725850 \h </w:instrText>
        </w:r>
        <w:r w:rsidR="000975C7" w:rsidRPr="00EF692E">
          <w:rPr>
            <w:noProof/>
          </w:rPr>
        </w:r>
        <w:r w:rsidR="000975C7" w:rsidRPr="00EF692E">
          <w:rPr>
            <w:noProof/>
          </w:rPr>
          <w:fldChar w:fldCharType="separate"/>
        </w:r>
        <w:r w:rsidR="00B013B9">
          <w:rPr>
            <w:noProof/>
          </w:rPr>
          <w:t>43</w:t>
        </w:r>
        <w:r w:rsidR="000975C7" w:rsidRPr="00EF692E">
          <w:rPr>
            <w:noProof/>
          </w:rPr>
          <w:fldChar w:fldCharType="end"/>
        </w:r>
      </w:hyperlink>
    </w:p>
    <w:p w:rsidR="0024774E" w:rsidRPr="00EF692E" w:rsidRDefault="0021282C">
      <w:pPr>
        <w:pStyle w:val="12"/>
        <w:rPr>
          <w:rFonts w:asciiTheme="minorHAnsi" w:eastAsiaTheme="minorEastAsia" w:hAnsiTheme="minorHAnsi" w:cstheme="minorBidi"/>
          <w:noProof/>
          <w:sz w:val="21"/>
          <w:szCs w:val="22"/>
        </w:rPr>
      </w:pPr>
      <w:hyperlink w:anchor="_Toc146725851" w:history="1">
        <w:r w:rsidR="000975C7" w:rsidRPr="00EF692E">
          <w:rPr>
            <w:rStyle w:val="af5"/>
            <w:rFonts w:hint="eastAsia"/>
            <w:bCs/>
            <w:noProof/>
          </w:rPr>
          <w:t>第二十一条</w:t>
        </w:r>
        <w:r w:rsidR="000975C7" w:rsidRPr="00EF692E">
          <w:rPr>
            <w:rStyle w:val="af5"/>
            <w:bCs/>
            <w:noProof/>
          </w:rPr>
          <w:t xml:space="preserve"> </w:t>
        </w:r>
        <w:r w:rsidR="000975C7" w:rsidRPr="00EF692E">
          <w:rPr>
            <w:rStyle w:val="af5"/>
            <w:rFonts w:hint="eastAsia"/>
            <w:bCs/>
            <w:noProof/>
          </w:rPr>
          <w:t>不可抗力</w:t>
        </w:r>
        <w:r w:rsidR="000975C7" w:rsidRPr="00EF692E">
          <w:rPr>
            <w:noProof/>
          </w:rPr>
          <w:tab/>
        </w:r>
        <w:r w:rsidR="000975C7" w:rsidRPr="00EF692E">
          <w:rPr>
            <w:noProof/>
          </w:rPr>
          <w:fldChar w:fldCharType="begin"/>
        </w:r>
        <w:r w:rsidR="000975C7" w:rsidRPr="00EF692E">
          <w:rPr>
            <w:noProof/>
          </w:rPr>
          <w:instrText xml:space="preserve"> PAGEREF _Toc146725851 \h </w:instrText>
        </w:r>
        <w:r w:rsidR="000975C7" w:rsidRPr="00EF692E">
          <w:rPr>
            <w:noProof/>
          </w:rPr>
        </w:r>
        <w:r w:rsidR="000975C7" w:rsidRPr="00EF692E">
          <w:rPr>
            <w:noProof/>
          </w:rPr>
          <w:fldChar w:fldCharType="separate"/>
        </w:r>
        <w:r w:rsidR="00B013B9">
          <w:rPr>
            <w:noProof/>
          </w:rPr>
          <w:t>43</w:t>
        </w:r>
        <w:r w:rsidR="000975C7" w:rsidRPr="00EF692E">
          <w:rPr>
            <w:noProof/>
          </w:rPr>
          <w:fldChar w:fldCharType="end"/>
        </w:r>
      </w:hyperlink>
    </w:p>
    <w:p w:rsidR="0024774E" w:rsidRPr="00EF692E" w:rsidRDefault="0021282C">
      <w:pPr>
        <w:pStyle w:val="12"/>
        <w:rPr>
          <w:rFonts w:asciiTheme="minorHAnsi" w:eastAsiaTheme="minorEastAsia" w:hAnsiTheme="minorHAnsi" w:cstheme="minorBidi"/>
          <w:noProof/>
          <w:sz w:val="21"/>
          <w:szCs w:val="22"/>
        </w:rPr>
      </w:pPr>
      <w:hyperlink w:anchor="_Toc146725852" w:history="1">
        <w:r w:rsidR="000975C7" w:rsidRPr="00EF692E">
          <w:rPr>
            <w:rStyle w:val="af5"/>
            <w:rFonts w:hint="eastAsia"/>
            <w:bCs/>
            <w:noProof/>
          </w:rPr>
          <w:t>第二十二条</w:t>
        </w:r>
        <w:r w:rsidR="000975C7" w:rsidRPr="00EF692E">
          <w:rPr>
            <w:rStyle w:val="af5"/>
            <w:bCs/>
            <w:noProof/>
          </w:rPr>
          <w:t xml:space="preserve"> </w:t>
        </w:r>
        <w:r w:rsidR="000975C7" w:rsidRPr="00EF692E">
          <w:rPr>
            <w:rStyle w:val="af5"/>
            <w:rFonts w:hint="eastAsia"/>
            <w:bCs/>
            <w:noProof/>
          </w:rPr>
          <w:t>可分割性</w:t>
        </w:r>
        <w:r w:rsidR="000975C7" w:rsidRPr="00EF692E">
          <w:rPr>
            <w:noProof/>
          </w:rPr>
          <w:tab/>
        </w:r>
        <w:r w:rsidR="000975C7" w:rsidRPr="00EF692E">
          <w:rPr>
            <w:noProof/>
          </w:rPr>
          <w:fldChar w:fldCharType="begin"/>
        </w:r>
        <w:r w:rsidR="000975C7" w:rsidRPr="00EF692E">
          <w:rPr>
            <w:noProof/>
          </w:rPr>
          <w:instrText xml:space="preserve"> PAGEREF _Toc146725852 \h </w:instrText>
        </w:r>
        <w:r w:rsidR="000975C7" w:rsidRPr="00EF692E">
          <w:rPr>
            <w:noProof/>
          </w:rPr>
        </w:r>
        <w:r w:rsidR="000975C7" w:rsidRPr="00EF692E">
          <w:rPr>
            <w:noProof/>
          </w:rPr>
          <w:fldChar w:fldCharType="separate"/>
        </w:r>
        <w:r w:rsidR="00B013B9">
          <w:rPr>
            <w:noProof/>
          </w:rPr>
          <w:t>44</w:t>
        </w:r>
        <w:r w:rsidR="000975C7" w:rsidRPr="00EF692E">
          <w:rPr>
            <w:noProof/>
          </w:rPr>
          <w:fldChar w:fldCharType="end"/>
        </w:r>
      </w:hyperlink>
    </w:p>
    <w:p w:rsidR="0024774E" w:rsidRPr="00EF692E" w:rsidRDefault="0021282C">
      <w:pPr>
        <w:pStyle w:val="12"/>
        <w:rPr>
          <w:rFonts w:asciiTheme="minorHAnsi" w:eastAsiaTheme="minorEastAsia" w:hAnsiTheme="minorHAnsi" w:cstheme="minorBidi"/>
          <w:noProof/>
          <w:sz w:val="21"/>
          <w:szCs w:val="22"/>
        </w:rPr>
      </w:pPr>
      <w:hyperlink w:anchor="_Toc146725853" w:history="1">
        <w:r w:rsidR="000975C7" w:rsidRPr="00EF692E">
          <w:rPr>
            <w:rStyle w:val="af5"/>
            <w:rFonts w:hint="eastAsia"/>
            <w:bCs/>
            <w:noProof/>
          </w:rPr>
          <w:t>第二十三条</w:t>
        </w:r>
        <w:r w:rsidR="000975C7" w:rsidRPr="00EF692E">
          <w:rPr>
            <w:rStyle w:val="af5"/>
            <w:bCs/>
            <w:noProof/>
          </w:rPr>
          <w:t xml:space="preserve"> </w:t>
        </w:r>
        <w:r w:rsidR="000975C7" w:rsidRPr="00EF692E">
          <w:rPr>
            <w:rStyle w:val="af5"/>
            <w:rFonts w:hint="eastAsia"/>
            <w:bCs/>
            <w:noProof/>
          </w:rPr>
          <w:t>通知与送达</w:t>
        </w:r>
        <w:r w:rsidR="000975C7" w:rsidRPr="00EF692E">
          <w:rPr>
            <w:noProof/>
          </w:rPr>
          <w:tab/>
        </w:r>
        <w:r w:rsidR="000975C7" w:rsidRPr="00EF692E">
          <w:rPr>
            <w:noProof/>
          </w:rPr>
          <w:fldChar w:fldCharType="begin"/>
        </w:r>
        <w:r w:rsidR="000975C7" w:rsidRPr="00EF692E">
          <w:rPr>
            <w:noProof/>
          </w:rPr>
          <w:instrText xml:space="preserve"> PAGEREF _Toc146725853 \h </w:instrText>
        </w:r>
        <w:r w:rsidR="000975C7" w:rsidRPr="00EF692E">
          <w:rPr>
            <w:noProof/>
          </w:rPr>
        </w:r>
        <w:r w:rsidR="000975C7" w:rsidRPr="00EF692E">
          <w:rPr>
            <w:noProof/>
          </w:rPr>
          <w:fldChar w:fldCharType="separate"/>
        </w:r>
        <w:r w:rsidR="00B013B9">
          <w:rPr>
            <w:noProof/>
          </w:rPr>
          <w:t>44</w:t>
        </w:r>
        <w:r w:rsidR="000975C7" w:rsidRPr="00EF692E">
          <w:rPr>
            <w:noProof/>
          </w:rPr>
          <w:fldChar w:fldCharType="end"/>
        </w:r>
      </w:hyperlink>
    </w:p>
    <w:p w:rsidR="0024774E" w:rsidRPr="00EF692E" w:rsidRDefault="000975C7">
      <w:pPr>
        <w:snapToGrid w:val="0"/>
        <w:spacing w:line="360" w:lineRule="auto"/>
        <w:jc w:val="center"/>
        <w:rPr>
          <w:rFonts w:ascii="宋体" w:hAnsi="宋体"/>
          <w:b/>
          <w:sz w:val="28"/>
          <w:szCs w:val="28"/>
        </w:rPr>
      </w:pPr>
      <w:r w:rsidRPr="00EF692E">
        <w:rPr>
          <w:rFonts w:ascii="宋体" w:hAnsi="宋体"/>
          <w:b/>
          <w:sz w:val="28"/>
          <w:szCs w:val="28"/>
        </w:rPr>
        <w:fldChar w:fldCharType="end"/>
      </w:r>
    </w:p>
    <w:p w:rsidR="0024774E" w:rsidRPr="00EF692E" w:rsidRDefault="000975C7">
      <w:pPr>
        <w:adjustRightInd w:val="0"/>
        <w:snapToGrid w:val="0"/>
        <w:spacing w:line="520" w:lineRule="atLeast"/>
        <w:jc w:val="center"/>
        <w:rPr>
          <w:rFonts w:ascii="宋体" w:hAnsi="宋体"/>
          <w:b/>
          <w:sz w:val="28"/>
          <w:szCs w:val="28"/>
        </w:rPr>
      </w:pPr>
      <w:r w:rsidRPr="00EF692E">
        <w:rPr>
          <w:rFonts w:ascii="宋体" w:hAnsi="宋体"/>
          <w:b/>
          <w:sz w:val="28"/>
          <w:szCs w:val="28"/>
        </w:rPr>
        <w:br w:type="page"/>
      </w:r>
      <w:r w:rsidRPr="00EF692E">
        <w:rPr>
          <w:rFonts w:ascii="宋体" w:hAnsi="宋体" w:hint="eastAsia"/>
          <w:b/>
          <w:sz w:val="28"/>
          <w:szCs w:val="28"/>
        </w:rPr>
        <w:lastRenderedPageBreak/>
        <w:t>招商智信优选6个月持有期混合型基金中基金（FOF）托管协议</w:t>
      </w:r>
    </w:p>
    <w:p w:rsidR="0024774E" w:rsidRPr="00EF692E" w:rsidRDefault="0024774E">
      <w:pPr>
        <w:adjustRightInd w:val="0"/>
        <w:snapToGrid w:val="0"/>
        <w:spacing w:line="520" w:lineRule="atLeast"/>
        <w:jc w:val="center"/>
        <w:rPr>
          <w:rFonts w:ascii="宋体" w:hAnsi="宋体"/>
          <w:b/>
          <w:sz w:val="28"/>
          <w:szCs w:val="28"/>
        </w:rPr>
      </w:pPr>
    </w:p>
    <w:p w:rsidR="0024774E" w:rsidRPr="00EF692E" w:rsidRDefault="000975C7">
      <w:pPr>
        <w:tabs>
          <w:tab w:val="left" w:pos="5940"/>
        </w:tabs>
        <w:adjustRightInd w:val="0"/>
        <w:snapToGrid w:val="0"/>
        <w:spacing w:line="520" w:lineRule="atLeast"/>
        <w:rPr>
          <w:rFonts w:ascii="宋体" w:hAnsi="宋体"/>
          <w:b/>
          <w:sz w:val="24"/>
          <w:szCs w:val="24"/>
        </w:rPr>
      </w:pPr>
      <w:r w:rsidRPr="00EF692E">
        <w:rPr>
          <w:rFonts w:ascii="宋体" w:hAnsi="宋体" w:hint="eastAsia"/>
          <w:b/>
          <w:sz w:val="24"/>
          <w:szCs w:val="24"/>
        </w:rPr>
        <w:t>基金管理人：招商基金管理有限公司</w:t>
      </w:r>
    </w:p>
    <w:p w:rsidR="0024774E" w:rsidRPr="00EF692E" w:rsidRDefault="000975C7">
      <w:pPr>
        <w:tabs>
          <w:tab w:val="left" w:pos="5940"/>
        </w:tabs>
        <w:adjustRightInd w:val="0"/>
        <w:snapToGrid w:val="0"/>
        <w:spacing w:line="520" w:lineRule="atLeast"/>
        <w:rPr>
          <w:rFonts w:ascii="宋体" w:hAnsi="宋体"/>
          <w:sz w:val="24"/>
          <w:szCs w:val="24"/>
        </w:rPr>
      </w:pPr>
      <w:r w:rsidRPr="00EF692E">
        <w:rPr>
          <w:rFonts w:ascii="宋体" w:hAnsi="宋体" w:hint="eastAsia"/>
          <w:sz w:val="24"/>
          <w:szCs w:val="24"/>
        </w:rPr>
        <w:t>住所：深圳市福田区深南大道7088号</w:t>
      </w:r>
    </w:p>
    <w:p w:rsidR="0024774E" w:rsidRPr="00EF692E" w:rsidRDefault="000975C7">
      <w:pPr>
        <w:tabs>
          <w:tab w:val="left" w:pos="5940"/>
        </w:tabs>
        <w:adjustRightInd w:val="0"/>
        <w:snapToGrid w:val="0"/>
        <w:spacing w:line="520" w:lineRule="atLeast"/>
        <w:rPr>
          <w:rFonts w:ascii="宋体" w:hAnsi="宋体"/>
          <w:sz w:val="24"/>
          <w:szCs w:val="24"/>
        </w:rPr>
      </w:pPr>
      <w:r w:rsidRPr="00EF692E">
        <w:rPr>
          <w:rFonts w:ascii="宋体" w:hAnsi="宋体" w:hint="eastAsia"/>
          <w:sz w:val="24"/>
          <w:szCs w:val="24"/>
        </w:rPr>
        <w:t>邮政编码：518000</w:t>
      </w:r>
    </w:p>
    <w:p w:rsidR="0024774E" w:rsidRPr="00EF692E" w:rsidRDefault="000975C7">
      <w:pPr>
        <w:tabs>
          <w:tab w:val="left" w:pos="5940"/>
        </w:tabs>
        <w:adjustRightInd w:val="0"/>
        <w:snapToGrid w:val="0"/>
        <w:spacing w:line="520" w:lineRule="atLeast"/>
        <w:rPr>
          <w:rFonts w:ascii="宋体" w:hAnsi="宋体"/>
          <w:sz w:val="24"/>
          <w:szCs w:val="24"/>
        </w:rPr>
      </w:pPr>
      <w:r w:rsidRPr="00EF692E">
        <w:rPr>
          <w:rFonts w:ascii="宋体" w:hAnsi="宋体" w:hint="eastAsia"/>
          <w:sz w:val="24"/>
          <w:szCs w:val="24"/>
        </w:rPr>
        <w:t>电话：0755-</w:t>
      </w:r>
      <w:r w:rsidRPr="00EF692E">
        <w:rPr>
          <w:rFonts w:ascii="宋体" w:hAnsi="宋体"/>
          <w:sz w:val="24"/>
          <w:szCs w:val="24"/>
        </w:rPr>
        <w:t>83199596</w:t>
      </w:r>
    </w:p>
    <w:p w:rsidR="0024774E" w:rsidRPr="00EF692E" w:rsidRDefault="000975C7">
      <w:pPr>
        <w:tabs>
          <w:tab w:val="left" w:pos="5940"/>
        </w:tabs>
        <w:adjustRightInd w:val="0"/>
        <w:snapToGrid w:val="0"/>
        <w:spacing w:line="520" w:lineRule="atLeast"/>
        <w:rPr>
          <w:rFonts w:ascii="宋体" w:hAnsi="宋体"/>
          <w:sz w:val="24"/>
          <w:szCs w:val="24"/>
        </w:rPr>
      </w:pPr>
      <w:r w:rsidRPr="00EF692E">
        <w:rPr>
          <w:rFonts w:ascii="宋体" w:hAnsi="宋体" w:hint="eastAsia"/>
          <w:sz w:val="24"/>
          <w:szCs w:val="24"/>
        </w:rPr>
        <w:t>传真：0755-83196405</w:t>
      </w:r>
    </w:p>
    <w:p w:rsidR="0024774E" w:rsidRPr="00EF692E" w:rsidRDefault="000975C7">
      <w:pPr>
        <w:snapToGrid w:val="0"/>
        <w:spacing w:line="520" w:lineRule="atLeast"/>
        <w:rPr>
          <w:rFonts w:ascii="宋体" w:hAnsi="宋体"/>
          <w:sz w:val="24"/>
          <w:szCs w:val="24"/>
        </w:rPr>
      </w:pPr>
      <w:r w:rsidRPr="00EF692E">
        <w:rPr>
          <w:rFonts w:ascii="宋体" w:hAnsi="宋体" w:hint="eastAsia"/>
          <w:sz w:val="24"/>
          <w:szCs w:val="24"/>
        </w:rPr>
        <w:t>法定代表人：王颖</w:t>
      </w:r>
    </w:p>
    <w:p w:rsidR="0024774E" w:rsidRPr="00EF692E" w:rsidRDefault="0024774E">
      <w:pPr>
        <w:snapToGrid w:val="0"/>
        <w:spacing w:line="520" w:lineRule="atLeast"/>
        <w:rPr>
          <w:rFonts w:ascii="宋体" w:hAnsi="宋体"/>
          <w:sz w:val="24"/>
          <w:szCs w:val="24"/>
        </w:rPr>
      </w:pPr>
    </w:p>
    <w:p w:rsidR="0024774E" w:rsidRPr="00EF692E" w:rsidRDefault="000975C7">
      <w:pPr>
        <w:tabs>
          <w:tab w:val="left" w:pos="5940"/>
        </w:tabs>
        <w:snapToGrid w:val="0"/>
        <w:spacing w:line="520" w:lineRule="atLeast"/>
        <w:rPr>
          <w:rFonts w:ascii="宋体" w:hAnsi="宋体"/>
          <w:b/>
          <w:sz w:val="24"/>
          <w:szCs w:val="24"/>
        </w:rPr>
      </w:pPr>
      <w:r w:rsidRPr="00EF692E">
        <w:rPr>
          <w:rFonts w:ascii="宋体" w:hAnsi="宋体" w:hint="eastAsia"/>
          <w:b/>
          <w:sz w:val="24"/>
          <w:szCs w:val="24"/>
        </w:rPr>
        <w:t>基金托管人：中信银行股份有限公司</w:t>
      </w:r>
    </w:p>
    <w:p w:rsidR="0024774E" w:rsidRPr="00EF692E" w:rsidRDefault="000975C7">
      <w:pPr>
        <w:tabs>
          <w:tab w:val="left" w:pos="5940"/>
        </w:tabs>
        <w:snapToGrid w:val="0"/>
        <w:spacing w:line="520" w:lineRule="atLeast"/>
        <w:rPr>
          <w:rFonts w:ascii="宋体" w:hAnsi="宋体"/>
          <w:sz w:val="24"/>
          <w:szCs w:val="24"/>
        </w:rPr>
      </w:pPr>
      <w:r w:rsidRPr="00EF692E">
        <w:rPr>
          <w:rFonts w:ascii="宋体" w:hAnsi="宋体" w:hint="eastAsia"/>
          <w:sz w:val="24"/>
          <w:szCs w:val="24"/>
        </w:rPr>
        <w:t>住所：北京市朝阳区光华路10号院1号楼6-30层、32-42层</w:t>
      </w:r>
    </w:p>
    <w:p w:rsidR="0024774E" w:rsidRPr="00EF692E" w:rsidRDefault="000975C7">
      <w:pPr>
        <w:tabs>
          <w:tab w:val="left" w:pos="5940"/>
        </w:tabs>
        <w:snapToGrid w:val="0"/>
        <w:spacing w:line="520" w:lineRule="atLeast"/>
        <w:rPr>
          <w:rFonts w:ascii="宋体" w:hAnsi="宋体"/>
          <w:sz w:val="24"/>
          <w:szCs w:val="24"/>
        </w:rPr>
      </w:pPr>
      <w:r w:rsidRPr="00EF692E">
        <w:rPr>
          <w:rFonts w:ascii="宋体" w:hAnsi="宋体" w:hint="eastAsia"/>
          <w:sz w:val="24"/>
          <w:szCs w:val="24"/>
        </w:rPr>
        <w:t>邮政编码：100020</w:t>
      </w:r>
    </w:p>
    <w:p w:rsidR="0024774E" w:rsidRPr="00EF692E" w:rsidRDefault="000975C7">
      <w:pPr>
        <w:tabs>
          <w:tab w:val="left" w:pos="5940"/>
        </w:tabs>
        <w:snapToGrid w:val="0"/>
        <w:spacing w:line="520" w:lineRule="atLeast"/>
        <w:rPr>
          <w:rFonts w:ascii="宋体" w:hAnsi="宋体"/>
          <w:sz w:val="24"/>
          <w:szCs w:val="24"/>
        </w:rPr>
      </w:pPr>
      <w:r w:rsidRPr="00EF692E">
        <w:rPr>
          <w:rFonts w:ascii="宋体" w:hAnsi="宋体" w:hint="eastAsia"/>
          <w:sz w:val="24"/>
          <w:szCs w:val="24"/>
        </w:rPr>
        <w:t>电话：4006800000</w:t>
      </w:r>
    </w:p>
    <w:p w:rsidR="0024774E" w:rsidRPr="00EF692E" w:rsidRDefault="000975C7">
      <w:pPr>
        <w:tabs>
          <w:tab w:val="left" w:pos="5940"/>
        </w:tabs>
        <w:snapToGrid w:val="0"/>
        <w:spacing w:line="520" w:lineRule="atLeast"/>
        <w:rPr>
          <w:rFonts w:ascii="宋体" w:hAnsi="宋体"/>
          <w:sz w:val="24"/>
          <w:szCs w:val="24"/>
        </w:rPr>
      </w:pPr>
      <w:r w:rsidRPr="00EF692E">
        <w:rPr>
          <w:rFonts w:ascii="宋体" w:hAnsi="宋体" w:hint="eastAsia"/>
          <w:sz w:val="24"/>
          <w:szCs w:val="24"/>
        </w:rPr>
        <w:t>传真：010-65559281</w:t>
      </w:r>
    </w:p>
    <w:p w:rsidR="0024774E" w:rsidRPr="00EF692E" w:rsidRDefault="000975C7">
      <w:pPr>
        <w:tabs>
          <w:tab w:val="left" w:pos="5940"/>
        </w:tabs>
        <w:snapToGrid w:val="0"/>
        <w:spacing w:line="520" w:lineRule="atLeast"/>
        <w:rPr>
          <w:rFonts w:ascii="宋体" w:hAnsi="宋体"/>
          <w:sz w:val="24"/>
          <w:szCs w:val="24"/>
        </w:rPr>
      </w:pPr>
      <w:r w:rsidRPr="00EF692E">
        <w:rPr>
          <w:rFonts w:ascii="宋体" w:hAnsi="宋体" w:hint="eastAsia"/>
          <w:sz w:val="24"/>
          <w:szCs w:val="24"/>
        </w:rPr>
        <w:t>法定代表人：方合英</w:t>
      </w:r>
    </w:p>
    <w:p w:rsidR="0024774E" w:rsidRPr="00EF692E" w:rsidRDefault="0024774E">
      <w:pPr>
        <w:autoSpaceDE w:val="0"/>
        <w:autoSpaceDN w:val="0"/>
        <w:adjustRightInd w:val="0"/>
        <w:spacing w:line="520" w:lineRule="atLeast"/>
        <w:rPr>
          <w:rFonts w:ascii="宋体" w:hAnsi="宋体"/>
          <w:sz w:val="24"/>
          <w:szCs w:val="24"/>
        </w:rPr>
      </w:pPr>
    </w:p>
    <w:p w:rsidR="0024774E" w:rsidRPr="00EF692E" w:rsidRDefault="000975C7">
      <w:pPr>
        <w:autoSpaceDE w:val="0"/>
        <w:autoSpaceDN w:val="0"/>
        <w:adjustRightInd w:val="0"/>
        <w:spacing w:line="520" w:lineRule="atLeast"/>
        <w:ind w:firstLineChars="200" w:firstLine="482"/>
        <w:rPr>
          <w:rFonts w:ascii="宋体" w:hAnsi="宋体"/>
          <w:b/>
          <w:sz w:val="24"/>
          <w:szCs w:val="24"/>
        </w:rPr>
      </w:pPr>
      <w:r w:rsidRPr="00EF692E">
        <w:rPr>
          <w:rFonts w:ascii="宋体" w:hAnsi="宋体" w:hint="eastAsia"/>
          <w:b/>
          <w:sz w:val="24"/>
          <w:szCs w:val="24"/>
        </w:rPr>
        <w:t>鉴于：</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1.招商基金管理有限公司系一家依照中国法律合法成立并有效存续的有限责任公司，按照相关法律法规的规定具备担任基金管理人的资格和能力；</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2.中信银行股份有限公司系一家依照中国法律合法成立并有效存续的银行，按照相关法律法规的规定具备担任基金托管人的资格和能力；</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3.招商基金管理有限公司拟担任招商智信优选6个月持有期混合型基金中基金（FOF）的基金管理人，中信银行股份有限公司拟担任招商智信优选6个月持有期混合型基金中基金（FOF）的基金托管人；</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为明确双方在基金托管中的权利、义务及责任，确保基金财产的安全，保护基金份额持有人的合法权益，依据相关法律法规和监管规定，双方本着平等自愿、</w:t>
      </w:r>
      <w:r w:rsidRPr="00EF692E">
        <w:rPr>
          <w:rFonts w:hAnsi="宋体" w:hint="eastAsia"/>
          <w:szCs w:val="24"/>
        </w:rPr>
        <w:lastRenderedPageBreak/>
        <w:t>诚实守信的原则特签订本协议。</w:t>
      </w:r>
    </w:p>
    <w:p w:rsidR="0024774E" w:rsidRPr="00EF692E" w:rsidRDefault="000975C7">
      <w:pPr>
        <w:pStyle w:val="20"/>
        <w:spacing w:before="0" w:after="0" w:line="520" w:lineRule="atLeast"/>
        <w:ind w:left="0" w:firstLine="541"/>
        <w:rPr>
          <w:rFonts w:hAnsi="宋体"/>
          <w:b/>
          <w:bCs/>
          <w:szCs w:val="24"/>
        </w:rPr>
      </w:pPr>
      <w:r w:rsidRPr="00EF692E">
        <w:rPr>
          <w:rFonts w:hAnsi="宋体" w:hint="eastAsia"/>
          <w:b/>
          <w:bCs/>
          <w:szCs w:val="24"/>
        </w:rPr>
        <w:t>释义：</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除非另有约定，《招商智信优选6个月持有期混合型基金中基金（FOF）基金合同》(以下简称“基金合同”)中定义的术语在用于本托管协议时应具有相同的含义；若有抵触，应以基金合同为准，并依其条款解释。</w:t>
      </w:r>
    </w:p>
    <w:p w:rsidR="0024774E" w:rsidRPr="00EF692E" w:rsidRDefault="000975C7">
      <w:pPr>
        <w:pStyle w:val="1"/>
        <w:spacing w:line="520" w:lineRule="atLeast"/>
        <w:ind w:firstLineChars="200" w:firstLine="482"/>
        <w:rPr>
          <w:bCs/>
          <w:color w:val="auto"/>
          <w:szCs w:val="24"/>
        </w:rPr>
      </w:pPr>
      <w:bookmarkStart w:id="15" w:name="_Toc296551337"/>
      <w:bookmarkStart w:id="16" w:name="_Toc146725831"/>
      <w:r w:rsidRPr="00EF692E">
        <w:rPr>
          <w:rFonts w:hint="eastAsia"/>
          <w:bCs/>
          <w:color w:val="auto"/>
          <w:szCs w:val="24"/>
        </w:rPr>
        <w:t>第一条 本协议当事人</w:t>
      </w:r>
      <w:bookmarkEnd w:id="15"/>
      <w:bookmarkEnd w:id="16"/>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1.1基金管理人：</w:t>
      </w:r>
    </w:p>
    <w:p w:rsidR="0024774E" w:rsidRPr="00EF692E" w:rsidRDefault="000975C7">
      <w:pPr>
        <w:pStyle w:val="20"/>
        <w:spacing w:line="520" w:lineRule="atLeast"/>
        <w:rPr>
          <w:rFonts w:hAnsi="宋体"/>
          <w:szCs w:val="24"/>
        </w:rPr>
      </w:pPr>
      <w:r w:rsidRPr="00EF692E">
        <w:rPr>
          <w:rFonts w:hAnsi="宋体" w:hint="eastAsia"/>
          <w:szCs w:val="24"/>
        </w:rPr>
        <w:t>名称：招商基金管理有限公司</w:t>
      </w:r>
    </w:p>
    <w:p w:rsidR="0024774E" w:rsidRPr="00EF692E" w:rsidRDefault="000975C7">
      <w:pPr>
        <w:pStyle w:val="20"/>
        <w:spacing w:line="520" w:lineRule="atLeast"/>
        <w:rPr>
          <w:rFonts w:hAnsi="宋体"/>
          <w:szCs w:val="24"/>
        </w:rPr>
      </w:pPr>
      <w:r w:rsidRPr="00EF692E">
        <w:rPr>
          <w:rFonts w:hAnsi="宋体" w:hint="eastAsia"/>
          <w:szCs w:val="24"/>
        </w:rPr>
        <w:t>住所：深圳市福田区深南大道7088号</w:t>
      </w:r>
    </w:p>
    <w:p w:rsidR="0024774E" w:rsidRPr="00EF692E" w:rsidRDefault="000975C7">
      <w:pPr>
        <w:pStyle w:val="20"/>
        <w:spacing w:line="520" w:lineRule="atLeast"/>
        <w:rPr>
          <w:rFonts w:hAnsi="宋体"/>
          <w:szCs w:val="24"/>
        </w:rPr>
      </w:pPr>
      <w:r w:rsidRPr="00EF692E">
        <w:rPr>
          <w:rFonts w:hAnsi="宋体" w:hint="eastAsia"/>
          <w:szCs w:val="24"/>
        </w:rPr>
        <w:t>法定代表人：王颖</w:t>
      </w:r>
    </w:p>
    <w:p w:rsidR="0024774E" w:rsidRPr="00EF692E" w:rsidRDefault="000975C7">
      <w:pPr>
        <w:pStyle w:val="20"/>
        <w:spacing w:line="520" w:lineRule="atLeast"/>
        <w:rPr>
          <w:rFonts w:hAnsi="宋体"/>
          <w:szCs w:val="24"/>
        </w:rPr>
      </w:pPr>
      <w:r w:rsidRPr="00EF692E">
        <w:rPr>
          <w:rFonts w:hAnsi="宋体" w:hint="eastAsia"/>
          <w:szCs w:val="24"/>
        </w:rPr>
        <w:t>设立日期：2002年12月27日</w:t>
      </w:r>
    </w:p>
    <w:p w:rsidR="0024774E" w:rsidRPr="00EF692E" w:rsidRDefault="000975C7">
      <w:pPr>
        <w:pStyle w:val="20"/>
        <w:spacing w:line="520" w:lineRule="atLeast"/>
        <w:ind w:left="0" w:firstLineChars="200" w:firstLine="480"/>
        <w:rPr>
          <w:rFonts w:hAnsi="宋体"/>
          <w:szCs w:val="24"/>
        </w:rPr>
      </w:pPr>
      <w:r w:rsidRPr="00EF692E">
        <w:rPr>
          <w:rFonts w:hAnsi="宋体" w:hint="eastAsia"/>
          <w:szCs w:val="24"/>
        </w:rPr>
        <w:t>批准设立机关及批准设立文号：中国证券监督管理委员会证</w:t>
      </w:r>
      <w:proofErr w:type="gramStart"/>
      <w:r w:rsidRPr="00EF692E">
        <w:rPr>
          <w:rFonts w:hAnsi="宋体" w:hint="eastAsia"/>
          <w:szCs w:val="24"/>
        </w:rPr>
        <w:t>监基金字</w:t>
      </w:r>
      <w:proofErr w:type="gramEnd"/>
      <w:r w:rsidRPr="00EF692E">
        <w:rPr>
          <w:rFonts w:hAnsi="宋体" w:hint="eastAsia"/>
          <w:szCs w:val="24"/>
        </w:rPr>
        <w:t>[2002]100号</w:t>
      </w:r>
    </w:p>
    <w:p w:rsidR="0024774E" w:rsidRPr="00EF692E" w:rsidRDefault="000975C7">
      <w:pPr>
        <w:pStyle w:val="20"/>
        <w:spacing w:line="520" w:lineRule="atLeast"/>
        <w:rPr>
          <w:rFonts w:hAnsi="宋体"/>
          <w:szCs w:val="24"/>
        </w:rPr>
      </w:pPr>
      <w:r w:rsidRPr="00EF692E">
        <w:rPr>
          <w:rFonts w:hAnsi="宋体" w:hint="eastAsia"/>
          <w:szCs w:val="24"/>
        </w:rPr>
        <w:t>组织形式：有限责任公司</w:t>
      </w:r>
    </w:p>
    <w:p w:rsidR="0024774E" w:rsidRPr="00EF692E" w:rsidRDefault="000975C7">
      <w:pPr>
        <w:pStyle w:val="20"/>
        <w:spacing w:line="520" w:lineRule="atLeast"/>
        <w:rPr>
          <w:rFonts w:hAnsi="宋体"/>
          <w:szCs w:val="24"/>
        </w:rPr>
      </w:pPr>
      <w:r w:rsidRPr="00EF692E">
        <w:rPr>
          <w:rFonts w:hAnsi="宋体" w:hint="eastAsia"/>
          <w:szCs w:val="24"/>
        </w:rPr>
        <w:t>注册资本：13.1亿元人民币</w:t>
      </w:r>
    </w:p>
    <w:p w:rsidR="0024774E" w:rsidRPr="00EF692E" w:rsidRDefault="000975C7">
      <w:pPr>
        <w:pStyle w:val="20"/>
        <w:spacing w:line="520" w:lineRule="atLeast"/>
        <w:rPr>
          <w:rFonts w:hAnsi="宋体"/>
          <w:szCs w:val="24"/>
        </w:rPr>
      </w:pPr>
      <w:r w:rsidRPr="00EF692E">
        <w:rPr>
          <w:rFonts w:hAnsi="宋体" w:hint="eastAsia"/>
          <w:szCs w:val="24"/>
        </w:rPr>
        <w:t>存续期限：持续经营</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联系电话：（0755）83199596</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1.2基金托管人：</w:t>
      </w:r>
    </w:p>
    <w:p w:rsidR="0024774E" w:rsidRPr="00EF692E" w:rsidRDefault="000975C7">
      <w:pPr>
        <w:pStyle w:val="20"/>
        <w:spacing w:line="520" w:lineRule="atLeast"/>
        <w:rPr>
          <w:rFonts w:hAnsi="宋体"/>
          <w:szCs w:val="24"/>
        </w:rPr>
      </w:pPr>
      <w:r w:rsidRPr="00EF692E">
        <w:rPr>
          <w:rFonts w:hAnsi="宋体" w:hint="eastAsia"/>
          <w:szCs w:val="24"/>
        </w:rPr>
        <w:t>名称：中信银行股份有限公司</w:t>
      </w:r>
    </w:p>
    <w:p w:rsidR="0024774E" w:rsidRPr="00EF692E" w:rsidRDefault="000975C7">
      <w:pPr>
        <w:pStyle w:val="20"/>
        <w:spacing w:line="520" w:lineRule="atLeast"/>
        <w:rPr>
          <w:rFonts w:hAnsi="宋体"/>
          <w:szCs w:val="24"/>
        </w:rPr>
      </w:pPr>
      <w:r w:rsidRPr="00EF692E">
        <w:rPr>
          <w:rFonts w:hAnsi="宋体" w:hint="eastAsia"/>
          <w:szCs w:val="24"/>
        </w:rPr>
        <w:t>住所：北京市朝阳区光华路10号院1号楼6-30层、32-42层</w:t>
      </w:r>
    </w:p>
    <w:p w:rsidR="0024774E" w:rsidRPr="00EF692E" w:rsidRDefault="000975C7">
      <w:pPr>
        <w:pStyle w:val="20"/>
        <w:spacing w:line="520" w:lineRule="atLeast"/>
        <w:rPr>
          <w:rFonts w:hAnsi="宋体"/>
          <w:szCs w:val="24"/>
        </w:rPr>
      </w:pPr>
      <w:r w:rsidRPr="00EF692E">
        <w:rPr>
          <w:rFonts w:hAnsi="宋体" w:hint="eastAsia"/>
          <w:szCs w:val="24"/>
        </w:rPr>
        <w:t>法定代表人：方合英</w:t>
      </w:r>
    </w:p>
    <w:p w:rsidR="0024774E" w:rsidRPr="00EF692E" w:rsidRDefault="000975C7">
      <w:pPr>
        <w:pStyle w:val="20"/>
        <w:spacing w:line="520" w:lineRule="atLeast"/>
        <w:rPr>
          <w:rFonts w:hAnsi="宋体"/>
          <w:szCs w:val="24"/>
        </w:rPr>
      </w:pPr>
      <w:r w:rsidRPr="00EF692E">
        <w:rPr>
          <w:rFonts w:hAnsi="宋体" w:hint="eastAsia"/>
          <w:szCs w:val="24"/>
        </w:rPr>
        <w:t>成立时间：1987年4月20日</w:t>
      </w:r>
    </w:p>
    <w:p w:rsidR="0024774E" w:rsidRPr="00EF692E" w:rsidRDefault="000975C7">
      <w:pPr>
        <w:pStyle w:val="20"/>
        <w:spacing w:line="520" w:lineRule="atLeast"/>
        <w:rPr>
          <w:rFonts w:hAnsi="宋体"/>
          <w:szCs w:val="24"/>
        </w:rPr>
      </w:pPr>
      <w:r w:rsidRPr="00EF692E">
        <w:rPr>
          <w:rFonts w:hAnsi="宋体" w:hint="eastAsia"/>
          <w:szCs w:val="24"/>
        </w:rPr>
        <w:t>批准设立文号：国办函[1987]14号</w:t>
      </w:r>
    </w:p>
    <w:p w:rsidR="0024774E" w:rsidRPr="00EF692E" w:rsidRDefault="000975C7">
      <w:pPr>
        <w:pStyle w:val="20"/>
        <w:spacing w:line="520" w:lineRule="atLeast"/>
        <w:rPr>
          <w:rFonts w:hAnsi="宋体"/>
          <w:szCs w:val="24"/>
        </w:rPr>
      </w:pPr>
      <w:r w:rsidRPr="00EF692E">
        <w:rPr>
          <w:rFonts w:hAnsi="宋体" w:hint="eastAsia"/>
          <w:szCs w:val="24"/>
        </w:rPr>
        <w:t>基金托管业务批准文号：证</w:t>
      </w:r>
      <w:proofErr w:type="gramStart"/>
      <w:r w:rsidRPr="00EF692E">
        <w:rPr>
          <w:rFonts w:hAnsi="宋体" w:hint="eastAsia"/>
          <w:szCs w:val="24"/>
        </w:rPr>
        <w:t>监基金字</w:t>
      </w:r>
      <w:proofErr w:type="gramEnd"/>
      <w:r w:rsidRPr="00EF692E">
        <w:rPr>
          <w:rFonts w:hAnsi="宋体" w:hint="eastAsia"/>
          <w:szCs w:val="24"/>
        </w:rPr>
        <w:t>[2004]125号</w:t>
      </w:r>
    </w:p>
    <w:p w:rsidR="0024774E" w:rsidRPr="00EF692E" w:rsidRDefault="000975C7">
      <w:pPr>
        <w:pStyle w:val="20"/>
        <w:spacing w:line="520" w:lineRule="atLeast"/>
        <w:rPr>
          <w:rFonts w:hAnsi="宋体"/>
          <w:szCs w:val="24"/>
        </w:rPr>
      </w:pPr>
      <w:r w:rsidRPr="00EF692E">
        <w:rPr>
          <w:rFonts w:hAnsi="宋体" w:hint="eastAsia"/>
          <w:szCs w:val="24"/>
        </w:rPr>
        <w:lastRenderedPageBreak/>
        <w:t>组织形式：股份有限公司</w:t>
      </w:r>
    </w:p>
    <w:p w:rsidR="0024774E" w:rsidRPr="00EF692E" w:rsidRDefault="000975C7">
      <w:pPr>
        <w:pStyle w:val="20"/>
        <w:spacing w:line="520" w:lineRule="atLeast"/>
        <w:rPr>
          <w:rFonts w:hAnsi="宋体"/>
          <w:szCs w:val="24"/>
        </w:rPr>
      </w:pPr>
      <w:r w:rsidRPr="00EF692E">
        <w:rPr>
          <w:rFonts w:hAnsi="宋体" w:hint="eastAsia"/>
          <w:szCs w:val="24"/>
        </w:rPr>
        <w:t>注册资本：4893479.6573万元人民币</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存续期间：持续经营</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经营范围：保险兼业代理业务；吸收公众存款；发放短期、中期和长期贷款；办理国内外结算；办理票据承兑与贴现；发行金融债券；代理发行、代理兑付、承销政府债券；买卖政府债券、金融债券；从事同业拆借；买卖、代理买卖外汇；从事银行卡业务；提供信用证服务及担保；代理收付款项；提供保管箱服务；结汇、售汇业务；代理开放式基金业务；办理黄金业务；黄金进出口；开展证券投资基金、企业年金基金、保险资金、合格境外机构投资者托管业务；经国务院银行业监督管理机构批准的其他业务。（企业依法自主选择经营项目，开展经营活动；依法须经批准的项目，经相关部门批准后依批准的内容开展经营活动；不得从事本市产业政策禁止和限制类项目的经营活动。）</w:t>
      </w:r>
    </w:p>
    <w:p w:rsidR="0024774E" w:rsidRPr="00EF692E" w:rsidRDefault="000975C7">
      <w:pPr>
        <w:pStyle w:val="1"/>
        <w:spacing w:line="520" w:lineRule="atLeast"/>
        <w:ind w:firstLineChars="200" w:firstLine="482"/>
        <w:rPr>
          <w:bCs/>
          <w:color w:val="auto"/>
          <w:szCs w:val="24"/>
        </w:rPr>
      </w:pPr>
      <w:bookmarkStart w:id="17" w:name="_Toc146725832"/>
      <w:bookmarkStart w:id="18" w:name="_Toc296551338"/>
      <w:r w:rsidRPr="00EF692E">
        <w:rPr>
          <w:rFonts w:hint="eastAsia"/>
          <w:bCs/>
          <w:color w:val="auto"/>
          <w:szCs w:val="24"/>
        </w:rPr>
        <w:t>第二条 本协议的依据、目的和原则</w:t>
      </w:r>
      <w:bookmarkEnd w:id="17"/>
      <w:bookmarkEnd w:id="18"/>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2.1本协议的依据</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订立本协议的依据是《中华人民共和国证券投资基金法》（以下简称《基金法》）《公开募集证券投资基金运作管理办法》（以下简称《运作办法》）《公开募集证券投资基金销售机构监督管理办法》《公开</w:t>
      </w:r>
      <w:r w:rsidRPr="00EF692E">
        <w:rPr>
          <w:rFonts w:hAnsi="宋体"/>
          <w:szCs w:val="24"/>
        </w:rPr>
        <w:t>募集</w:t>
      </w:r>
      <w:r w:rsidRPr="00EF692E">
        <w:rPr>
          <w:rFonts w:hAnsi="宋体" w:hint="eastAsia"/>
          <w:szCs w:val="24"/>
        </w:rPr>
        <w:t>证券投资基金信息披露管理办法》（以下简称《信息披露办法》）</w:t>
      </w:r>
      <w:r w:rsidRPr="00EF692E">
        <w:rPr>
          <w:rFonts w:hint="eastAsia"/>
          <w:bCs/>
        </w:rPr>
        <w:t>《公开募集开放式证券投资基金流动性风险管理规定》（以下简称《流动性风险管理规定》）</w:t>
      </w:r>
      <w:r w:rsidRPr="00EF692E">
        <w:rPr>
          <w:rFonts w:hAnsi="宋体" w:hint="eastAsia"/>
          <w:szCs w:val="24"/>
        </w:rPr>
        <w:t>《证券投资基金信息披露内容与格式准则第7号〈托管协议的内容与格式〉》《公开募集证券投资基金运作指引第2号——基金中基金指引》《商业银行托管业务监督管理办法（试行）》、基金合同及其他有关规定。</w:t>
      </w:r>
    </w:p>
    <w:p w:rsidR="0024774E" w:rsidRPr="00EF692E" w:rsidRDefault="000975C7">
      <w:pPr>
        <w:pStyle w:val="20"/>
        <w:adjustRightInd w:val="0"/>
        <w:snapToGrid w:val="0"/>
        <w:spacing w:before="0" w:after="0" w:line="520" w:lineRule="atLeast"/>
        <w:ind w:left="0" w:firstLineChars="200" w:firstLine="480"/>
        <w:rPr>
          <w:rFonts w:hAnsi="宋体"/>
          <w:szCs w:val="24"/>
        </w:rPr>
      </w:pPr>
      <w:r w:rsidRPr="00EF692E">
        <w:rPr>
          <w:rFonts w:hAnsi="宋体" w:hint="eastAsia"/>
          <w:szCs w:val="24"/>
        </w:rPr>
        <w:t>2.2本协议的目的</w:t>
      </w:r>
    </w:p>
    <w:p w:rsidR="0024774E" w:rsidRPr="00EF692E" w:rsidRDefault="000975C7">
      <w:pPr>
        <w:pStyle w:val="20"/>
        <w:adjustRightInd w:val="0"/>
        <w:snapToGrid w:val="0"/>
        <w:spacing w:before="0" w:after="0" w:line="520" w:lineRule="atLeast"/>
        <w:ind w:left="0" w:firstLineChars="200" w:firstLine="480"/>
        <w:rPr>
          <w:rFonts w:hAnsi="宋体"/>
          <w:szCs w:val="24"/>
        </w:rPr>
      </w:pPr>
      <w:r w:rsidRPr="00EF692E">
        <w:rPr>
          <w:rFonts w:hAnsi="宋体" w:hint="eastAsia"/>
          <w:szCs w:val="24"/>
        </w:rPr>
        <w:t>订立本协议的目的是明确基金托管人与基金管理人之间在基金财产的保管、投资运作、净值计算、收益分配、信息披露及相互监督等有关事宜中的权利、义务及职责，确保基金财产的安全，保护基金份额持有人的合法权益。</w:t>
      </w:r>
    </w:p>
    <w:p w:rsidR="0024774E" w:rsidRPr="00EF692E" w:rsidRDefault="000975C7">
      <w:pPr>
        <w:pStyle w:val="20"/>
        <w:adjustRightInd w:val="0"/>
        <w:snapToGrid w:val="0"/>
        <w:spacing w:before="0" w:after="0" w:line="520" w:lineRule="atLeast"/>
        <w:ind w:left="0" w:firstLineChars="200" w:firstLine="480"/>
        <w:rPr>
          <w:rFonts w:hAnsi="宋体"/>
          <w:szCs w:val="24"/>
        </w:rPr>
      </w:pPr>
      <w:r w:rsidRPr="00EF692E">
        <w:rPr>
          <w:rFonts w:hAnsi="宋体" w:hint="eastAsia"/>
          <w:szCs w:val="24"/>
        </w:rPr>
        <w:lastRenderedPageBreak/>
        <w:t>2.3本协议的原则</w:t>
      </w:r>
    </w:p>
    <w:p w:rsidR="0024774E" w:rsidRPr="00EF692E" w:rsidRDefault="000975C7">
      <w:pPr>
        <w:pStyle w:val="20"/>
        <w:adjustRightInd w:val="0"/>
        <w:snapToGrid w:val="0"/>
        <w:spacing w:before="0" w:after="0" w:line="520" w:lineRule="atLeast"/>
        <w:ind w:left="0" w:firstLineChars="200" w:firstLine="480"/>
        <w:rPr>
          <w:rFonts w:hAnsi="宋体"/>
          <w:szCs w:val="24"/>
        </w:rPr>
      </w:pPr>
      <w:r w:rsidRPr="00EF692E">
        <w:rPr>
          <w:rFonts w:hAnsi="宋体" w:hint="eastAsia"/>
          <w:szCs w:val="24"/>
        </w:rPr>
        <w:t>基金管理人和基金托管人本着平等自愿、诚实信用、充分保护基金份额持有人合法权益的原则，经协商一致，签订本协议。</w:t>
      </w:r>
    </w:p>
    <w:p w:rsidR="0024774E" w:rsidRPr="00EF692E" w:rsidRDefault="000975C7">
      <w:pPr>
        <w:pStyle w:val="20"/>
        <w:adjustRightInd w:val="0"/>
        <w:snapToGrid w:val="0"/>
        <w:spacing w:before="0" w:after="0" w:line="520" w:lineRule="atLeast"/>
        <w:ind w:left="0" w:firstLineChars="200" w:firstLine="480"/>
        <w:rPr>
          <w:rFonts w:hAnsi="宋体"/>
          <w:szCs w:val="24"/>
        </w:rPr>
      </w:pPr>
      <w:r w:rsidRPr="00EF692E">
        <w:rPr>
          <w:rFonts w:hAnsi="宋体" w:hint="eastAsia"/>
          <w:szCs w:val="24"/>
        </w:rPr>
        <w:t>2.4若本基金实施</w:t>
      </w:r>
      <w:proofErr w:type="gramStart"/>
      <w:r w:rsidRPr="00EF692E">
        <w:rPr>
          <w:rFonts w:hAnsi="宋体" w:hint="eastAsia"/>
          <w:szCs w:val="24"/>
        </w:rPr>
        <w:t>侧袋机制</w:t>
      </w:r>
      <w:proofErr w:type="gramEnd"/>
      <w:r w:rsidRPr="00EF692E">
        <w:rPr>
          <w:rFonts w:hAnsi="宋体" w:hint="eastAsia"/>
          <w:szCs w:val="24"/>
        </w:rPr>
        <w:t>的，</w:t>
      </w:r>
      <w:proofErr w:type="gramStart"/>
      <w:r w:rsidRPr="00EF692E">
        <w:rPr>
          <w:rFonts w:hAnsi="宋体" w:hint="eastAsia"/>
          <w:szCs w:val="24"/>
        </w:rPr>
        <w:t>侧袋机制</w:t>
      </w:r>
      <w:proofErr w:type="gramEnd"/>
      <w:r w:rsidRPr="00EF692E">
        <w:rPr>
          <w:rFonts w:hAnsi="宋体" w:hint="eastAsia"/>
          <w:szCs w:val="24"/>
        </w:rPr>
        <w:t>实施期间的相关安排</w:t>
      </w:r>
      <w:proofErr w:type="gramStart"/>
      <w:r w:rsidRPr="00EF692E">
        <w:rPr>
          <w:rFonts w:hAnsi="宋体" w:hint="eastAsia"/>
          <w:szCs w:val="24"/>
        </w:rPr>
        <w:t>见基金</w:t>
      </w:r>
      <w:proofErr w:type="gramEnd"/>
      <w:r w:rsidRPr="00EF692E">
        <w:rPr>
          <w:rFonts w:hAnsi="宋体" w:hint="eastAsia"/>
          <w:szCs w:val="24"/>
        </w:rPr>
        <w:t>合同和招募说明书的规定。</w:t>
      </w:r>
    </w:p>
    <w:p w:rsidR="0024774E" w:rsidRPr="00EF692E" w:rsidRDefault="000975C7">
      <w:pPr>
        <w:pStyle w:val="1"/>
        <w:adjustRightInd w:val="0"/>
        <w:spacing w:line="520" w:lineRule="atLeast"/>
        <w:ind w:firstLineChars="200" w:firstLine="482"/>
        <w:rPr>
          <w:bCs/>
          <w:color w:val="auto"/>
          <w:szCs w:val="24"/>
        </w:rPr>
      </w:pPr>
      <w:bookmarkStart w:id="19" w:name="_Toc146725833"/>
      <w:bookmarkStart w:id="20" w:name="_Toc296551339"/>
      <w:r w:rsidRPr="00EF692E">
        <w:rPr>
          <w:rFonts w:hint="eastAsia"/>
          <w:bCs/>
          <w:color w:val="auto"/>
          <w:szCs w:val="24"/>
        </w:rPr>
        <w:t>第三条 基金托管人对基金管理人的业务监督和核查</w:t>
      </w:r>
      <w:bookmarkEnd w:id="19"/>
      <w:bookmarkEnd w:id="20"/>
    </w:p>
    <w:p w:rsidR="0024774E" w:rsidRPr="00EF692E" w:rsidRDefault="000975C7">
      <w:pPr>
        <w:pStyle w:val="20"/>
        <w:adjustRightInd w:val="0"/>
        <w:snapToGrid w:val="0"/>
        <w:spacing w:before="0" w:after="0" w:line="520" w:lineRule="atLeast"/>
        <w:ind w:left="0" w:firstLineChars="200" w:firstLine="480"/>
        <w:rPr>
          <w:rFonts w:hAnsi="宋体"/>
          <w:szCs w:val="24"/>
        </w:rPr>
      </w:pPr>
      <w:r w:rsidRPr="00EF692E">
        <w:rPr>
          <w:rFonts w:hAnsi="宋体" w:hint="eastAsia"/>
          <w:szCs w:val="24"/>
        </w:rPr>
        <w:t>3.1基金托管人对基金管理人的投资行为行使监督权</w:t>
      </w:r>
    </w:p>
    <w:p w:rsidR="0024774E" w:rsidRPr="00EF692E" w:rsidRDefault="000975C7">
      <w:pPr>
        <w:pStyle w:val="20"/>
        <w:adjustRightInd w:val="0"/>
        <w:snapToGrid w:val="0"/>
        <w:spacing w:before="0" w:after="0" w:line="520" w:lineRule="atLeast"/>
        <w:ind w:left="0" w:firstLineChars="200" w:firstLine="480"/>
        <w:rPr>
          <w:rFonts w:hAnsi="宋体"/>
          <w:szCs w:val="24"/>
        </w:rPr>
      </w:pPr>
      <w:r w:rsidRPr="00EF692E">
        <w:rPr>
          <w:rFonts w:hAnsi="宋体" w:hint="eastAsia"/>
          <w:szCs w:val="24"/>
        </w:rPr>
        <w:t>3.1.1基金托管人根据有关法律法规的规定和基金合同的约定，对下述基金投资范围、投资对象进行监督。本基金将投资于以下金融工具：</w:t>
      </w:r>
    </w:p>
    <w:p w:rsidR="0024774E" w:rsidRPr="00EF692E" w:rsidRDefault="000975C7">
      <w:pPr>
        <w:spacing w:line="520" w:lineRule="atLeast"/>
        <w:ind w:firstLine="480"/>
        <w:rPr>
          <w:rFonts w:ascii="宋体" w:hAnsi="宋体"/>
          <w:sz w:val="24"/>
          <w:szCs w:val="24"/>
        </w:rPr>
      </w:pPr>
      <w:r w:rsidRPr="00EF692E">
        <w:rPr>
          <w:rFonts w:ascii="宋体" w:hAnsi="宋体" w:hint="eastAsia"/>
          <w:sz w:val="24"/>
          <w:szCs w:val="24"/>
        </w:rPr>
        <w:t>本基金的投资范围为具有良好流动性的金融工具，包括经中国证监会依法核准或注册的公开募集的基金份额（包括QDII基金、商品基金（</w:t>
      </w:r>
      <w:proofErr w:type="gramStart"/>
      <w:r w:rsidRPr="00EF692E">
        <w:rPr>
          <w:rFonts w:ascii="宋体" w:hAnsi="宋体" w:hint="eastAsia"/>
          <w:sz w:val="24"/>
          <w:szCs w:val="24"/>
        </w:rPr>
        <w:t>含商品</w:t>
      </w:r>
      <w:proofErr w:type="gramEnd"/>
      <w:r w:rsidRPr="00EF692E">
        <w:rPr>
          <w:rFonts w:ascii="宋体" w:hAnsi="宋体" w:hint="eastAsia"/>
          <w:sz w:val="24"/>
          <w:szCs w:val="24"/>
        </w:rPr>
        <w:t>期货基金和黄金ETF）、香港互认基金、公开募集不动产投资信托基金（以下简称“公募REITs”））、国内依法发行上市的股票和存托凭证（包括主板、创业板及其他中国证监会允许基金投资的股票和存托凭证）、港股通标的证券（包括股票和 ETF）、债券（包括国债、央行票据、金融债券、企业债券、公司债券、中期票据、短期融资</w:t>
      </w:r>
      <w:proofErr w:type="gramStart"/>
      <w:r w:rsidRPr="00EF692E">
        <w:rPr>
          <w:rFonts w:ascii="宋体" w:hAnsi="宋体" w:hint="eastAsia"/>
          <w:sz w:val="24"/>
          <w:szCs w:val="24"/>
        </w:rPr>
        <w:t>券</w:t>
      </w:r>
      <w:proofErr w:type="gramEnd"/>
      <w:r w:rsidRPr="00EF692E">
        <w:rPr>
          <w:rFonts w:ascii="宋体" w:hAnsi="宋体" w:hint="eastAsia"/>
          <w:sz w:val="24"/>
          <w:szCs w:val="24"/>
        </w:rPr>
        <w:t>、超短期融资</w:t>
      </w:r>
      <w:proofErr w:type="gramStart"/>
      <w:r w:rsidRPr="00EF692E">
        <w:rPr>
          <w:rFonts w:ascii="宋体" w:hAnsi="宋体" w:hint="eastAsia"/>
          <w:sz w:val="24"/>
          <w:szCs w:val="24"/>
        </w:rPr>
        <w:t>券</w:t>
      </w:r>
      <w:proofErr w:type="gramEnd"/>
      <w:r w:rsidRPr="00EF692E">
        <w:rPr>
          <w:rFonts w:ascii="宋体" w:hAnsi="宋体" w:hint="eastAsia"/>
          <w:sz w:val="24"/>
          <w:szCs w:val="24"/>
        </w:rPr>
        <w:t>、次级债券、政府支持机构债、政府支持债券、地方政府债、可转换债券（含分离交易可转债）、可交换债券及其他中国证监会允许投资的债券）、资产支持证券、债券回购、同业存单、银行存款、货币市场工具，以及法律法规或中国证监会允许基金投资的其他金融工具，但须符合中国证监会的相关规定。</w:t>
      </w:r>
    </w:p>
    <w:p w:rsidR="0024774E" w:rsidRPr="00EF692E" w:rsidRDefault="000975C7">
      <w:pPr>
        <w:spacing w:line="520" w:lineRule="atLeast"/>
        <w:ind w:firstLine="480"/>
        <w:rPr>
          <w:rFonts w:ascii="宋体" w:hAnsi="宋体"/>
          <w:sz w:val="24"/>
          <w:szCs w:val="24"/>
        </w:rPr>
      </w:pPr>
      <w:r w:rsidRPr="00EF692E">
        <w:rPr>
          <w:rFonts w:ascii="宋体" w:hAnsi="宋体" w:hint="eastAsia"/>
          <w:sz w:val="24"/>
          <w:szCs w:val="24"/>
        </w:rPr>
        <w:t>如法律法规或监管机构以后允许基金投资其他品种，基金管理人在履行适当程序后，可以将其纳入投资范围。</w:t>
      </w:r>
    </w:p>
    <w:p w:rsidR="0024774E" w:rsidRPr="00EF692E" w:rsidRDefault="000975C7">
      <w:pPr>
        <w:spacing w:line="520" w:lineRule="atLeast"/>
        <w:ind w:firstLine="480"/>
        <w:rPr>
          <w:rFonts w:ascii="宋体" w:hAnsi="宋体"/>
          <w:sz w:val="24"/>
          <w:szCs w:val="24"/>
        </w:rPr>
      </w:pPr>
      <w:r w:rsidRPr="00EF692E">
        <w:rPr>
          <w:rFonts w:ascii="宋体" w:hAnsi="宋体" w:hint="eastAsia"/>
          <w:sz w:val="24"/>
          <w:szCs w:val="24"/>
        </w:rPr>
        <w:t>本基金投资于经中国证监会依法核准或注册的公开募集的基金份额的资产占基金资产的比例不低于80%。本基金投资于股票和存托凭证、股票型基金、混合型基金等权益类资产的比例为基金资产的5-30%，前述混合型基金指最近4个季度末，每季度定期报告披露的股票、存托凭证资产占基金资产比例不低于60%</w:t>
      </w:r>
      <w:r w:rsidRPr="00EF692E">
        <w:rPr>
          <w:rFonts w:ascii="宋体" w:hAnsi="宋体" w:hint="eastAsia"/>
          <w:sz w:val="24"/>
          <w:szCs w:val="24"/>
        </w:rPr>
        <w:lastRenderedPageBreak/>
        <w:t>或基金合同中约定股票、存托凭证投资比例不低于基金资产的60%的混合型基金。本基金投资于港股通标的股票的比例不超过股票资产的50%。本基金投资于QDII基金和香港互认基金的比例不超过基金资产的20%。本基金投资于货币市场基金的比例不得超过基金资产的15%。本基金每个交易日日终持有现金或到期日在一年以内的政府债券比例合计不低于基金资产净值的5%，其中，现金不包括结算备付金、存出保证金、应收申购款等。</w:t>
      </w:r>
    </w:p>
    <w:p w:rsidR="0024774E" w:rsidRPr="00EF692E" w:rsidRDefault="000975C7">
      <w:pPr>
        <w:spacing w:line="520" w:lineRule="atLeast"/>
        <w:ind w:firstLine="480"/>
        <w:rPr>
          <w:rFonts w:ascii="宋体" w:hAnsi="宋体"/>
          <w:sz w:val="24"/>
          <w:szCs w:val="24"/>
        </w:rPr>
      </w:pPr>
      <w:r w:rsidRPr="00EF692E">
        <w:rPr>
          <w:rFonts w:ascii="宋体" w:hAnsi="宋体" w:hint="eastAsia"/>
          <w:sz w:val="24"/>
          <w:szCs w:val="24"/>
        </w:rPr>
        <w:t>本基金可根据投资策略需要或不同配置地市场环境的变化，选择将部分基金资产投资于港股通标的证券或选择不将基金资产投资于港股通标的证券，基金资产并非必然投资港股通标的证券。</w:t>
      </w:r>
    </w:p>
    <w:p w:rsidR="0024774E" w:rsidRPr="00EF692E" w:rsidRDefault="000975C7">
      <w:pPr>
        <w:spacing w:line="520" w:lineRule="atLeast"/>
        <w:ind w:firstLine="480"/>
        <w:rPr>
          <w:rFonts w:ascii="宋体" w:hAnsi="宋体"/>
          <w:sz w:val="24"/>
          <w:szCs w:val="24"/>
        </w:rPr>
      </w:pPr>
      <w:r w:rsidRPr="00EF692E">
        <w:rPr>
          <w:rFonts w:ascii="宋体" w:hAnsi="宋体" w:hint="eastAsia"/>
          <w:sz w:val="24"/>
          <w:szCs w:val="24"/>
        </w:rPr>
        <w:t>如果法律法规或监管机构对基金合同约定投资组合比例限制进行变更的，</w:t>
      </w:r>
      <w:proofErr w:type="gramStart"/>
      <w:r w:rsidRPr="00EF692E">
        <w:rPr>
          <w:rFonts w:ascii="宋体" w:hAnsi="宋体" w:hint="eastAsia"/>
          <w:sz w:val="24"/>
          <w:szCs w:val="24"/>
        </w:rPr>
        <w:t>待履行</w:t>
      </w:r>
      <w:proofErr w:type="gramEnd"/>
      <w:r w:rsidRPr="00EF692E">
        <w:rPr>
          <w:rFonts w:ascii="宋体" w:hAnsi="宋体" w:hint="eastAsia"/>
          <w:sz w:val="24"/>
          <w:szCs w:val="24"/>
        </w:rPr>
        <w:t>相应程序后，以变更后的规定为准。</w:t>
      </w:r>
    </w:p>
    <w:p w:rsidR="0024774E" w:rsidRPr="00EF692E" w:rsidRDefault="000975C7">
      <w:pPr>
        <w:spacing w:line="520" w:lineRule="atLeast"/>
        <w:ind w:firstLine="480"/>
        <w:rPr>
          <w:rFonts w:ascii="宋体" w:hAnsi="宋体"/>
          <w:sz w:val="24"/>
        </w:rPr>
      </w:pPr>
      <w:r w:rsidRPr="00EF692E">
        <w:rPr>
          <w:rFonts w:ascii="宋体" w:hAnsi="宋体" w:hint="eastAsia"/>
          <w:sz w:val="24"/>
        </w:rPr>
        <w:t>3.1.2基金托管人根据有关法律法规的规定及基金合同的约定对下述基金投资比例进行监督：</w:t>
      </w:r>
    </w:p>
    <w:p w:rsidR="0024774E" w:rsidRPr="00EF692E" w:rsidRDefault="000975C7">
      <w:pPr>
        <w:spacing w:line="520" w:lineRule="atLeast"/>
        <w:ind w:firstLine="480"/>
        <w:rPr>
          <w:rFonts w:ascii="宋体" w:hAnsi="宋体"/>
          <w:sz w:val="24"/>
        </w:rPr>
      </w:pPr>
      <w:r w:rsidRPr="00EF692E">
        <w:rPr>
          <w:rFonts w:ascii="宋体" w:hAnsi="宋体" w:hint="eastAsia"/>
          <w:sz w:val="24"/>
        </w:rPr>
        <w:t>（1）本基金投资于经中国证监会依法核准或注册的公开募集的基金份额的资产占基金资产的比例不低于80%。本基金投资于股票和存托凭证、股票型基金、混合型基金等权益类资产的比例为基金资产的5-30%，前述混合型基金指最近4个季度末，每季度定期报告披露的股票、存托凭证资产占基金资产比例不低于60%或基金合同中约定股票、存托凭证投资比例不低于基金资产的60%的混合型基金。本基金投资于港股通标的股票的比例不超过股票资产的50%；</w:t>
      </w:r>
    </w:p>
    <w:p w:rsidR="0024774E" w:rsidRPr="00EF692E" w:rsidRDefault="000975C7">
      <w:pPr>
        <w:spacing w:line="520" w:lineRule="atLeast"/>
        <w:ind w:firstLine="480"/>
        <w:rPr>
          <w:rFonts w:ascii="宋体" w:hAnsi="宋体"/>
          <w:sz w:val="24"/>
        </w:rPr>
      </w:pPr>
      <w:r w:rsidRPr="00EF692E">
        <w:rPr>
          <w:rFonts w:ascii="宋体" w:hAnsi="宋体" w:hint="eastAsia"/>
          <w:sz w:val="24"/>
        </w:rPr>
        <w:t>（2）本基金每个交易日日终持有现金或者到期日在一年以内的政府债券投资比例不低于基金资产净值的5%，其中，现金不包括结算备付金、存出保证金、应收申购款等；</w:t>
      </w:r>
    </w:p>
    <w:p w:rsidR="0024774E" w:rsidRPr="00EF692E" w:rsidRDefault="000975C7">
      <w:pPr>
        <w:spacing w:line="520" w:lineRule="atLeast"/>
        <w:ind w:firstLine="480"/>
        <w:rPr>
          <w:rFonts w:ascii="宋体" w:hAnsi="宋体"/>
          <w:sz w:val="24"/>
        </w:rPr>
      </w:pPr>
      <w:r w:rsidRPr="00EF692E">
        <w:rPr>
          <w:rFonts w:ascii="宋体" w:hAnsi="宋体" w:hint="eastAsia"/>
          <w:sz w:val="24"/>
        </w:rPr>
        <w:t>（3）本基金持有单只基金的市值不高于本基金资产净值的20%；</w:t>
      </w:r>
    </w:p>
    <w:p w:rsidR="0024774E" w:rsidRPr="00EF692E" w:rsidRDefault="000975C7">
      <w:pPr>
        <w:spacing w:line="520" w:lineRule="atLeast"/>
        <w:ind w:firstLine="480"/>
        <w:rPr>
          <w:rFonts w:ascii="宋体" w:hAnsi="宋体"/>
          <w:sz w:val="24"/>
        </w:rPr>
      </w:pPr>
      <w:r w:rsidRPr="00EF692E">
        <w:rPr>
          <w:rFonts w:ascii="宋体" w:hAnsi="宋体" w:hint="eastAsia"/>
          <w:sz w:val="24"/>
        </w:rPr>
        <w:t>（</w:t>
      </w:r>
      <w:r w:rsidRPr="00EF692E">
        <w:rPr>
          <w:rFonts w:ascii="宋体" w:hAnsi="宋体"/>
          <w:sz w:val="24"/>
        </w:rPr>
        <w:t>4）本基金管理人管理</w:t>
      </w:r>
      <w:r w:rsidR="003662DE" w:rsidRPr="00EF692E">
        <w:rPr>
          <w:rFonts w:hint="eastAsia"/>
          <w:sz w:val="24"/>
        </w:rPr>
        <w:t>且由本基金托管人托管</w:t>
      </w:r>
      <w:r w:rsidRPr="00EF692E">
        <w:rPr>
          <w:rFonts w:ascii="宋体" w:hAnsi="宋体"/>
          <w:sz w:val="24"/>
        </w:rPr>
        <w:t>的全部基金（ETF联接基金除外）持有单只基金不得超过被投资基金净资产的20%，被投资基金净资产规模以最近定期报告披露的规模为准；</w:t>
      </w:r>
    </w:p>
    <w:p w:rsidR="0024774E" w:rsidRPr="00EF692E" w:rsidRDefault="000975C7">
      <w:pPr>
        <w:spacing w:line="520" w:lineRule="atLeast"/>
        <w:ind w:firstLine="480"/>
        <w:rPr>
          <w:rFonts w:ascii="宋体" w:hAnsi="宋体"/>
          <w:sz w:val="24"/>
        </w:rPr>
      </w:pPr>
      <w:r w:rsidRPr="00EF692E">
        <w:rPr>
          <w:rFonts w:ascii="宋体" w:hAnsi="宋体" w:hint="eastAsia"/>
          <w:sz w:val="24"/>
        </w:rPr>
        <w:lastRenderedPageBreak/>
        <w:t>（5）本基金投资于货币市场基金的比例不得超过基金资产的15%；</w:t>
      </w:r>
    </w:p>
    <w:p w:rsidR="0024774E" w:rsidRPr="00EF692E" w:rsidRDefault="000975C7">
      <w:pPr>
        <w:spacing w:line="520" w:lineRule="atLeast"/>
        <w:ind w:firstLine="480"/>
        <w:rPr>
          <w:rFonts w:ascii="宋体" w:hAnsi="宋体"/>
          <w:sz w:val="24"/>
        </w:rPr>
      </w:pPr>
      <w:r w:rsidRPr="00EF692E">
        <w:rPr>
          <w:rFonts w:ascii="宋体" w:hAnsi="宋体" w:hint="eastAsia"/>
          <w:sz w:val="24"/>
        </w:rPr>
        <w:t>（6）本基金不得持有其他基金中基金；</w:t>
      </w:r>
    </w:p>
    <w:p w:rsidR="0024774E" w:rsidRPr="00EF692E" w:rsidRDefault="000975C7">
      <w:pPr>
        <w:spacing w:line="520" w:lineRule="atLeast"/>
        <w:ind w:firstLine="480"/>
        <w:rPr>
          <w:rFonts w:ascii="宋体" w:hAnsi="宋体"/>
          <w:sz w:val="24"/>
        </w:rPr>
      </w:pPr>
      <w:r w:rsidRPr="00EF692E">
        <w:rPr>
          <w:rFonts w:ascii="宋体" w:hAnsi="宋体" w:hint="eastAsia"/>
          <w:sz w:val="24"/>
        </w:rPr>
        <w:t>（</w:t>
      </w:r>
      <w:r w:rsidRPr="00EF692E">
        <w:rPr>
          <w:rFonts w:ascii="宋体" w:hAnsi="宋体"/>
          <w:sz w:val="24"/>
        </w:rPr>
        <w:t>7</w:t>
      </w:r>
      <w:r w:rsidRPr="00EF692E">
        <w:rPr>
          <w:rFonts w:ascii="宋体" w:hAnsi="宋体" w:hint="eastAsia"/>
          <w:sz w:val="24"/>
        </w:rPr>
        <w:t>）本基金投资其他基金，被投资基金的运作期限应当不少于1年、最近定期报告披露的基金净资产应当不低于1亿元；</w:t>
      </w:r>
    </w:p>
    <w:p w:rsidR="0024774E" w:rsidRPr="00EF692E" w:rsidRDefault="000975C7">
      <w:pPr>
        <w:spacing w:line="520" w:lineRule="atLeast"/>
        <w:ind w:firstLine="480"/>
        <w:rPr>
          <w:rFonts w:ascii="宋体" w:hAnsi="宋体"/>
          <w:sz w:val="24"/>
        </w:rPr>
      </w:pPr>
      <w:r w:rsidRPr="00EF692E">
        <w:rPr>
          <w:rFonts w:ascii="宋体" w:hAnsi="宋体" w:hint="eastAsia"/>
          <w:sz w:val="24"/>
        </w:rPr>
        <w:t>（8）本基金投资于封闭运作基金、定期开放基金等流通受限基金的比例不得超过本</w:t>
      </w:r>
      <w:proofErr w:type="gramStart"/>
      <w:r w:rsidRPr="00EF692E">
        <w:rPr>
          <w:rFonts w:ascii="宋体" w:hAnsi="宋体" w:hint="eastAsia"/>
          <w:sz w:val="24"/>
        </w:rPr>
        <w:t>基金基金</w:t>
      </w:r>
      <w:proofErr w:type="gramEnd"/>
      <w:r w:rsidRPr="00EF692E">
        <w:rPr>
          <w:rFonts w:ascii="宋体" w:hAnsi="宋体" w:hint="eastAsia"/>
          <w:sz w:val="24"/>
        </w:rPr>
        <w:t>资产净值的10%；</w:t>
      </w:r>
    </w:p>
    <w:p w:rsidR="0024774E" w:rsidRPr="00EF692E" w:rsidRDefault="000975C7">
      <w:pPr>
        <w:spacing w:line="520" w:lineRule="atLeast"/>
        <w:ind w:firstLine="480"/>
        <w:rPr>
          <w:rFonts w:ascii="宋体" w:hAnsi="宋体"/>
          <w:sz w:val="24"/>
        </w:rPr>
      </w:pPr>
      <w:r w:rsidRPr="00EF692E">
        <w:rPr>
          <w:rFonts w:ascii="宋体" w:hAnsi="宋体" w:hint="eastAsia"/>
          <w:sz w:val="24"/>
        </w:rPr>
        <w:t>（9）本基金投资于股票、债券等金融工具的，投资品种和比例应当符合本基金的投资目标和投资策略；</w:t>
      </w:r>
    </w:p>
    <w:p w:rsidR="0024774E" w:rsidRPr="00EF692E" w:rsidRDefault="000975C7">
      <w:pPr>
        <w:spacing w:line="520" w:lineRule="atLeast"/>
        <w:ind w:firstLine="480"/>
        <w:rPr>
          <w:rFonts w:ascii="宋体" w:hAnsi="宋体"/>
          <w:sz w:val="24"/>
        </w:rPr>
      </w:pPr>
      <w:r w:rsidRPr="00EF692E">
        <w:rPr>
          <w:rFonts w:ascii="宋体" w:hAnsi="宋体" w:hint="eastAsia"/>
          <w:sz w:val="24"/>
        </w:rPr>
        <w:t>（1</w:t>
      </w:r>
      <w:r w:rsidRPr="00EF692E">
        <w:rPr>
          <w:rFonts w:ascii="宋体" w:hAnsi="宋体"/>
          <w:sz w:val="24"/>
        </w:rPr>
        <w:t>0</w:t>
      </w:r>
      <w:r w:rsidRPr="00EF692E">
        <w:rPr>
          <w:rFonts w:ascii="宋体" w:hAnsi="宋体" w:hint="eastAsia"/>
          <w:sz w:val="24"/>
        </w:rPr>
        <w:t>）本基金持有一家公司发行的证券（</w:t>
      </w:r>
      <w:proofErr w:type="gramStart"/>
      <w:r w:rsidRPr="00EF692E">
        <w:rPr>
          <w:rFonts w:ascii="宋体" w:hAnsi="宋体" w:hint="eastAsia"/>
          <w:sz w:val="24"/>
        </w:rPr>
        <w:t>含存托</w:t>
      </w:r>
      <w:proofErr w:type="gramEnd"/>
      <w:r w:rsidRPr="00EF692E">
        <w:rPr>
          <w:rFonts w:ascii="宋体" w:hAnsi="宋体" w:hint="eastAsia"/>
          <w:sz w:val="24"/>
        </w:rPr>
        <w:t>凭证，同一家公司在内地和香港同时上市的A+H股合计计算，且不含本基金所投资的基金份额），其市值不超过基金资产净值的10%；</w:t>
      </w:r>
    </w:p>
    <w:p w:rsidR="0024774E" w:rsidRPr="00EF692E" w:rsidRDefault="000975C7">
      <w:pPr>
        <w:spacing w:line="520" w:lineRule="atLeast"/>
        <w:ind w:firstLine="480"/>
        <w:rPr>
          <w:rFonts w:ascii="宋体" w:hAnsi="宋体"/>
          <w:sz w:val="24"/>
        </w:rPr>
      </w:pPr>
      <w:r w:rsidRPr="00EF692E">
        <w:rPr>
          <w:rFonts w:ascii="宋体" w:hAnsi="宋体" w:hint="eastAsia"/>
          <w:sz w:val="24"/>
        </w:rPr>
        <w:t>（</w:t>
      </w:r>
      <w:r w:rsidRPr="00EF692E">
        <w:rPr>
          <w:rFonts w:ascii="宋体" w:hAnsi="宋体"/>
          <w:sz w:val="24"/>
        </w:rPr>
        <w:t>11</w:t>
      </w:r>
      <w:r w:rsidRPr="00EF692E">
        <w:rPr>
          <w:rFonts w:ascii="宋体" w:hAnsi="宋体" w:hint="eastAsia"/>
          <w:sz w:val="24"/>
        </w:rPr>
        <w:t>）本基金管理人管理</w:t>
      </w:r>
      <w:r w:rsidR="003662DE" w:rsidRPr="00EF692E">
        <w:rPr>
          <w:rFonts w:ascii="宋体" w:hAnsi="宋体" w:hint="eastAsia"/>
          <w:sz w:val="24"/>
        </w:rPr>
        <w:t>且由本基金托管人托管</w:t>
      </w:r>
      <w:r w:rsidRPr="00EF692E">
        <w:rPr>
          <w:rFonts w:ascii="宋体" w:hAnsi="宋体" w:hint="eastAsia"/>
          <w:sz w:val="24"/>
        </w:rPr>
        <w:t>的全部基金持有一家公司发行的证券（</w:t>
      </w:r>
      <w:proofErr w:type="gramStart"/>
      <w:r w:rsidRPr="00EF692E">
        <w:rPr>
          <w:rFonts w:ascii="宋体" w:hAnsi="宋体" w:hint="eastAsia"/>
          <w:sz w:val="24"/>
        </w:rPr>
        <w:t>含存托</w:t>
      </w:r>
      <w:proofErr w:type="gramEnd"/>
      <w:r w:rsidRPr="00EF692E">
        <w:rPr>
          <w:rFonts w:ascii="宋体" w:hAnsi="宋体" w:hint="eastAsia"/>
          <w:sz w:val="24"/>
        </w:rPr>
        <w:t>凭证，同一家公司在内地和香港同时上市的</w:t>
      </w:r>
      <w:r w:rsidRPr="00EF692E">
        <w:rPr>
          <w:rFonts w:ascii="宋体" w:hAnsi="宋体"/>
          <w:sz w:val="24"/>
        </w:rPr>
        <w:t>A+H股合计计算，且不含本基金所投资的基金份额），不超过该证券的10%；</w:t>
      </w:r>
    </w:p>
    <w:p w:rsidR="0024774E" w:rsidRPr="00EF692E" w:rsidRDefault="000975C7">
      <w:pPr>
        <w:spacing w:line="520" w:lineRule="atLeast"/>
        <w:ind w:firstLine="480"/>
        <w:rPr>
          <w:rFonts w:ascii="宋体" w:hAnsi="宋体"/>
          <w:sz w:val="24"/>
        </w:rPr>
      </w:pPr>
      <w:r w:rsidRPr="00EF692E">
        <w:rPr>
          <w:rFonts w:ascii="宋体" w:hAnsi="宋体" w:hint="eastAsia"/>
          <w:sz w:val="24"/>
        </w:rPr>
        <w:t>（1</w:t>
      </w:r>
      <w:r w:rsidRPr="00EF692E">
        <w:rPr>
          <w:rFonts w:ascii="宋体" w:hAnsi="宋体"/>
          <w:sz w:val="24"/>
        </w:rPr>
        <w:t>2</w:t>
      </w:r>
      <w:r w:rsidRPr="00EF692E">
        <w:rPr>
          <w:rFonts w:ascii="宋体" w:hAnsi="宋体" w:hint="eastAsia"/>
          <w:sz w:val="24"/>
        </w:rPr>
        <w:t>）本基金投资于同一原始权益人的各类资产支持证券的比例，不得超过基金资产净值的10%；</w:t>
      </w:r>
    </w:p>
    <w:p w:rsidR="0024774E" w:rsidRPr="00EF692E" w:rsidRDefault="000975C7">
      <w:pPr>
        <w:spacing w:line="520" w:lineRule="atLeast"/>
        <w:ind w:firstLine="480"/>
        <w:rPr>
          <w:rFonts w:ascii="宋体" w:hAnsi="宋体"/>
          <w:sz w:val="24"/>
        </w:rPr>
      </w:pPr>
      <w:r w:rsidRPr="00EF692E">
        <w:rPr>
          <w:rFonts w:ascii="宋体" w:hAnsi="宋体" w:hint="eastAsia"/>
          <w:sz w:val="24"/>
        </w:rPr>
        <w:t>（1</w:t>
      </w:r>
      <w:r w:rsidRPr="00EF692E">
        <w:rPr>
          <w:rFonts w:ascii="宋体" w:hAnsi="宋体"/>
          <w:sz w:val="24"/>
        </w:rPr>
        <w:t>3</w:t>
      </w:r>
      <w:r w:rsidRPr="00EF692E">
        <w:rPr>
          <w:rFonts w:ascii="宋体" w:hAnsi="宋体" w:hint="eastAsia"/>
          <w:sz w:val="24"/>
        </w:rPr>
        <w:t>）本基金持有的全部资产支持证券，其市值不得超过基金资产净值的20%；</w:t>
      </w:r>
    </w:p>
    <w:p w:rsidR="0024774E" w:rsidRPr="00EF692E" w:rsidRDefault="000975C7">
      <w:pPr>
        <w:spacing w:line="520" w:lineRule="atLeast"/>
        <w:ind w:firstLine="480"/>
        <w:rPr>
          <w:rFonts w:ascii="宋体" w:hAnsi="宋体"/>
          <w:sz w:val="24"/>
        </w:rPr>
      </w:pPr>
      <w:r w:rsidRPr="00EF692E">
        <w:rPr>
          <w:rFonts w:ascii="宋体" w:hAnsi="宋体" w:hint="eastAsia"/>
          <w:sz w:val="24"/>
        </w:rPr>
        <w:t>（1</w:t>
      </w:r>
      <w:r w:rsidRPr="00EF692E">
        <w:rPr>
          <w:rFonts w:ascii="宋体" w:hAnsi="宋体"/>
          <w:sz w:val="24"/>
        </w:rPr>
        <w:t>4</w:t>
      </w:r>
      <w:r w:rsidRPr="00EF692E">
        <w:rPr>
          <w:rFonts w:ascii="宋体" w:hAnsi="宋体" w:hint="eastAsia"/>
          <w:sz w:val="24"/>
        </w:rPr>
        <w:t>）本基金持有的同一（指同一信用级别）资产支持证券的比例，不得超过该资产支持证券规模的10%；</w:t>
      </w:r>
    </w:p>
    <w:p w:rsidR="0024774E" w:rsidRPr="00EF692E" w:rsidRDefault="000975C7">
      <w:pPr>
        <w:spacing w:line="520" w:lineRule="atLeast"/>
        <w:ind w:firstLine="480"/>
        <w:rPr>
          <w:rFonts w:ascii="宋体" w:hAnsi="宋体"/>
          <w:sz w:val="24"/>
        </w:rPr>
      </w:pPr>
      <w:r w:rsidRPr="00EF692E">
        <w:rPr>
          <w:rFonts w:ascii="宋体" w:hAnsi="宋体" w:hint="eastAsia"/>
          <w:sz w:val="24"/>
        </w:rPr>
        <w:t>（</w:t>
      </w:r>
      <w:r w:rsidRPr="00EF692E">
        <w:rPr>
          <w:rFonts w:ascii="宋体" w:hAnsi="宋体"/>
          <w:sz w:val="24"/>
        </w:rPr>
        <w:t>15</w:t>
      </w:r>
      <w:r w:rsidRPr="00EF692E">
        <w:rPr>
          <w:rFonts w:ascii="宋体" w:hAnsi="宋体" w:hint="eastAsia"/>
          <w:sz w:val="24"/>
        </w:rPr>
        <w:t>）本基金管理人管理</w:t>
      </w:r>
      <w:r w:rsidR="003662DE" w:rsidRPr="00EF692E">
        <w:rPr>
          <w:rFonts w:hint="eastAsia"/>
          <w:sz w:val="24"/>
        </w:rPr>
        <w:t>且由本基金托管人托管</w:t>
      </w:r>
      <w:r w:rsidRPr="00EF692E">
        <w:rPr>
          <w:rFonts w:ascii="宋体" w:hAnsi="宋体" w:hint="eastAsia"/>
          <w:sz w:val="24"/>
        </w:rPr>
        <w:t>的全部基金投资于同一原始权益人的各类资产支持证券，不得超过其各类资产支持证券合计规模的</w:t>
      </w:r>
      <w:r w:rsidRPr="00EF692E">
        <w:rPr>
          <w:rFonts w:ascii="宋体" w:hAnsi="宋体"/>
          <w:sz w:val="24"/>
        </w:rPr>
        <w:t>10%；</w:t>
      </w:r>
    </w:p>
    <w:p w:rsidR="0024774E" w:rsidRPr="00EF692E" w:rsidRDefault="000975C7">
      <w:pPr>
        <w:spacing w:line="520" w:lineRule="atLeast"/>
        <w:ind w:firstLine="480"/>
        <w:rPr>
          <w:rFonts w:ascii="宋体" w:hAnsi="宋体"/>
          <w:sz w:val="24"/>
        </w:rPr>
      </w:pPr>
      <w:r w:rsidRPr="00EF692E">
        <w:rPr>
          <w:rFonts w:ascii="宋体" w:hAnsi="宋体" w:hint="eastAsia"/>
          <w:sz w:val="24"/>
        </w:rPr>
        <w:t>（1</w:t>
      </w:r>
      <w:r w:rsidRPr="00EF692E">
        <w:rPr>
          <w:rFonts w:ascii="宋体" w:hAnsi="宋体"/>
          <w:sz w:val="24"/>
        </w:rPr>
        <w:t>6</w:t>
      </w:r>
      <w:r w:rsidRPr="00EF692E">
        <w:rPr>
          <w:rFonts w:ascii="宋体" w:hAnsi="宋体" w:hint="eastAsia"/>
          <w:sz w:val="24"/>
        </w:rPr>
        <w:t>）本基金应投资于信用级别评级为BBB以上（含BBB）的资产支持证券。基金持有资产支持证券期间，如果其信用等级下降、不再符合投资标准，应在评级报告发布之日起3个月内予以全部卖出；</w:t>
      </w:r>
    </w:p>
    <w:p w:rsidR="0024774E" w:rsidRPr="00EF692E" w:rsidRDefault="000975C7">
      <w:pPr>
        <w:spacing w:line="520" w:lineRule="atLeast"/>
        <w:ind w:firstLine="480"/>
        <w:rPr>
          <w:rFonts w:ascii="宋体" w:hAnsi="宋体"/>
          <w:sz w:val="24"/>
        </w:rPr>
      </w:pPr>
      <w:r w:rsidRPr="00EF692E">
        <w:rPr>
          <w:rFonts w:ascii="宋体" w:hAnsi="宋体" w:hint="eastAsia"/>
          <w:sz w:val="24"/>
        </w:rPr>
        <w:t>（1</w:t>
      </w:r>
      <w:r w:rsidRPr="00EF692E">
        <w:rPr>
          <w:rFonts w:ascii="宋体" w:hAnsi="宋体"/>
          <w:sz w:val="24"/>
        </w:rPr>
        <w:t>7</w:t>
      </w:r>
      <w:r w:rsidRPr="00EF692E">
        <w:rPr>
          <w:rFonts w:ascii="宋体" w:hAnsi="宋体" w:hint="eastAsia"/>
          <w:sz w:val="24"/>
        </w:rPr>
        <w:t>）基金财产参与股票发行申购，本基金所申报的金额不超过本基金的总</w:t>
      </w:r>
      <w:r w:rsidRPr="00EF692E">
        <w:rPr>
          <w:rFonts w:ascii="宋体" w:hAnsi="宋体" w:hint="eastAsia"/>
          <w:sz w:val="24"/>
        </w:rPr>
        <w:lastRenderedPageBreak/>
        <w:t>资产，本基金所申报的股票数量不超过拟发行股票公司本次发行股票的总量；</w:t>
      </w:r>
    </w:p>
    <w:p w:rsidR="0024774E" w:rsidRPr="00EF692E" w:rsidRDefault="000975C7">
      <w:pPr>
        <w:spacing w:line="520" w:lineRule="atLeast"/>
        <w:ind w:firstLine="480"/>
        <w:rPr>
          <w:rFonts w:ascii="宋体" w:hAnsi="宋体"/>
          <w:sz w:val="24"/>
        </w:rPr>
      </w:pPr>
      <w:r w:rsidRPr="00EF692E">
        <w:rPr>
          <w:rFonts w:ascii="宋体" w:hAnsi="宋体" w:hint="eastAsia"/>
          <w:sz w:val="24"/>
        </w:rPr>
        <w:t>（1</w:t>
      </w:r>
      <w:r w:rsidRPr="00EF692E">
        <w:rPr>
          <w:rFonts w:ascii="宋体" w:hAnsi="宋体"/>
          <w:sz w:val="24"/>
        </w:rPr>
        <w:t>8</w:t>
      </w:r>
      <w:r w:rsidRPr="00EF692E">
        <w:rPr>
          <w:rFonts w:ascii="宋体" w:hAnsi="宋体" w:hint="eastAsia"/>
          <w:sz w:val="24"/>
        </w:rPr>
        <w:t>）本基金资产总值不得超过基金资产净值的140%；</w:t>
      </w:r>
    </w:p>
    <w:p w:rsidR="0024774E" w:rsidRPr="00EF692E" w:rsidRDefault="000975C7">
      <w:pPr>
        <w:spacing w:line="520" w:lineRule="atLeast"/>
        <w:ind w:firstLine="480"/>
        <w:rPr>
          <w:rFonts w:ascii="宋体" w:hAnsi="宋体"/>
          <w:sz w:val="24"/>
        </w:rPr>
      </w:pPr>
      <w:r w:rsidRPr="00EF692E">
        <w:rPr>
          <w:rFonts w:ascii="宋体" w:hAnsi="宋体" w:hint="eastAsia"/>
          <w:sz w:val="24"/>
        </w:rPr>
        <w:t>（</w:t>
      </w:r>
      <w:r w:rsidRPr="00EF692E">
        <w:rPr>
          <w:rFonts w:ascii="宋体" w:hAnsi="宋体"/>
          <w:sz w:val="24"/>
        </w:rPr>
        <w:t>19</w:t>
      </w:r>
      <w:r w:rsidRPr="00EF692E">
        <w:rPr>
          <w:rFonts w:ascii="宋体" w:hAnsi="宋体" w:hint="eastAsia"/>
          <w:sz w:val="24"/>
        </w:rPr>
        <w:t>）本基金管理人管理</w:t>
      </w:r>
      <w:r w:rsidR="003662DE" w:rsidRPr="00EF692E">
        <w:rPr>
          <w:rFonts w:hint="eastAsia"/>
          <w:sz w:val="24"/>
        </w:rPr>
        <w:t>且由本基金托管人托管</w:t>
      </w:r>
      <w:r w:rsidRPr="00EF692E">
        <w:rPr>
          <w:rFonts w:ascii="宋体" w:hAnsi="宋体" w:hint="eastAsia"/>
          <w:sz w:val="24"/>
        </w:rPr>
        <w:t>的全部开放式基金（包括开放式基金以及处于开放期的定期开放基金）持有一家上市公司发行的可流通股票，不得超过该上市公司可流通股票的</w:t>
      </w:r>
      <w:r w:rsidRPr="00EF692E">
        <w:rPr>
          <w:rFonts w:ascii="宋体" w:hAnsi="宋体"/>
          <w:sz w:val="24"/>
        </w:rPr>
        <w:t>15%；本基金管理人管理</w:t>
      </w:r>
      <w:r w:rsidR="00F900AD" w:rsidRPr="00EF692E">
        <w:rPr>
          <w:rFonts w:ascii="宋体" w:hAnsi="宋体" w:hint="eastAsia"/>
          <w:sz w:val="24"/>
        </w:rPr>
        <w:t>且由本基金托管人托管</w:t>
      </w:r>
      <w:r w:rsidRPr="00EF692E">
        <w:rPr>
          <w:rFonts w:ascii="宋体" w:hAnsi="宋体"/>
          <w:sz w:val="24"/>
        </w:rPr>
        <w:t>的全部投资组合持有一家上市公司发行的可流通股票，不得超过该上市公司可流通股票的30%；</w:t>
      </w:r>
    </w:p>
    <w:p w:rsidR="0024774E" w:rsidRPr="00EF692E" w:rsidRDefault="000975C7">
      <w:pPr>
        <w:spacing w:line="520" w:lineRule="atLeast"/>
        <w:ind w:firstLine="480"/>
        <w:rPr>
          <w:rFonts w:ascii="宋体" w:hAnsi="宋体"/>
          <w:sz w:val="24"/>
        </w:rPr>
      </w:pPr>
      <w:r w:rsidRPr="00EF692E">
        <w:rPr>
          <w:rFonts w:ascii="宋体" w:hAnsi="宋体" w:hint="eastAsia"/>
          <w:sz w:val="24"/>
        </w:rPr>
        <w:t>（2</w:t>
      </w:r>
      <w:r w:rsidRPr="00EF692E">
        <w:rPr>
          <w:rFonts w:ascii="宋体" w:hAnsi="宋体"/>
          <w:sz w:val="24"/>
        </w:rPr>
        <w:t>0</w:t>
      </w:r>
      <w:r w:rsidRPr="00EF692E">
        <w:rPr>
          <w:rFonts w:ascii="宋体" w:hAnsi="宋体" w:hint="eastAsia"/>
          <w:sz w:val="24"/>
        </w:rPr>
        <w:t>）本基金主动投资于流动性受限资产的市值合计不得超过本基金资产净值的15%；因证券市场波动、上市公司股票停牌、所投资基金暂停或延期办理赎回申请、基金规模变动等基金管理人之外的因素致使基金不符合该比例限制的，基金管理人不得主动新增流动性受限资产的投资；</w:t>
      </w:r>
    </w:p>
    <w:p w:rsidR="0024774E" w:rsidRPr="00EF692E" w:rsidRDefault="000975C7">
      <w:pPr>
        <w:spacing w:line="520" w:lineRule="atLeast"/>
        <w:ind w:firstLine="480"/>
        <w:rPr>
          <w:rFonts w:ascii="宋体" w:hAnsi="宋体"/>
          <w:sz w:val="24"/>
        </w:rPr>
      </w:pPr>
      <w:r w:rsidRPr="00EF692E">
        <w:rPr>
          <w:rFonts w:ascii="宋体" w:hAnsi="宋体" w:hint="eastAsia"/>
          <w:sz w:val="24"/>
        </w:rPr>
        <w:t>（2</w:t>
      </w:r>
      <w:r w:rsidRPr="00EF692E">
        <w:rPr>
          <w:rFonts w:ascii="宋体" w:hAnsi="宋体"/>
          <w:sz w:val="24"/>
        </w:rPr>
        <w:t>1</w:t>
      </w:r>
      <w:r w:rsidRPr="00EF692E">
        <w:rPr>
          <w:rFonts w:ascii="宋体" w:hAnsi="宋体" w:hint="eastAsia"/>
          <w:sz w:val="24"/>
        </w:rPr>
        <w:t>）本基金与私募类</w:t>
      </w:r>
      <w:proofErr w:type="gramStart"/>
      <w:r w:rsidRPr="00EF692E">
        <w:rPr>
          <w:rFonts w:ascii="宋体" w:hAnsi="宋体" w:hint="eastAsia"/>
          <w:sz w:val="24"/>
        </w:rPr>
        <w:t>证券资管产品</w:t>
      </w:r>
      <w:proofErr w:type="gramEnd"/>
      <w:r w:rsidRPr="00EF692E">
        <w:rPr>
          <w:rFonts w:ascii="宋体" w:hAnsi="宋体" w:hint="eastAsia"/>
          <w:sz w:val="24"/>
        </w:rPr>
        <w:t>及中国证监会认定的其他主体为交易对手开展逆回购交易的，可接受质押品的资质要求应当与基金合同约定的投资范围保持一致；</w:t>
      </w:r>
    </w:p>
    <w:p w:rsidR="0024774E" w:rsidRPr="00EF692E" w:rsidRDefault="000975C7">
      <w:pPr>
        <w:spacing w:line="520" w:lineRule="atLeast"/>
        <w:ind w:firstLine="480"/>
        <w:rPr>
          <w:rFonts w:ascii="宋体" w:hAnsi="宋体"/>
          <w:sz w:val="24"/>
        </w:rPr>
      </w:pPr>
      <w:r w:rsidRPr="00EF692E">
        <w:rPr>
          <w:rFonts w:ascii="宋体" w:hAnsi="宋体" w:hint="eastAsia"/>
          <w:sz w:val="24"/>
        </w:rPr>
        <w:t>（2</w:t>
      </w:r>
      <w:r w:rsidRPr="00EF692E">
        <w:rPr>
          <w:rFonts w:ascii="宋体" w:hAnsi="宋体"/>
          <w:sz w:val="24"/>
        </w:rPr>
        <w:t>2</w:t>
      </w:r>
      <w:r w:rsidRPr="00EF692E">
        <w:rPr>
          <w:rFonts w:ascii="宋体" w:hAnsi="宋体" w:hint="eastAsia"/>
          <w:sz w:val="24"/>
        </w:rPr>
        <w:t>）本基金投资于QDII基金和香港互认基金占基金资产的比例合计不超过基金资产的20%；</w:t>
      </w:r>
    </w:p>
    <w:p w:rsidR="0024774E" w:rsidRPr="00EF692E" w:rsidRDefault="000975C7">
      <w:pPr>
        <w:spacing w:line="520" w:lineRule="atLeast"/>
        <w:ind w:firstLine="480"/>
        <w:rPr>
          <w:rFonts w:ascii="宋体" w:hAnsi="宋体"/>
          <w:sz w:val="24"/>
        </w:rPr>
      </w:pPr>
      <w:r w:rsidRPr="00EF692E">
        <w:rPr>
          <w:rFonts w:ascii="宋体" w:hAnsi="宋体" w:hint="eastAsia"/>
          <w:sz w:val="24"/>
        </w:rPr>
        <w:t>（2</w:t>
      </w:r>
      <w:r w:rsidRPr="00EF692E">
        <w:rPr>
          <w:rFonts w:ascii="宋体" w:hAnsi="宋体"/>
          <w:sz w:val="24"/>
        </w:rPr>
        <w:t>3</w:t>
      </w:r>
      <w:r w:rsidRPr="00EF692E">
        <w:rPr>
          <w:rFonts w:ascii="宋体" w:hAnsi="宋体" w:hint="eastAsia"/>
          <w:sz w:val="24"/>
        </w:rPr>
        <w:t>）法律法规及中国证监会规定的和基金合同约定的其他投资限制。</w:t>
      </w:r>
    </w:p>
    <w:p w:rsidR="0024774E" w:rsidRPr="00EF692E" w:rsidRDefault="000975C7">
      <w:pPr>
        <w:spacing w:line="520" w:lineRule="atLeast"/>
        <w:ind w:firstLine="480"/>
        <w:rPr>
          <w:rFonts w:ascii="宋体" w:hAnsi="宋体"/>
          <w:sz w:val="24"/>
        </w:rPr>
      </w:pPr>
      <w:r w:rsidRPr="00EF692E">
        <w:rPr>
          <w:rFonts w:ascii="宋体" w:hAnsi="宋体" w:hint="eastAsia"/>
          <w:sz w:val="24"/>
        </w:rPr>
        <w:t>因证券市场波动、证券发行人合并、基金规模变动等基金管理人之外的因素致使基金投资比例不符合上述第（3）、（4）项规定投资比例的，基金管理人应当在20个交易日内进行调整，对于除第（2）、（3）、（4）、（6）、（1</w:t>
      </w:r>
      <w:r w:rsidRPr="00EF692E">
        <w:rPr>
          <w:rFonts w:ascii="宋体" w:hAnsi="宋体"/>
          <w:sz w:val="24"/>
        </w:rPr>
        <w:t>6</w:t>
      </w:r>
      <w:r w:rsidRPr="00EF692E">
        <w:rPr>
          <w:rFonts w:ascii="宋体" w:hAnsi="宋体" w:hint="eastAsia"/>
          <w:sz w:val="24"/>
        </w:rPr>
        <w:t>）、（2</w:t>
      </w:r>
      <w:r w:rsidRPr="00EF692E">
        <w:rPr>
          <w:rFonts w:ascii="宋体" w:hAnsi="宋体"/>
          <w:sz w:val="24"/>
        </w:rPr>
        <w:t>0</w:t>
      </w:r>
      <w:r w:rsidRPr="00EF692E">
        <w:rPr>
          <w:rFonts w:ascii="宋体" w:hAnsi="宋体" w:hint="eastAsia"/>
          <w:sz w:val="24"/>
        </w:rPr>
        <w:t>）和（2</w:t>
      </w:r>
      <w:r w:rsidRPr="00EF692E">
        <w:rPr>
          <w:rFonts w:ascii="宋体" w:hAnsi="宋体"/>
          <w:sz w:val="24"/>
        </w:rPr>
        <w:t>1</w:t>
      </w:r>
      <w:r w:rsidRPr="00EF692E">
        <w:rPr>
          <w:rFonts w:ascii="宋体" w:hAnsi="宋体" w:hint="eastAsia"/>
          <w:sz w:val="24"/>
        </w:rPr>
        <w:t>）项规定的其他情形，基金管理人应当在10个交易日内进行调整，但中国证监会规定的特殊情形除外。法律法规另有规定的，从其规定。</w:t>
      </w:r>
    </w:p>
    <w:p w:rsidR="0024774E" w:rsidRPr="00EF692E" w:rsidRDefault="000975C7">
      <w:pPr>
        <w:spacing w:line="520" w:lineRule="atLeast"/>
        <w:ind w:firstLine="480"/>
        <w:rPr>
          <w:rFonts w:ascii="宋体" w:hAnsi="宋体"/>
          <w:sz w:val="24"/>
        </w:rPr>
      </w:pPr>
      <w:r w:rsidRPr="00EF692E">
        <w:rPr>
          <w:rFonts w:ascii="宋体" w:hAnsi="宋体" w:hint="eastAsia"/>
          <w:sz w:val="24"/>
        </w:rPr>
        <w:t>基金管理人应当自基金合同生效之日起6个月内使基金的投资组合比例符合基金合同的有关约定。在上述期间内，本基金的投资范围、投资策略应当符合基金合同的约定。</w:t>
      </w:r>
    </w:p>
    <w:p w:rsidR="0024774E" w:rsidRPr="00EF692E" w:rsidRDefault="000975C7">
      <w:pPr>
        <w:spacing w:line="520" w:lineRule="atLeast"/>
        <w:ind w:firstLine="480"/>
        <w:rPr>
          <w:rFonts w:ascii="宋体" w:hAnsi="宋体"/>
          <w:sz w:val="24"/>
        </w:rPr>
      </w:pPr>
      <w:r w:rsidRPr="00EF692E">
        <w:rPr>
          <w:rFonts w:ascii="宋体" w:hAnsi="宋体" w:hint="eastAsia"/>
          <w:sz w:val="24"/>
        </w:rPr>
        <w:t>基金托管人对基金的投资的监督与检查自基金合同生效之日起开始。</w:t>
      </w:r>
    </w:p>
    <w:p w:rsidR="0024774E" w:rsidRPr="00EF692E" w:rsidRDefault="000975C7">
      <w:pPr>
        <w:spacing w:line="520" w:lineRule="atLeast"/>
        <w:ind w:firstLine="480"/>
        <w:rPr>
          <w:rFonts w:ascii="宋体" w:hAnsi="宋体"/>
          <w:sz w:val="24"/>
        </w:rPr>
      </w:pPr>
      <w:r w:rsidRPr="00EF692E">
        <w:rPr>
          <w:rFonts w:ascii="宋体" w:hAnsi="宋体" w:hint="eastAsia"/>
          <w:sz w:val="24"/>
        </w:rPr>
        <w:lastRenderedPageBreak/>
        <w:t>如果法律法规或监管部门对基金合同约定投资组合比例限制进行变更的，以变更后的规定为准。法律法规或监管部门取消上述限制，如适用于本基金，基金管理人在履行适当程序后，则本基金投资不再受相关限制。</w:t>
      </w:r>
    </w:p>
    <w:p w:rsidR="0024774E" w:rsidRPr="00EF692E" w:rsidRDefault="000975C7">
      <w:pPr>
        <w:spacing w:line="520" w:lineRule="atLeast"/>
        <w:ind w:firstLine="480"/>
        <w:rPr>
          <w:rFonts w:ascii="宋体" w:hAnsi="宋体"/>
          <w:sz w:val="24"/>
          <w:szCs w:val="24"/>
        </w:rPr>
      </w:pPr>
      <w:r w:rsidRPr="00EF692E">
        <w:rPr>
          <w:rFonts w:ascii="宋体" w:hAnsi="宋体" w:hint="eastAsia"/>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sidRPr="00EF692E">
        <w:rPr>
          <w:rFonts w:ascii="宋体" w:hAnsi="宋体" w:hint="eastAsia"/>
          <w:sz w:val="24"/>
          <w:szCs w:val="24"/>
        </w:rPr>
        <w:t>启用侧袋机制</w:t>
      </w:r>
      <w:proofErr w:type="gramEnd"/>
      <w:r w:rsidRPr="00EF692E">
        <w:rPr>
          <w:rFonts w:ascii="宋体" w:hAnsi="宋体" w:hint="eastAsia"/>
          <w:sz w:val="24"/>
          <w:szCs w:val="24"/>
        </w:rPr>
        <w:t>，无需召开基金份额持有人大会审议。</w:t>
      </w:r>
    </w:p>
    <w:p w:rsidR="0024774E" w:rsidRPr="00EF692E" w:rsidRDefault="000975C7">
      <w:pPr>
        <w:spacing w:line="520" w:lineRule="atLeast"/>
        <w:ind w:firstLine="480"/>
        <w:rPr>
          <w:rFonts w:ascii="宋体" w:hAnsi="宋体"/>
          <w:sz w:val="24"/>
          <w:szCs w:val="24"/>
        </w:rPr>
      </w:pPr>
      <w:proofErr w:type="gramStart"/>
      <w:r w:rsidRPr="00EF692E">
        <w:rPr>
          <w:rFonts w:ascii="宋体" w:hAnsi="宋体" w:hint="eastAsia"/>
          <w:sz w:val="24"/>
          <w:szCs w:val="24"/>
        </w:rPr>
        <w:t>侧袋机制</w:t>
      </w:r>
      <w:proofErr w:type="gramEnd"/>
      <w:r w:rsidRPr="00EF692E">
        <w:rPr>
          <w:rFonts w:ascii="宋体" w:hAnsi="宋体" w:hint="eastAsia"/>
          <w:sz w:val="24"/>
          <w:szCs w:val="24"/>
        </w:rPr>
        <w:t>实施期间，本部分约定的投资组合比例、组合限制等约定仅</w:t>
      </w:r>
      <w:proofErr w:type="gramStart"/>
      <w:r w:rsidRPr="00EF692E">
        <w:rPr>
          <w:rFonts w:ascii="宋体" w:hAnsi="宋体" w:hint="eastAsia"/>
          <w:sz w:val="24"/>
          <w:szCs w:val="24"/>
        </w:rPr>
        <w:t>适用于主袋账户</w:t>
      </w:r>
      <w:proofErr w:type="gramEnd"/>
      <w:r w:rsidRPr="00EF692E">
        <w:rPr>
          <w:rFonts w:ascii="宋体" w:hAnsi="宋体" w:hint="eastAsia"/>
          <w:sz w:val="24"/>
          <w:szCs w:val="24"/>
        </w:rPr>
        <w:t>。</w:t>
      </w:r>
    </w:p>
    <w:p w:rsidR="0024774E" w:rsidRPr="00EF692E" w:rsidRDefault="000975C7">
      <w:pPr>
        <w:spacing w:line="520" w:lineRule="atLeast"/>
        <w:ind w:firstLine="480"/>
        <w:rPr>
          <w:rFonts w:ascii="宋体" w:hAnsi="宋体"/>
          <w:sz w:val="24"/>
          <w:szCs w:val="24"/>
        </w:rPr>
      </w:pPr>
      <w:proofErr w:type="gramStart"/>
      <w:r w:rsidRPr="00EF692E">
        <w:rPr>
          <w:rFonts w:ascii="宋体" w:hAnsi="宋体" w:hint="eastAsia"/>
          <w:sz w:val="24"/>
          <w:szCs w:val="24"/>
        </w:rPr>
        <w:t>侧袋机制</w:t>
      </w:r>
      <w:proofErr w:type="gramEnd"/>
      <w:r w:rsidRPr="00EF692E">
        <w:rPr>
          <w:rFonts w:ascii="宋体" w:hAnsi="宋体" w:hint="eastAsia"/>
          <w:sz w:val="24"/>
          <w:szCs w:val="24"/>
        </w:rPr>
        <w:t>的具体规则依照相关法律法规的规定和基金合同的约定执行。</w:t>
      </w:r>
    </w:p>
    <w:p w:rsidR="0024774E" w:rsidRPr="00EF692E" w:rsidRDefault="000975C7">
      <w:pPr>
        <w:spacing w:line="520" w:lineRule="atLeast"/>
        <w:ind w:firstLine="480"/>
        <w:rPr>
          <w:rFonts w:ascii="宋体" w:hAnsi="宋体"/>
          <w:sz w:val="24"/>
          <w:szCs w:val="24"/>
        </w:rPr>
      </w:pPr>
      <w:r w:rsidRPr="00EF692E">
        <w:rPr>
          <w:rFonts w:ascii="宋体" w:hAnsi="宋体"/>
          <w:sz w:val="24"/>
          <w:szCs w:val="24"/>
        </w:rPr>
        <w:t>3.1.3基金托管人根据有关法律法规的规定及基金合同的约定对下述基金投资禁止行为进行监督：</w:t>
      </w:r>
    </w:p>
    <w:p w:rsidR="0024774E" w:rsidRPr="00EF692E" w:rsidRDefault="000975C7">
      <w:pPr>
        <w:pStyle w:val="20"/>
        <w:adjustRightInd w:val="0"/>
        <w:snapToGrid w:val="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1）承销证券；</w:t>
      </w:r>
    </w:p>
    <w:p w:rsidR="0024774E" w:rsidRPr="00EF692E" w:rsidRDefault="000975C7">
      <w:pPr>
        <w:pStyle w:val="20"/>
        <w:adjustRightInd w:val="0"/>
        <w:snapToGrid w:val="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2）违反规定向他人贷款或者提供担保；</w:t>
      </w:r>
    </w:p>
    <w:p w:rsidR="0024774E" w:rsidRPr="00EF692E" w:rsidRDefault="000975C7">
      <w:pPr>
        <w:pStyle w:val="20"/>
        <w:adjustRightInd w:val="0"/>
        <w:snapToGrid w:val="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3）从事承担无限责任的投资；</w:t>
      </w:r>
    </w:p>
    <w:p w:rsidR="0024774E" w:rsidRPr="00EF692E" w:rsidRDefault="000975C7">
      <w:pPr>
        <w:pStyle w:val="20"/>
        <w:adjustRightInd w:val="0"/>
        <w:snapToGrid w:val="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4）向其基金管理人、基金托管人出资；</w:t>
      </w:r>
    </w:p>
    <w:p w:rsidR="0024774E" w:rsidRPr="00EF692E" w:rsidRDefault="000975C7">
      <w:pPr>
        <w:pStyle w:val="20"/>
        <w:adjustRightInd w:val="0"/>
        <w:snapToGrid w:val="0"/>
        <w:spacing w:before="0" w:after="0" w:line="520" w:lineRule="atLeast"/>
        <w:ind w:left="0" w:firstLineChars="200" w:firstLine="480"/>
        <w:rPr>
          <w:rFonts w:hAnsi="宋体"/>
          <w:szCs w:val="24"/>
        </w:rPr>
      </w:pPr>
      <w:r w:rsidRPr="00EF692E">
        <w:rPr>
          <w:rFonts w:hAnsi="宋体" w:hint="eastAsia"/>
          <w:szCs w:val="24"/>
        </w:rPr>
        <w:t>（5）</w:t>
      </w:r>
      <w:r w:rsidRPr="00EF692E">
        <w:rPr>
          <w:rFonts w:hAnsi="宋体"/>
          <w:szCs w:val="24"/>
        </w:rPr>
        <w:t>从事内幕交易、操纵证券交易价格及其他不正当的证券交易活动；</w:t>
      </w:r>
    </w:p>
    <w:p w:rsidR="0024774E" w:rsidRPr="00EF692E" w:rsidRDefault="000975C7">
      <w:pPr>
        <w:pStyle w:val="20"/>
        <w:adjustRightInd w:val="0"/>
        <w:snapToGrid w:val="0"/>
        <w:spacing w:before="0" w:after="0" w:line="520" w:lineRule="atLeast"/>
        <w:ind w:left="0" w:firstLineChars="200" w:firstLine="480"/>
        <w:rPr>
          <w:rFonts w:hAnsi="宋体"/>
        </w:rPr>
      </w:pPr>
      <w:r w:rsidRPr="00EF692E">
        <w:rPr>
          <w:rFonts w:hAnsi="宋体" w:hint="eastAsia"/>
          <w:szCs w:val="24"/>
        </w:rPr>
        <w:t>（</w:t>
      </w:r>
      <w:r w:rsidRPr="00EF692E">
        <w:rPr>
          <w:rFonts w:hAnsi="宋体"/>
          <w:szCs w:val="24"/>
        </w:rPr>
        <w:t>6）法律、行政法规和中国证监会规定禁止的其他活动。</w:t>
      </w:r>
    </w:p>
    <w:p w:rsidR="0024774E" w:rsidRPr="00EF692E" w:rsidRDefault="000975C7">
      <w:pPr>
        <w:pStyle w:val="20"/>
        <w:adjustRightInd w:val="0"/>
        <w:snapToGrid w:val="0"/>
        <w:spacing w:before="0" w:after="0" w:line="520" w:lineRule="atLeast"/>
        <w:ind w:left="0" w:firstLineChars="200" w:firstLine="480"/>
        <w:rPr>
          <w:rFonts w:hAnsi="宋体"/>
          <w:szCs w:val="24"/>
        </w:rPr>
      </w:pPr>
      <w:r w:rsidRPr="00EF692E">
        <w:rPr>
          <w:rFonts w:hAnsi="宋体" w:hint="eastAsia"/>
          <w:szCs w:val="24"/>
        </w:rPr>
        <w:t>法律法规或监管部门取消或变更上述禁止性规定，如适用于本基金，在履行适当程序后，本基金投资不再受相关限制或按变更后的规定执行。</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3.1.4基金托管人依据有关法律法规的规定和基金合同的约定对于基金关联投资限制进行监督：</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w:t>
      </w:r>
      <w:r w:rsidRPr="00EF692E">
        <w:rPr>
          <w:rFonts w:hAnsi="宋体" w:hint="eastAsia"/>
          <w:szCs w:val="24"/>
        </w:rPr>
        <w:lastRenderedPageBreak/>
        <w:t>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本基金投资基金管理人或基金管理人关联方管理基金的情况，不属于前述重大关联交易，但是应当按照法律法规或监管规定的要求履行信息披露义务。</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根据法律法规有关从事关联交易的规定，基金管理人和基金托管人应事先相互提供与本机构有控股关系的股东或与本机构有其他重大利害关系的公司名单及其更新，并确保所提供名单的真实性、完整性、准确性、全面性。名单变更后基金管理人或基金托管人应及时发送给对方</w:t>
      </w:r>
      <w:r w:rsidRPr="00EF692E">
        <w:rPr>
          <w:rFonts w:hAnsi="宋体"/>
          <w:szCs w:val="24"/>
        </w:rPr>
        <w:t>。名单变更时间以</w:t>
      </w:r>
      <w:r w:rsidRPr="00EF692E">
        <w:rPr>
          <w:rFonts w:hAnsi="宋体" w:hint="eastAsia"/>
          <w:szCs w:val="24"/>
        </w:rPr>
        <w:t>发送</w:t>
      </w:r>
      <w:proofErr w:type="gramStart"/>
      <w:r w:rsidRPr="00EF692E">
        <w:rPr>
          <w:rFonts w:hAnsi="宋体" w:hint="eastAsia"/>
          <w:szCs w:val="24"/>
        </w:rPr>
        <w:t>方</w:t>
      </w:r>
      <w:r w:rsidRPr="00EF692E">
        <w:rPr>
          <w:rFonts w:hAnsi="宋体"/>
          <w:szCs w:val="24"/>
        </w:rPr>
        <w:t>收到</w:t>
      </w:r>
      <w:proofErr w:type="gramEnd"/>
      <w:r w:rsidRPr="00EF692E">
        <w:rPr>
          <w:rFonts w:hAnsi="宋体" w:hint="eastAsia"/>
          <w:szCs w:val="24"/>
        </w:rPr>
        <w:t>接收方</w:t>
      </w:r>
      <w:r w:rsidRPr="00EF692E">
        <w:rPr>
          <w:rFonts w:hAnsi="宋体"/>
          <w:szCs w:val="24"/>
        </w:rPr>
        <w:t>确认的时间为准。如果基金托管人在运作中严格遵循了监督流程，基金管理人仍违规进行交易，并造成基金资产损失的，由基金管理人承担责任，基金托管人不承担</w:t>
      </w:r>
      <w:r w:rsidRPr="00EF692E">
        <w:rPr>
          <w:rFonts w:hAnsi="宋体" w:hint="eastAsia"/>
          <w:szCs w:val="24"/>
        </w:rPr>
        <w:t>相应</w:t>
      </w:r>
      <w:r w:rsidRPr="00EF692E">
        <w:rPr>
          <w:rFonts w:hAnsi="宋体"/>
          <w:szCs w:val="24"/>
        </w:rPr>
        <w:t>损失和责任。</w:t>
      </w:r>
    </w:p>
    <w:p w:rsidR="0024774E" w:rsidRPr="00EF692E" w:rsidRDefault="000975C7">
      <w:pPr>
        <w:pStyle w:val="20"/>
        <w:spacing w:before="0" w:after="0" w:line="520" w:lineRule="atLeast"/>
        <w:ind w:left="0" w:firstLineChars="200" w:firstLine="480"/>
        <w:rPr>
          <w:rFonts w:hAnsi="宋体"/>
          <w:szCs w:val="24"/>
        </w:rPr>
      </w:pPr>
      <w:proofErr w:type="gramStart"/>
      <w:r w:rsidRPr="00EF692E">
        <w:rPr>
          <w:rFonts w:hAnsi="宋体" w:hint="eastAsia"/>
          <w:szCs w:val="24"/>
        </w:rPr>
        <w:t>若基金</w:t>
      </w:r>
      <w:proofErr w:type="gramEnd"/>
      <w:r w:rsidRPr="00EF692E">
        <w:rPr>
          <w:rFonts w:hAnsi="宋体" w:hint="eastAsia"/>
          <w:szCs w:val="24"/>
        </w:rPr>
        <w:t>托管人发现基金管理人与关联方进行法律法规禁止基金从事的交易时，基金托管人应及时提醒并协助基金管理人采取必要措施阻止该交易的发生，</w:t>
      </w:r>
      <w:proofErr w:type="gramStart"/>
      <w:r w:rsidRPr="00EF692E">
        <w:rPr>
          <w:rFonts w:hAnsi="宋体" w:hint="eastAsia"/>
          <w:szCs w:val="24"/>
        </w:rPr>
        <w:t>若基金</w:t>
      </w:r>
      <w:proofErr w:type="gramEnd"/>
      <w:r w:rsidRPr="00EF692E">
        <w:rPr>
          <w:rFonts w:hAnsi="宋体" w:hint="eastAsia"/>
          <w:szCs w:val="24"/>
        </w:rPr>
        <w:t>托管人采取必要措施后仍无法阻止该交易发生时，基金托管人有权向中国证监会报告，由此造成的损失和责任由基金管理人承担。对于交易所场内已成交的违规交易，基金托管人应按相关法律法规和交易所规则的规定进行结算，同时向中国证监会报告，基金托管人不承担由此造成的损失和责任。</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3.1.5基金托管人依据有关法律法规的规定和基金合同的约定对基金管理人参与银行间债券市场进行监督：</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1）基金托管人对于基金管理人参与银行间债券市场交易时是否按交易对手名单进行交易进行监督。</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基金管理人应在基金投资运作之前向基金托管人提供符合法律法规及行业标准的银行间债券市场交易对手的名单，并按照审慎的风险控制原则在该名单中约定各交易对手所适用的交易结算方式。基金托管人在收到名单后</w:t>
      </w:r>
      <w:r w:rsidRPr="00EF692E">
        <w:rPr>
          <w:rFonts w:hAnsi="宋体"/>
          <w:szCs w:val="24"/>
        </w:rPr>
        <w:t>2个工作日内回函确认收到该名单。基金管理人应定期或不定期对银行间债券市场现券及回购</w:t>
      </w:r>
      <w:r w:rsidRPr="00EF692E">
        <w:rPr>
          <w:rFonts w:hAnsi="宋体"/>
          <w:szCs w:val="24"/>
        </w:rPr>
        <w:lastRenderedPageBreak/>
        <w:t>交易对手的名单进行更新，名单中增加或减少银行间债券市场交易对手时须及时通知基金托管人，基金托管人于2个工作日内回函确认收到后，对名单进行更新。基金管理人收到基金托管人书面确认后，被确认调整的名单开始生效，新名单生效前已与本次剔除的交易对手所进行但尚未结算的交易，仍应按照双方原定协议进行结算。</w:t>
      </w:r>
      <w:r w:rsidRPr="00EF692E">
        <w:rPr>
          <w:rFonts w:hAnsi="宋体" w:hint="eastAsia"/>
          <w:szCs w:val="24"/>
        </w:rPr>
        <w:t>如基金管理人在基金投资运作之前未向基金托管人提供银行间债券市场交易对手名单的，视为基金管理人认可全市场交易对手。</w:t>
      </w:r>
    </w:p>
    <w:p w:rsidR="0024774E" w:rsidRPr="00EF692E" w:rsidRDefault="000975C7">
      <w:pPr>
        <w:pStyle w:val="20"/>
        <w:spacing w:before="0" w:after="0" w:line="520" w:lineRule="atLeast"/>
        <w:ind w:left="0" w:firstLineChars="200" w:firstLine="480"/>
        <w:rPr>
          <w:rFonts w:hAnsi="宋体"/>
          <w:bCs/>
          <w:szCs w:val="24"/>
        </w:rPr>
      </w:pPr>
      <w:r w:rsidRPr="00EF692E">
        <w:rPr>
          <w:rFonts w:hAnsi="宋体" w:hint="eastAsia"/>
          <w:szCs w:val="24"/>
        </w:rPr>
        <w:t>如果基金托管人发现基金管理人与不在名单内的银行间债券市场交易对手进行交易，应及时提醒基金管理人撤销交易，</w:t>
      </w:r>
      <w:r w:rsidRPr="00EF692E">
        <w:rPr>
          <w:rFonts w:hAnsi="宋体" w:hint="eastAsia"/>
          <w:bCs/>
          <w:szCs w:val="24"/>
        </w:rPr>
        <w:t>经提醒后基金管理人仍执行交易并造成基金资产损失的，基金托管人不承担相应责任。</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2）基金托管人对于基金管理人参与银行间债券市场交易的交易方式的控制</w:t>
      </w:r>
    </w:p>
    <w:p w:rsidR="0024774E" w:rsidRPr="00EF692E" w:rsidRDefault="000975C7">
      <w:pPr>
        <w:pStyle w:val="20"/>
        <w:spacing w:before="0" w:after="0" w:line="520" w:lineRule="atLeast"/>
        <w:ind w:left="0" w:firstLineChars="200" w:firstLine="480"/>
        <w:rPr>
          <w:rFonts w:hAnsi="宋体"/>
          <w:bCs/>
          <w:szCs w:val="24"/>
        </w:rPr>
      </w:pPr>
      <w:r w:rsidRPr="00EF692E">
        <w:rPr>
          <w:rFonts w:hAnsi="宋体" w:hint="eastAsia"/>
          <w:szCs w:val="24"/>
        </w:rPr>
        <w:t>基金管理人在银行间债券市场进行现券买卖和回购交易时，需按交易对手名单中约定的该交易对手所适用的交易结算方式进行交易。如果基金托管人发现基金管理人没有按照事先约定的有利于信用风险控制的交易方式进行交易时，基金托管人应及时提醒基金管理人与交易对手重新确定交易方式，</w:t>
      </w:r>
      <w:r w:rsidRPr="00EF692E">
        <w:rPr>
          <w:rFonts w:hAnsi="宋体" w:hint="eastAsia"/>
          <w:bCs/>
          <w:szCs w:val="24"/>
        </w:rPr>
        <w:t>经提醒后仍未改正并造成基金资产损失的，基金托管人不承担责任。</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3）基金管理人有责任控制交易对手的资信风险。</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基金</w:t>
      </w:r>
      <w:r w:rsidRPr="00EF692E">
        <w:rPr>
          <w:rFonts w:hAnsi="宋体"/>
          <w:szCs w:val="24"/>
        </w:rPr>
        <w:t>管理人</w:t>
      </w:r>
      <w:r w:rsidRPr="00EF692E">
        <w:rPr>
          <w:rFonts w:hAnsi="宋体" w:hint="eastAsia"/>
          <w:szCs w:val="24"/>
        </w:rPr>
        <w:t>按银行间债券市场的交易规则进行交易，并负责处理因交易对手不履行合同而造成的纠纷。若未履约的交易对手在基金管理人确定的时间内仍未承担违约责任及其他相关法律责任的，基金管理人可以对相应损失先行予以承担，然后再向相关交易对手追偿，基金托管人应予以必要的协助。</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3.1.6基金托管人对基金投资流通受限证券的监督：</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1）基金投资流通受限证券，应遵守有关法律法规规定。流通受限证券指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EF692E">
        <w:rPr>
          <w:rFonts w:hAnsi="宋体" w:hint="eastAsia"/>
          <w:szCs w:val="24"/>
        </w:rPr>
        <w:t>券</w:t>
      </w:r>
      <w:proofErr w:type="gramEnd"/>
      <w:r w:rsidRPr="00EF692E">
        <w:rPr>
          <w:rFonts w:hAnsi="宋体" w:hint="eastAsia"/>
          <w:szCs w:val="24"/>
        </w:rPr>
        <w:t>等流通受限证券。</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lastRenderedPageBreak/>
        <w:t>（</w:t>
      </w:r>
      <w:r w:rsidRPr="00EF692E">
        <w:rPr>
          <w:rFonts w:hAnsi="宋体"/>
          <w:szCs w:val="24"/>
        </w:rPr>
        <w:t>2）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基金管理人应至少</w:t>
      </w:r>
      <w:proofErr w:type="gramStart"/>
      <w:r w:rsidRPr="00EF692E">
        <w:rPr>
          <w:rFonts w:hAnsi="宋体" w:hint="eastAsia"/>
          <w:szCs w:val="24"/>
        </w:rPr>
        <w:t>于首次</w:t>
      </w:r>
      <w:proofErr w:type="gramEnd"/>
      <w:r w:rsidRPr="00EF692E">
        <w:rPr>
          <w:rFonts w:hAnsi="宋体" w:hint="eastAsia"/>
          <w:szCs w:val="24"/>
        </w:rPr>
        <w:t>执行投资指令之前</w:t>
      </w:r>
      <w:r w:rsidRPr="00EF692E">
        <w:rPr>
          <w:rFonts w:hAnsi="宋体"/>
          <w:szCs w:val="24"/>
        </w:rPr>
        <w:t>2个工作日将上述资料书面发至基金托管人，保证基金托管人有足够的时间进行审核。基金托管人应在收到上述资料后2个工作日内，以书面或其他双方认可的方式确认收到上述资料。</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3）基金投资流通受限证券前，基金管理人应向基金托管人提供符合法律法规要求的有关必要书面信息。基金管理人应保证上述信息的真实、完整</w:t>
      </w:r>
      <w:r w:rsidRPr="00EF692E">
        <w:rPr>
          <w:rFonts w:hAnsi="宋体" w:hint="eastAsia"/>
          <w:szCs w:val="24"/>
        </w:rPr>
        <w:t>、准确</w:t>
      </w:r>
      <w:r w:rsidRPr="00EF692E">
        <w:rPr>
          <w:rFonts w:hAnsi="宋体"/>
          <w:szCs w:val="24"/>
        </w:rPr>
        <w:t>，并应至少</w:t>
      </w:r>
      <w:proofErr w:type="gramStart"/>
      <w:r w:rsidRPr="00EF692E">
        <w:rPr>
          <w:rFonts w:hAnsi="宋体" w:hint="eastAsia"/>
          <w:szCs w:val="24"/>
        </w:rPr>
        <w:t>于拟执行</w:t>
      </w:r>
      <w:proofErr w:type="gramEnd"/>
      <w:r w:rsidRPr="00EF692E">
        <w:rPr>
          <w:rFonts w:hAnsi="宋体" w:hint="eastAsia"/>
          <w:szCs w:val="24"/>
        </w:rPr>
        <w:t>投资指令前将上述信息书面发至基金托管人。</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4）基金托管人应对基金管理人是否遵守法律法规、投资决策流程、风险控制制度情况进行监督，并审核基金管理人提供的有关书面信息。基金托管人认为上述资料不符合法律法规、投资决策流程、风险控制制度的，有权要求基金管理人在投资流通受限证券前就以上事项进行调整，否则，基金托管人有权拒绝执行有关指令</w:t>
      </w:r>
      <w:r w:rsidRPr="00EF692E">
        <w:rPr>
          <w:rFonts w:hAnsi="宋体" w:hint="eastAsia"/>
          <w:szCs w:val="24"/>
        </w:rPr>
        <w:t>，但应及时告知基金管理人</w:t>
      </w:r>
      <w:r w:rsidRPr="00EF692E">
        <w:rPr>
          <w:rFonts w:hAnsi="宋体"/>
          <w:szCs w:val="24"/>
        </w:rPr>
        <w:t>。因拒绝执行该指令造成基金财产损失的，基金托管人不承担</w:t>
      </w:r>
      <w:r w:rsidRPr="00EF692E">
        <w:rPr>
          <w:rFonts w:hAnsi="宋体" w:hint="eastAsia"/>
          <w:szCs w:val="24"/>
        </w:rPr>
        <w:t>相应</w:t>
      </w:r>
      <w:r w:rsidRPr="00EF692E">
        <w:rPr>
          <w:rFonts w:hAnsi="宋体"/>
          <w:szCs w:val="24"/>
        </w:rPr>
        <w:t>责任，并有权报告中国证监会。</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如基金管理人和基金托管人无法达成一致，应及时上报中国证监会请求解决。如果基金托管人切实履行监督职责，则不承担相应责任。如果基金托管人没有切实履行监督职责，导致基金出现风险，基金托管人应承担相应责任。</w:t>
      </w:r>
    </w:p>
    <w:p w:rsidR="0024774E" w:rsidRPr="00EF692E" w:rsidRDefault="000975C7">
      <w:pPr>
        <w:pStyle w:val="20"/>
        <w:spacing w:before="0" w:after="0" w:line="520" w:lineRule="atLeast"/>
        <w:rPr>
          <w:rFonts w:hAnsi="宋体"/>
          <w:szCs w:val="24"/>
        </w:rPr>
      </w:pPr>
      <w:r w:rsidRPr="00EF692E">
        <w:rPr>
          <w:rFonts w:hAnsi="宋体"/>
          <w:szCs w:val="24"/>
        </w:rPr>
        <w:t>3.1.7</w:t>
      </w:r>
      <w:r w:rsidRPr="00EF692E">
        <w:rPr>
          <w:rFonts w:hAnsi="宋体" w:hint="eastAsia"/>
          <w:szCs w:val="24"/>
        </w:rPr>
        <w:t>基金托管人对基金投资中期票据的监督：</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1）基金管理人管理的基金在投资中期票据前，基金管理人须根据法律、法规、监管部门的规定，制定严格的关于投资中期票据的风险控制制度和流动性风险处置预案，并书面提供给基金托管人，基金托管人依据上述文件对基金管理人投资</w:t>
      </w:r>
      <w:r w:rsidRPr="00EF692E">
        <w:rPr>
          <w:rFonts w:hAnsi="宋体" w:hint="eastAsia"/>
          <w:szCs w:val="24"/>
        </w:rPr>
        <w:t>中期票据的额度和比例进行监督。</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2）如未来有关监管部门发布的法律法规对证券投资基金投资中期票据另</w:t>
      </w:r>
      <w:r w:rsidRPr="00EF692E">
        <w:rPr>
          <w:rFonts w:hAnsi="宋体"/>
          <w:szCs w:val="24"/>
        </w:rPr>
        <w:lastRenderedPageBreak/>
        <w:t>有规定的，从其规定。</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3）基金托管人有权监督基金管理人在相关基金投资中期票据时的法律法规遵守情况，有关制度、信用风险、流动性风险处置预案的完善情况，有关额度、比例限制的执行情况。基金托管人发现基金管理人的上述事项违反法律法规的规定</w:t>
      </w:r>
      <w:r w:rsidRPr="00EF692E">
        <w:rPr>
          <w:rFonts w:hAnsi="宋体" w:hint="eastAsia"/>
          <w:szCs w:val="24"/>
        </w:rPr>
        <w:t>和基金合同以及本协议的约定，应及时以书面形式通知基金管理人限期纠正。基金管理人应积极配合和协助基金托管人的监督和核查。基金管理人应按本协议要求向基金托管人及时发出回函，并及时改正。基金托管人有权随时对所通知事项进行复查</w:t>
      </w:r>
      <w:r w:rsidRPr="00EF692E">
        <w:rPr>
          <w:rFonts w:hAnsi="宋体"/>
          <w:szCs w:val="24"/>
        </w:rPr>
        <w:t>,督促基金管理人改正。如果基金管理人违规事项未能在限期内纠正的，基金托管人应报告中国证监会。基金托管人不承担由此造成的</w:t>
      </w:r>
      <w:r w:rsidRPr="00EF692E">
        <w:rPr>
          <w:rFonts w:hAnsi="宋体" w:hint="eastAsia"/>
          <w:szCs w:val="24"/>
        </w:rPr>
        <w:t>相应</w:t>
      </w:r>
      <w:r w:rsidRPr="00EF692E">
        <w:rPr>
          <w:rFonts w:hAnsi="宋体"/>
          <w:szCs w:val="24"/>
        </w:rPr>
        <w:t>损失和责任。</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3.1.8基金托管人根据有关法律法规的规定及基金合同的约定，对基金管理人选择存款银行进行监督：</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如基金管理人未向基金托管人提供存款银行名单的，视为基金管理人认可所有银行。</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本基金投资银行存款应符合如下规定：</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1）基金管理人、基金托管人应当与存款银行建立定期对账机制，确保基金银行存款业务账目及核算的真实、准确。</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2）基金管理人与基金托管人应根据相关规定，就本基金银行存款业务另行签订书面协议，明确双方在相关协议签署、账户开设与管理、投资指令传达与执行、资金划拨、账目核对、到期兑付、文件保管以及存款证实书的开立、传递、保管等流程中的权利、义务和职责，以确保基金财产的安全，保护基金份额持有人的合法权益。</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3）基金托管人应对基金银行存款业务进行监督与核查，审查、复核相关协议、账户资料、投资指令、存款证实书等有关文件，履行托管职责。</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lastRenderedPageBreak/>
        <w:t>（</w:t>
      </w:r>
      <w:r w:rsidRPr="00EF692E">
        <w:rPr>
          <w:rFonts w:hAnsi="宋体"/>
          <w:szCs w:val="24"/>
        </w:rPr>
        <w:t>4）基金管理人与基金托管人在开展基金存款业务时，应严格遵守《基金法》《运作办法》等有关法律法规，以及国家有关账户管理、利率管理、支付结算等的</w:t>
      </w:r>
      <w:r w:rsidRPr="00EF692E">
        <w:rPr>
          <w:rFonts w:hAnsi="宋体" w:hint="eastAsia"/>
          <w:szCs w:val="24"/>
        </w:rPr>
        <w:t>各项规定。</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3.2基金托管人对基金管理人业务进行监督和核查的有关措施：</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3.2.1基金托管人应根据有关法律法规的规定及基金合同的约定，对基金资产净值计算、</w:t>
      </w:r>
      <w:r w:rsidRPr="00EF692E">
        <w:rPr>
          <w:rFonts w:hAnsi="宋体" w:hint="eastAsia"/>
          <w:szCs w:val="24"/>
        </w:rPr>
        <w:t>各类基金份额净值计算、应收资金到账、基金费用开支及收入确定、基金收益分配、相关信息披露、基金宣传推介材料中登载基金业绩表现数据等进行监督和核查。</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3.2.2基金托管人发现基金管理人的投资运作及其他运作违反《基金法》、基金合同、本托管协议及其他有关规定时，应及时以书面形式通知基金管理人限期纠正，基金管理人收到通知后应及时核对，并以书面形式向基金托管人发出回函，进行解释或举证。</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3.2.3在限期内，基金托管人有权随时对通知事项进行复查，督促基金管理人改正。基金管理人对基金托管人通知的违规事项未能在限期内纠正的，基金托管人应报告中国证监会。</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3.2.4基金托管人发现基金管理人的投资指令违反</w:t>
      </w:r>
      <w:r w:rsidRPr="00EF692E">
        <w:rPr>
          <w:rFonts w:hAnsi="宋体" w:hint="eastAsia"/>
          <w:szCs w:val="24"/>
        </w:rPr>
        <w:t>相关法律法规规定或者违反基金合同约定的，应当拒绝执行，立即通知基金管理人。</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3.2.5基金托管人发现基金管理人依据交易程序已经生效的投资指令违反法律、行政法规和其他有关规定，或者违反基金合同约定的，应当立即通知基金管理人，并及时向中国证监会报告，基金管理人应依法承担相应责任。</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3.2.6基金管理人应积极配合和协助基金托管人的监督和核查，必须在规定时间内答复基金托管人并改正，就基金托管人的合理疑义进行解释或举证，对基金托管人按照法规要求需向中国证监会报送基金监督报告的，基金管理人应积极配合提供相关数据资料和制度等。</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3.2.7基金托管人发现基金管理人有重大违规行为，应立即报告中国证监会，同时通知基金管理人限期纠正。</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lastRenderedPageBreak/>
        <w:t>3.2.8基金管理人无正当理由，拒绝、阻挠基金托管人根据本协议规定行使监督权，或采取拖延、欺诈等手段妨碍基金托管人进行有效监督，情节严重或经基金托管人提出警告仍不改正的，基金托管人应报告中国证监会。</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3.2.9基金托管人对</w:t>
      </w:r>
      <w:r w:rsidRPr="00EF692E">
        <w:rPr>
          <w:rFonts w:hAnsi="宋体" w:hint="eastAsia"/>
          <w:szCs w:val="24"/>
        </w:rPr>
        <w:t>资金来源、</w:t>
      </w:r>
      <w:r w:rsidRPr="00EF692E">
        <w:rPr>
          <w:rFonts w:hAnsi="宋体"/>
          <w:szCs w:val="24"/>
        </w:rPr>
        <w:t>投资收益不承担审核责任</w:t>
      </w:r>
      <w:r w:rsidRPr="00EF692E">
        <w:rPr>
          <w:rFonts w:hAnsi="宋体" w:hint="eastAsia"/>
          <w:szCs w:val="24"/>
        </w:rPr>
        <w:t>，特别是对于本基金所投标的</w:t>
      </w:r>
      <w:proofErr w:type="gramStart"/>
      <w:r w:rsidRPr="00EF692E">
        <w:rPr>
          <w:rFonts w:hAnsi="宋体" w:hint="eastAsia"/>
          <w:szCs w:val="24"/>
        </w:rPr>
        <w:t>的</w:t>
      </w:r>
      <w:proofErr w:type="gramEnd"/>
      <w:r w:rsidRPr="00EF692E">
        <w:rPr>
          <w:rFonts w:hAnsi="宋体" w:hint="eastAsia"/>
          <w:szCs w:val="24"/>
        </w:rPr>
        <w:t>后续资金使用情况无审核责任</w:t>
      </w:r>
      <w:r w:rsidRPr="00EF692E">
        <w:rPr>
          <w:rFonts w:hAnsi="宋体"/>
          <w:szCs w:val="24"/>
        </w:rPr>
        <w:t>，不保证托管财产投资不受损失，</w:t>
      </w:r>
      <w:r w:rsidRPr="00EF692E">
        <w:rPr>
          <w:rFonts w:hAnsi="宋体" w:hint="eastAsia"/>
          <w:szCs w:val="24"/>
        </w:rPr>
        <w:t>不保证最低收益。法律法规或监管机构另有规定的除外。</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3.2.10</w:t>
      </w:r>
      <w:r w:rsidRPr="00EF692E">
        <w:rPr>
          <w:rFonts w:hAnsi="宋体" w:hint="eastAsia"/>
          <w:szCs w:val="24"/>
        </w:rPr>
        <w:t>基金管理人及基金托管人应遵守中华人民共和国反洗</w:t>
      </w:r>
      <w:proofErr w:type="gramStart"/>
      <w:r w:rsidRPr="00EF692E">
        <w:rPr>
          <w:rFonts w:hAnsi="宋体" w:hint="eastAsia"/>
          <w:szCs w:val="24"/>
        </w:rPr>
        <w:t>钱法律</w:t>
      </w:r>
      <w:proofErr w:type="gramEnd"/>
      <w:r w:rsidRPr="00EF692E">
        <w:rPr>
          <w:rFonts w:hAnsi="宋体" w:hint="eastAsia"/>
          <w:szCs w:val="24"/>
        </w:rPr>
        <w:t>法规，不参与涉嫌洗钱、恐怖融资、扩散融资等违法犯罪活动。对具备合理理由怀疑涉嫌洗钱、恐怖融资的客户，基金托管人将按照中国人民银行反洗钱监管规定采取必要管控措施。</w:t>
      </w:r>
    </w:p>
    <w:p w:rsidR="0024774E" w:rsidRPr="00EF692E" w:rsidRDefault="000975C7">
      <w:pPr>
        <w:pStyle w:val="1"/>
        <w:spacing w:line="520" w:lineRule="atLeast"/>
        <w:ind w:firstLineChars="200" w:firstLine="482"/>
        <w:rPr>
          <w:bCs/>
          <w:color w:val="auto"/>
          <w:szCs w:val="24"/>
        </w:rPr>
      </w:pPr>
      <w:bookmarkStart w:id="21" w:name="_Toc296551340"/>
      <w:bookmarkStart w:id="22" w:name="_Toc146725834"/>
      <w:r w:rsidRPr="00EF692E">
        <w:rPr>
          <w:rFonts w:hint="eastAsia"/>
          <w:bCs/>
          <w:color w:val="auto"/>
          <w:szCs w:val="24"/>
        </w:rPr>
        <w:t>第四条</w:t>
      </w:r>
      <w:r w:rsidRPr="00EF692E">
        <w:rPr>
          <w:bCs/>
          <w:color w:val="auto"/>
          <w:szCs w:val="24"/>
        </w:rPr>
        <w:t xml:space="preserve"> </w:t>
      </w:r>
      <w:r w:rsidRPr="00EF692E">
        <w:rPr>
          <w:rFonts w:hint="eastAsia"/>
          <w:bCs/>
          <w:color w:val="auto"/>
          <w:szCs w:val="24"/>
        </w:rPr>
        <w:t>基金管理人对基金托管人的业务核查</w:t>
      </w:r>
      <w:bookmarkEnd w:id="21"/>
      <w:bookmarkEnd w:id="22"/>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4.1</w:t>
      </w:r>
      <w:r w:rsidRPr="00EF692E">
        <w:rPr>
          <w:rFonts w:hAnsi="宋体" w:hint="eastAsia"/>
          <w:szCs w:val="24"/>
        </w:rPr>
        <w:t>根据《基金法》及其他有关法规的规定和基金合同及本协议约定，</w:t>
      </w:r>
      <w:r w:rsidRPr="00EF692E">
        <w:rPr>
          <w:rFonts w:hAnsi="宋体"/>
          <w:szCs w:val="24"/>
        </w:rPr>
        <w:t>基金管理人对基金托管人履行托管职责情况进行核查，核查事项包括但不限于基金托管人安全保管基金财产、开设基金财产的</w:t>
      </w:r>
      <w:bookmarkStart w:id="23" w:name="OLE_LINK3"/>
      <w:r w:rsidRPr="00EF692E">
        <w:rPr>
          <w:rFonts w:hAnsi="宋体"/>
          <w:szCs w:val="24"/>
        </w:rPr>
        <w:t>资金账户</w:t>
      </w:r>
      <w:bookmarkEnd w:id="23"/>
      <w:r w:rsidRPr="00EF692E">
        <w:rPr>
          <w:rFonts w:hAnsi="宋体"/>
          <w:szCs w:val="24"/>
        </w:rPr>
        <w:t>和证券账户等投资所需的其他账户、复核基金管理人计算的基金资产净值和基金份额净值、根据基金管理人指令办理清算交收、相关信息披露和监督基金投资运作等行为。</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4.2基金管理人发现基金托管人擅自挪用基金财产、未对基金财产实行分账管理、无故拒绝执行或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或未在合理期限内确认的，基金管理人应报告中国证监会。</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4.3基金管理人发现基金托管人有重大违规行为，应立即报告中国证监会和银行业监督管理机构，同时通知基金托管人限期纠正。</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lastRenderedPageBreak/>
        <w:t>4.4基金托管人应积极配合基金管理人的核查行为，包括但不限于：提交相关资料以</w:t>
      </w:r>
      <w:proofErr w:type="gramStart"/>
      <w:r w:rsidRPr="00EF692E">
        <w:rPr>
          <w:rFonts w:hAnsi="宋体" w:hint="eastAsia"/>
          <w:szCs w:val="24"/>
        </w:rPr>
        <w:t>供基金</w:t>
      </w:r>
      <w:proofErr w:type="gramEnd"/>
      <w:r w:rsidRPr="00EF692E">
        <w:rPr>
          <w:rFonts w:hAnsi="宋体" w:hint="eastAsia"/>
          <w:szCs w:val="24"/>
        </w:rPr>
        <w:t>管理人核查托管财产的完整性和真实性，在规定时间内答复基金管理人并改正。基金托管人应就基金管理人合理的疑义进行解释。</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4.5基金托管人无正当理由，拒绝、阻挠基金管理人根据本协议规定行使监督权，或采取拖延、欺诈等手段妨碍基金管理人进行有效监督，情节严重或经基金管理人提出警告仍不改正的，基金管理人应报告中国证监会。</w:t>
      </w:r>
    </w:p>
    <w:p w:rsidR="0024774E" w:rsidRPr="00EF692E" w:rsidRDefault="000975C7">
      <w:pPr>
        <w:pStyle w:val="1"/>
        <w:spacing w:line="520" w:lineRule="atLeast"/>
        <w:ind w:firstLineChars="200" w:firstLine="482"/>
        <w:rPr>
          <w:bCs/>
          <w:color w:val="auto"/>
          <w:szCs w:val="24"/>
        </w:rPr>
      </w:pPr>
      <w:bookmarkStart w:id="24" w:name="_Toc146725835"/>
      <w:bookmarkStart w:id="25" w:name="_Toc296551341"/>
      <w:r w:rsidRPr="00EF692E">
        <w:rPr>
          <w:rFonts w:hint="eastAsia"/>
          <w:bCs/>
          <w:color w:val="auto"/>
          <w:szCs w:val="24"/>
        </w:rPr>
        <w:t>第五条</w:t>
      </w:r>
      <w:r w:rsidRPr="00EF692E">
        <w:rPr>
          <w:bCs/>
          <w:color w:val="auto"/>
          <w:szCs w:val="24"/>
        </w:rPr>
        <w:t xml:space="preserve"> </w:t>
      </w:r>
      <w:r w:rsidRPr="00EF692E">
        <w:rPr>
          <w:rFonts w:hint="eastAsia"/>
          <w:bCs/>
          <w:color w:val="auto"/>
          <w:szCs w:val="24"/>
        </w:rPr>
        <w:t>基金财产保管</w:t>
      </w:r>
      <w:bookmarkEnd w:id="24"/>
      <w:bookmarkEnd w:id="25"/>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5.1基金财产保管的原则</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5.1.1基金财产应独立于基金管理人、基金托管人的固有财产。</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5.1.2基金托管人应安全保管基金财产。除依据法律法规规定、基金合同和本托管协议约定及基金管理人的正当指令外，不得自行运用、处分、分配基金的任何财产。</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5.1.3基金托管人按照规定开设基金财产的资金账户和证券账户等投资所需的其他账户。</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5.1.4基金托管人对所托管的不同基金财产分别设置账户，与基金托管人的其他业务和其他基金的托管业务实行严格的分账管理，确保基金财产的完整与独立。</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5.1.5基金托管人根据基金管理人的指令，按照基金合同和本协议的约定保管基金财产，如有特殊情况双方可另行协商解决。</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5.1.6</w:t>
      </w:r>
      <w:r w:rsidRPr="00EF692E">
        <w:rPr>
          <w:rFonts w:hAnsi="宋体" w:hint="eastAsia"/>
          <w:szCs w:val="24"/>
        </w:rPr>
        <w:t>基金托管人仅对托管账户内的基金财产承担托管职责，对于已从托管账户划出及不处于托管账户内的基金财产无法控制，不承担任何托管职责。法律法规或监管机构另有规定的除外。</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5.1.7</w:t>
      </w:r>
      <w:r w:rsidRPr="00EF692E">
        <w:rPr>
          <w:rFonts w:hAnsi="宋体"/>
          <w:szCs w:val="24"/>
        </w:rPr>
        <w:t>除依据法律法规和基金合同的规定外，基金托管人不得委托第三人托管基金资产。</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5.2募集资金的验资</w:t>
      </w:r>
    </w:p>
    <w:p w:rsidR="0024774E" w:rsidRPr="00EF692E" w:rsidRDefault="000975C7">
      <w:pPr>
        <w:pStyle w:val="CharCharCharCharCharCharChar"/>
        <w:adjustRightInd/>
        <w:spacing w:line="520" w:lineRule="atLeast"/>
        <w:ind w:firstLineChars="200" w:firstLine="480"/>
        <w:rPr>
          <w:rFonts w:hAnsi="宋体"/>
          <w:szCs w:val="24"/>
        </w:rPr>
      </w:pPr>
      <w:r w:rsidRPr="00EF692E">
        <w:rPr>
          <w:rFonts w:ascii="宋体" w:hAnsi="宋体"/>
          <w:szCs w:val="24"/>
        </w:rPr>
        <w:t>5.2.1基金募集期间募集的资金应存于基金管理人在基金托管人的营业机</w:t>
      </w:r>
      <w:r w:rsidRPr="00EF692E">
        <w:rPr>
          <w:rFonts w:ascii="宋体" w:hAnsi="宋体"/>
          <w:szCs w:val="24"/>
        </w:rPr>
        <w:lastRenderedPageBreak/>
        <w:t>构或在其他银行开立的基金募集专户，该账户由</w:t>
      </w:r>
      <w:r w:rsidRPr="00EF692E">
        <w:rPr>
          <w:rFonts w:ascii="宋体" w:hAnsi="宋体" w:hint="eastAsia"/>
          <w:szCs w:val="24"/>
        </w:rPr>
        <w:t>基金管理人或基金管理人委托的登记机构开立并管理。</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5.2.2基金募集期满或基金提前结束募集时，募集的基金份额总额、基金募集金额、基金份额持有人人数符合《基金法》《运作办法》等有关规定后，基金管理人应将募集的属于本基金财产的全部资金划入基金托管人为本基金开立的托管专户中，基金托管人在收到资金当日出具确认文件。同时，基金管理人应聘</w:t>
      </w:r>
      <w:proofErr w:type="gramStart"/>
      <w:r w:rsidRPr="00EF692E">
        <w:rPr>
          <w:rFonts w:hAnsi="宋体" w:hint="eastAsia"/>
          <w:szCs w:val="24"/>
        </w:rPr>
        <w:t>请符合</w:t>
      </w:r>
      <w:proofErr w:type="gramEnd"/>
      <w:r w:rsidRPr="00EF692E">
        <w:rPr>
          <w:rFonts w:hAnsi="宋体" w:hint="eastAsia"/>
          <w:szCs w:val="24"/>
        </w:rPr>
        <w:t>《中华人民共和国证券法》规定的会计师事务所进行验资，出具验资报告，出具的验资报告应由参加验资的</w:t>
      </w:r>
      <w:r w:rsidRPr="00EF692E">
        <w:rPr>
          <w:rFonts w:hAnsi="宋体"/>
          <w:szCs w:val="24"/>
        </w:rPr>
        <w:t>2名以上（含2名）中国注册会计师签字有效。</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5.2.3</w:t>
      </w:r>
      <w:proofErr w:type="gramStart"/>
      <w:r w:rsidRPr="00EF692E">
        <w:rPr>
          <w:rFonts w:hAnsi="宋体" w:hint="eastAsia"/>
          <w:szCs w:val="24"/>
        </w:rPr>
        <w:t>若基金</w:t>
      </w:r>
      <w:proofErr w:type="gramEnd"/>
      <w:r w:rsidRPr="00EF692E">
        <w:rPr>
          <w:rFonts w:hAnsi="宋体" w:hint="eastAsia"/>
          <w:szCs w:val="24"/>
        </w:rPr>
        <w:t>募集期限届满，未能达到基金备案条件，由基金管理人按规定办理退款事宜，基金托管人应提供充分协助。</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5.3基金的银行账户的开立和管理</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5.3.1基金托管人以本基金的名义在其营业机构开立基金的银行账户</w:t>
      </w:r>
      <w:r w:rsidRPr="00EF692E">
        <w:rPr>
          <w:rFonts w:hAnsi="宋体" w:hint="eastAsia"/>
          <w:szCs w:val="24"/>
        </w:rPr>
        <w:t>（账户具体名称以实际开立为准）</w:t>
      </w:r>
      <w:r w:rsidRPr="00EF692E">
        <w:rPr>
          <w:rFonts w:hAnsi="宋体"/>
          <w:szCs w:val="24"/>
        </w:rPr>
        <w:t>，并根据基金管理人合法合</w:t>
      </w:r>
      <w:proofErr w:type="gramStart"/>
      <w:r w:rsidRPr="00EF692E">
        <w:rPr>
          <w:rFonts w:hAnsi="宋体" w:hint="eastAsia"/>
          <w:szCs w:val="24"/>
        </w:rPr>
        <w:t>规</w:t>
      </w:r>
      <w:proofErr w:type="gramEnd"/>
      <w:r w:rsidRPr="00EF692E">
        <w:rPr>
          <w:rFonts w:hAnsi="宋体" w:hint="eastAsia"/>
          <w:szCs w:val="24"/>
        </w:rPr>
        <w:t>的指令办理资金收付。本基金的银行预留印鉴由基金托管人刻制、保管和使用。</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5.3.2基金银行账户的开立和使用，限于满足开展本基金业务的需要。基金托管人和基金管理人不得假借本基金的名义开立任何其他银行账户；亦不得使用基金的任何账户进行本基金业务以外的活动。</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5.3.3基金银行账户的开立和管理应符合有关法律法规以及银行业监督管理机构的有关规定。</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5.4基金证券账户与</w:t>
      </w:r>
      <w:r w:rsidRPr="00EF692E">
        <w:rPr>
          <w:rFonts w:hAnsi="宋体" w:hint="eastAsia"/>
          <w:szCs w:val="24"/>
        </w:rPr>
        <w:t>结算备付金</w:t>
      </w:r>
      <w:r w:rsidRPr="00EF692E">
        <w:rPr>
          <w:rFonts w:hAnsi="宋体"/>
          <w:szCs w:val="24"/>
        </w:rPr>
        <w:t>账户的开设和管理</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5.4.1基金托管人以基金托管人和本基金联名的方式在中国证券登记结算有限责任公司（以下简称“中登公司”）开设证券账户。</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5.4.2基金托管人以基金托管人的名义在中登公司开立</w:t>
      </w:r>
      <w:r w:rsidRPr="00EF692E">
        <w:rPr>
          <w:rFonts w:hAnsi="宋体" w:hint="eastAsia"/>
          <w:szCs w:val="24"/>
        </w:rPr>
        <w:t>结算备付金</w:t>
      </w:r>
      <w:r w:rsidRPr="00EF692E">
        <w:rPr>
          <w:rFonts w:hAnsi="宋体"/>
          <w:szCs w:val="24"/>
        </w:rPr>
        <w:t>账户，用于</w:t>
      </w:r>
      <w:r w:rsidRPr="00EF692E">
        <w:rPr>
          <w:rFonts w:hAnsi="宋体" w:hint="eastAsia"/>
          <w:szCs w:val="24"/>
        </w:rPr>
        <w:t>资金</w:t>
      </w:r>
      <w:r w:rsidRPr="00EF692E">
        <w:rPr>
          <w:rFonts w:hAnsi="宋体"/>
          <w:szCs w:val="24"/>
        </w:rPr>
        <w:t>结算业务。</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5.4.3基金证券账户的开立和使用，限于满足开展本基金业务的需要。基金托管人和基金管理人不得出借和未经对方同意擅自转让基金的任何证券账户；亦</w:t>
      </w:r>
      <w:r w:rsidRPr="00EF692E">
        <w:rPr>
          <w:rFonts w:hAnsi="宋体"/>
          <w:szCs w:val="24"/>
        </w:rPr>
        <w:lastRenderedPageBreak/>
        <w:t>不得使用基金的任何账户进行本基金业务以外的活动。</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5.5债券托管账户的开立和管理</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5.5.1基金合同生效后，基金管理人负责以基金的名义申请并取得进入全国银行间同业拆借市场的交易资格，并代表基金进行交易；基金托管人负责以基金的名义在中央国债登记结算有限责任公司和银行间市场清算所股份有限公司开设银行间债券市场债券托管账户，并由基金托管人负责基金的债券的后台匹配及资金的清算。</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5.6其他账户的开设和管理</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在本托管协议生效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5.7基金财产投资的有关实物证券、银行定期存款存单等有价凭证的保管</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基金财产投资的有关实物证券由基金托管人存放于基金托管人的保管库；其中实物证券也可存入中央国债登记结算有限责任公司、中登公司</w:t>
      </w:r>
      <w:r w:rsidRPr="00EF692E">
        <w:rPr>
          <w:rFonts w:hAnsi="宋体"/>
          <w:szCs w:val="24"/>
        </w:rPr>
        <w:t>、银行间市场清算所股份有限公司或票据营业中心的代保管库。实物证券的购买和转让，由基金托管人根据基金管理人的指令办理。属于基金托管人控制下的实物证券在基金托管人保管期间的损坏、灭失，由此产生的责任应由基金托管人承担。基金托管人对基金托管人以外机构实际有效控制的证券不承担保管责任。</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5.8与基金财产有关的重大合同的保管</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与基金财产有关的重大合同的签署，由基金管理人负责。由基金管理人代表基金签署的与基金有关的重大合同的原件分别应由基金托管人、基金管理人保管。基金管理人在代表基金签署与基金有关的重大合同时应保证基金一方持有两份以上的正本原件，以便基金管理人和基金托管人至少各持有一份正本的原件。基金管理人在合同签署后</w:t>
      </w:r>
      <w:r w:rsidRPr="00EF692E">
        <w:rPr>
          <w:rFonts w:hAnsi="宋体"/>
          <w:szCs w:val="24"/>
        </w:rPr>
        <w:t>30个工作日内通过专人送达、挂号邮寄等安全方式将合同送达基金托管人处。合同应存放于基金管理人和基金托管人各自文件保管部门，</w:t>
      </w:r>
      <w:r w:rsidRPr="00EF692E">
        <w:rPr>
          <w:rFonts w:hAnsi="宋体" w:hint="eastAsia"/>
          <w:szCs w:val="24"/>
        </w:rPr>
        <w:lastRenderedPageBreak/>
        <w:t>保管期限不低于法律法规规定的最低期限。</w:t>
      </w:r>
    </w:p>
    <w:p w:rsidR="0024774E" w:rsidRPr="00EF692E" w:rsidRDefault="000975C7">
      <w:pPr>
        <w:pStyle w:val="1"/>
        <w:spacing w:line="520" w:lineRule="atLeast"/>
        <w:ind w:firstLineChars="200" w:firstLine="482"/>
        <w:rPr>
          <w:bCs/>
          <w:color w:val="auto"/>
          <w:szCs w:val="24"/>
        </w:rPr>
      </w:pPr>
      <w:bookmarkStart w:id="26" w:name="_Toc296551342"/>
      <w:bookmarkStart w:id="27" w:name="_Toc146725836"/>
      <w:r w:rsidRPr="00EF692E">
        <w:rPr>
          <w:rFonts w:hint="eastAsia"/>
          <w:bCs/>
          <w:color w:val="auto"/>
          <w:szCs w:val="24"/>
        </w:rPr>
        <w:t>第六条</w:t>
      </w:r>
      <w:r w:rsidRPr="00EF692E">
        <w:rPr>
          <w:bCs/>
          <w:color w:val="auto"/>
          <w:szCs w:val="24"/>
        </w:rPr>
        <w:t xml:space="preserve"> </w:t>
      </w:r>
      <w:r w:rsidRPr="00EF692E">
        <w:rPr>
          <w:rFonts w:hint="eastAsia"/>
          <w:bCs/>
          <w:color w:val="auto"/>
          <w:szCs w:val="24"/>
        </w:rPr>
        <w:t>指令的发送、确认和执行</w:t>
      </w:r>
      <w:bookmarkEnd w:id="26"/>
      <w:bookmarkEnd w:id="27"/>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6.1基金管理人对发送指令人员的书面授权</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基金管理人应事先向基金托管人提供书面授权通知（以下称“授权通知”），指定有权发送指令的人员（以下称“被授权人”）名单、预留印鉴和被授权人签章样本，注明相应的交易权限，并规定基金管理人向基金托管人发送指令时基金托管人确认被授权人身份的方法。授权通知应加盖基金管理人公章。基金管理人应使用传真方式或其他基金托管人和基金管理人书面确认过的方式向基金托管人发出授权通知，同时电话通知基金托管人。基金托管人在收到授权通知当日与基金管理人确认。基金管理人在收到基金托管人的确认之后，授权通知生效。如授权通知中载明的生效日期早于基金托管人与基金管理人确认的时间，则以基金托管人与基金管理人确认的时间为授权通知生效日期；如授权通知中载明的生效日期晚于基金托管人与基金管理人确认的时间，则以授权通知中载明的日期为授权通知生效日期。基金管理人在此后</w:t>
      </w:r>
      <w:r w:rsidRPr="00EF692E">
        <w:rPr>
          <w:rFonts w:hAnsi="宋体"/>
          <w:szCs w:val="24"/>
        </w:rPr>
        <w:t>3个工作日内将授权通知的正本送交基金托管人。授权通知正本内容应与基金托管人收到的传真内容一致，若有</w:t>
      </w:r>
      <w:r w:rsidRPr="00EF692E">
        <w:rPr>
          <w:rFonts w:hAnsi="宋体" w:hint="eastAsia"/>
          <w:szCs w:val="24"/>
        </w:rPr>
        <w:t>不一致的，以基金托管人收到的传真为准。</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基金管理人和基金托管人对授权文件负有保密义务，其内容不得向被授权人及相关操作人员以外的任何人泄露，</w:t>
      </w:r>
      <w:r w:rsidRPr="00EF692E">
        <w:rPr>
          <w:rFonts w:asciiTheme="minorEastAsia" w:eastAsiaTheme="minorEastAsia" w:hAnsiTheme="minorEastAsia" w:hint="eastAsia"/>
          <w:szCs w:val="24"/>
        </w:rPr>
        <w:t>除本协议另有约定或</w:t>
      </w:r>
      <w:r w:rsidRPr="00EF692E">
        <w:rPr>
          <w:rFonts w:hAnsi="宋体"/>
          <w:szCs w:val="24"/>
        </w:rPr>
        <w:t>法律法规另有规定</w:t>
      </w:r>
      <w:r w:rsidRPr="00EF692E">
        <w:rPr>
          <w:rFonts w:hAnsi="宋体" w:hint="eastAsia"/>
          <w:szCs w:val="24"/>
        </w:rPr>
        <w:t>或</w:t>
      </w:r>
      <w:r w:rsidRPr="00EF692E">
        <w:rPr>
          <w:rFonts w:hAnsi="宋体"/>
          <w:szCs w:val="24"/>
        </w:rPr>
        <w:t>有权机关另有要求的除外</w:t>
      </w:r>
      <w:r w:rsidRPr="00EF692E">
        <w:rPr>
          <w:rFonts w:hAnsi="宋体" w:hint="eastAsia"/>
          <w:szCs w:val="24"/>
        </w:rPr>
        <w:t>。</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6.2指令的内容</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指令是基金管理人在运用基金资产时，向基金托管人发出的资金划拨及其他款项支付的指令。基金管理人发给基金托管人的指令应写明款项事由、支付时间、到账时间、金额、账户等，加盖预留印鉴并由被授权人签字或盖章。</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6.3指令的发送、确认和执行的时间和程序</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6.3.1指令由“授权通知”确定的被授权人代表基金管理人用传真的方式或其他基金托管人和基金管理人书面确认过的方式向基金托管人发送。基金管理</w:t>
      </w:r>
      <w:r w:rsidRPr="00EF692E">
        <w:rPr>
          <w:rFonts w:hAnsi="宋体"/>
          <w:szCs w:val="24"/>
        </w:rPr>
        <w:lastRenderedPageBreak/>
        <w:t>人有义务在发送指令后及时与托管人进行确认，因基金管理人未能及时与基金托管人进行指令确认，致使资金未能及时到账所造成的损失，基金托管人不承担</w:t>
      </w:r>
      <w:r w:rsidRPr="00EF692E">
        <w:rPr>
          <w:rFonts w:hAnsi="宋体" w:hint="eastAsia"/>
          <w:szCs w:val="24"/>
        </w:rPr>
        <w:t>相应</w:t>
      </w:r>
      <w:r w:rsidRPr="00EF692E">
        <w:rPr>
          <w:rFonts w:hAnsi="宋体"/>
          <w:szCs w:val="24"/>
        </w:rPr>
        <w:t>责任。基金托管人依照“授权通知”规定的方法确认指令有效后，方可执行指令。对于被授权人发出的指令，基金管理人不得否认其效力。基金托管人正确执行基金管理人发送的有效指令，基金份额持有人或基金财产发生损失的，基金托管人不承担</w:t>
      </w:r>
      <w:r w:rsidRPr="00EF692E">
        <w:rPr>
          <w:rFonts w:hAnsi="宋体" w:hint="eastAsia"/>
          <w:szCs w:val="24"/>
        </w:rPr>
        <w:t>相应</w:t>
      </w:r>
      <w:r w:rsidRPr="00EF692E">
        <w:rPr>
          <w:rFonts w:hAnsi="宋体"/>
          <w:szCs w:val="24"/>
        </w:rPr>
        <w:t>责任。基金管理人应按照《基金法》、有关法律法规和基金合同的规定，在其合法的经营权限和交易权限内发送划款指令，被授权人应按照其授权权限发送划款指令。基金管理人在发送指令时，应为基金托管人留出2</w:t>
      </w:r>
      <w:r w:rsidRPr="00EF692E">
        <w:rPr>
          <w:rFonts w:hAnsi="宋体" w:hint="eastAsia"/>
          <w:szCs w:val="24"/>
        </w:rPr>
        <w:t>个</w:t>
      </w:r>
      <w:r w:rsidRPr="00EF692E">
        <w:rPr>
          <w:rFonts w:hAnsi="宋体"/>
          <w:szCs w:val="24"/>
        </w:rPr>
        <w:t>小时，作为</w:t>
      </w:r>
      <w:r w:rsidRPr="00EF692E">
        <w:rPr>
          <w:rFonts w:hAnsi="宋体" w:hint="eastAsia"/>
          <w:szCs w:val="24"/>
        </w:rPr>
        <w:t>执行指令所必需的时间。由基金管理</w:t>
      </w:r>
      <w:proofErr w:type="gramStart"/>
      <w:r w:rsidRPr="00EF692E">
        <w:rPr>
          <w:rFonts w:hAnsi="宋体" w:hint="eastAsia"/>
          <w:szCs w:val="24"/>
        </w:rPr>
        <w:t>人原因</w:t>
      </w:r>
      <w:proofErr w:type="gramEnd"/>
      <w:r w:rsidRPr="00EF692E">
        <w:rPr>
          <w:rFonts w:hAnsi="宋体" w:hint="eastAsia"/>
          <w:szCs w:val="24"/>
        </w:rPr>
        <w:t>造成的指令传输不及时、未能留出足够划款所需时间，基金托管人不承担资金未能及时到账所造成的损失。</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6.3.2</w:t>
      </w:r>
      <w:r w:rsidRPr="00EF692E">
        <w:rPr>
          <w:rFonts w:hAnsi="宋体" w:hint="eastAsia"/>
          <w:b/>
          <w:bCs/>
          <w:szCs w:val="24"/>
        </w:rPr>
        <w:t>基金托管人根据本协议相关约定仅履行表面一致形式审核职责，对指令的真实性不承担责任。</w:t>
      </w:r>
      <w:r w:rsidRPr="00EF692E">
        <w:rPr>
          <w:rFonts w:hAnsi="宋体" w:hint="eastAsia"/>
          <w:szCs w:val="24"/>
        </w:rPr>
        <w:t>如果基金管理人的指令存在事实上未经授权、欺诈、伪造、变造或未能及时提供授权通知等情形，基金托管人不承担因执行有关指令或拒绝执行有关指令而给基金管理人或基金财产带来的损失。</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6.3.3</w:t>
      </w:r>
      <w:r w:rsidRPr="00EF692E">
        <w:rPr>
          <w:rFonts w:hAnsi="宋体" w:hint="eastAsia"/>
          <w:szCs w:val="24"/>
        </w:rPr>
        <w:t>基金托管人不负责审查基金管理人发送指令同时提交的其他文件资料的合法性、真实性、完整性和有效性，基金管理人应保证上述文件资料合法、真实、完整和有效。如因基金管理人提供的上述文件不合法、不真实、不完整或失去效力而影响基金托管人的审核或带来损失，基金托管人不承担相应责任。</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6.3.4</w:t>
      </w:r>
      <w:r w:rsidRPr="00EF692E">
        <w:rPr>
          <w:rFonts w:hAnsi="宋体" w:hint="eastAsia"/>
          <w:szCs w:val="24"/>
        </w:rPr>
        <w:t>基金托管人应指定专人接收基金管理人的指令，预先通知基金管理人其名单，并与基金管理人商定指令发送和接收方式。基金托管人收到基金管理人发送的指令后，应对指令进行表面形式审查，验证指令的要素是否齐全，传真</w:t>
      </w:r>
      <w:proofErr w:type="gramStart"/>
      <w:r w:rsidRPr="00EF692E">
        <w:rPr>
          <w:rFonts w:hAnsi="宋体" w:hint="eastAsia"/>
          <w:szCs w:val="24"/>
        </w:rPr>
        <w:t>指令仅</w:t>
      </w:r>
      <w:proofErr w:type="gramEnd"/>
      <w:r w:rsidRPr="00EF692E">
        <w:rPr>
          <w:rFonts w:hAnsi="宋体" w:hint="eastAsia"/>
          <w:szCs w:val="24"/>
        </w:rPr>
        <w:t>对划款指令的印鉴及被授权人签章等通过肉眼辨识的方式与预留印鉴和签章样本进行比对，形式上不存在重大差异的，即视为通过表面审查。基金管理人出具的划款指令中的编号不属于指令要素，属于基金管理人内部业务信息，基金托管人不对指令编号承担任何审核职责；基金管理人应确保其在划款指令中填写的内容真实、准确、完整，划款指令编号不存在重复。因划款指令编号重复、编</w:t>
      </w:r>
      <w:r w:rsidRPr="00EF692E">
        <w:rPr>
          <w:rFonts w:hAnsi="宋体" w:hint="eastAsia"/>
          <w:szCs w:val="24"/>
        </w:rPr>
        <w:lastRenderedPageBreak/>
        <w:t>号不连续、空缺导致的重复性扣款，所产生的责任由基金管理人承担，与基金托管人无关。指令复核无误后应在规定期限内及时执行。指令若以传真方式发出，则正本由基金管理人保管，基金托管人保管指令传真件。当两者不一致时，以基金托管人收到的指令传真件为准。</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6.3.5</w:t>
      </w:r>
      <w:r w:rsidRPr="00EF692E">
        <w:rPr>
          <w:rFonts w:hAnsi="宋体" w:hint="eastAsia"/>
          <w:szCs w:val="24"/>
        </w:rPr>
        <w:t>基金管理人向基金托管人下达指令时，应确保基金银行账户有足够的资金余额，对基金管理人在没有充足资金的情况下向基金托管人发出的指令，基金托管人可不予执行，并立即通知基金管理人，基金托管人已依约履行相应义务后，不承担因为不执行该指令而造成损失的责任。</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6.4基金管理人发送错误指令的情形和处理程序</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6.4.1基金管理人发送错误指令的情形包括指令违反相关法律法规或基金合同、指令发送人员无权或超越权限发送指令及交割信息错误，指令中重要信息模糊不清或不全等。</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6.4.2基金托管人在履行监督职能时，发现基金管理人的指令错误时，有权</w:t>
      </w:r>
      <w:r w:rsidRPr="00EF692E">
        <w:rPr>
          <w:rFonts w:hAnsi="宋体" w:hint="eastAsia"/>
          <w:szCs w:val="24"/>
        </w:rPr>
        <w:t>视情况暂缓或拒绝执行，并应及时通知基金管理人改正。</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6.5基金托管人依照法律法规</w:t>
      </w:r>
      <w:r w:rsidRPr="00EF692E">
        <w:rPr>
          <w:rFonts w:hAnsi="宋体" w:hint="eastAsia"/>
          <w:szCs w:val="24"/>
        </w:rPr>
        <w:t>暂缓、</w:t>
      </w:r>
      <w:r w:rsidRPr="00EF692E">
        <w:rPr>
          <w:rFonts w:hAnsi="宋体"/>
          <w:szCs w:val="24"/>
        </w:rPr>
        <w:t>拒绝执行指令的情形和处理程序</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基金托管人发现基金管理人发送的指令违反《基金法》、基金合同、本协议或有关基金法规的有关规定，有权视情况暂缓执行或不予执行，并应及时以书面形式通知基金管理人纠正，基金托管人不承担相应损失和责任。对基金管理人更正并重新发送后的指令经基金托管人核对确认后方能执行。</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6.6基金托管人未按照基金管理人指令执行的处理方法</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基金托管人由于自身过错原因造成未按照或者未及时按照基金管理人发送的符合法律法规规定以及基金合同、本协议约定的指令执行，给基金份额持有人或</w:t>
      </w:r>
      <w:r w:rsidRPr="00EF692E">
        <w:rPr>
          <w:rFonts w:hAnsi="宋体"/>
          <w:szCs w:val="24"/>
        </w:rPr>
        <w:t>基金财产</w:t>
      </w:r>
      <w:r w:rsidRPr="00EF692E">
        <w:rPr>
          <w:rFonts w:hAnsi="宋体" w:hint="eastAsia"/>
          <w:szCs w:val="24"/>
        </w:rPr>
        <w:t>或基金管理人造成损失的，应承担相应的责任，但如遇到不可抗力的情况除外。</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6.7更换被授权人的程序</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基金管理人撤换被授权人员或改变被授权人员的权限，必须提前至少</w:t>
      </w:r>
      <w:r w:rsidRPr="00EF692E">
        <w:rPr>
          <w:rFonts w:hAnsi="宋体"/>
          <w:szCs w:val="24"/>
        </w:rPr>
        <w:t>1个交</w:t>
      </w:r>
      <w:r w:rsidRPr="00EF692E">
        <w:rPr>
          <w:rFonts w:hAnsi="宋体"/>
          <w:szCs w:val="24"/>
        </w:rPr>
        <w:lastRenderedPageBreak/>
        <w:t>易日，使用传真方式或其他基金托管人和基金管理人书面确认过的方式向基金托管人发出由基金管理人签字和盖章的被授权人变更通知，同时电话通知基金托管人，基金托管人收到变更通知当日与基金管理人确认。被授权人变更通知，</w:t>
      </w:r>
      <w:r w:rsidRPr="00EF692E">
        <w:rPr>
          <w:rFonts w:hAnsi="宋体" w:hint="eastAsia"/>
          <w:szCs w:val="24"/>
        </w:rPr>
        <w:t>自基金管理人收到基金托管人确认时开始生效</w:t>
      </w:r>
      <w:r w:rsidRPr="00EF692E">
        <w:rPr>
          <w:rFonts w:hAnsi="宋体"/>
          <w:szCs w:val="24"/>
        </w:rPr>
        <w:t>。</w:t>
      </w:r>
      <w:r w:rsidRPr="00EF692E">
        <w:rPr>
          <w:rFonts w:hAnsi="宋体" w:hint="eastAsia"/>
          <w:szCs w:val="24"/>
        </w:rPr>
        <w:t>如</w:t>
      </w:r>
      <w:r w:rsidRPr="00EF692E">
        <w:rPr>
          <w:rFonts w:hAnsi="宋体"/>
          <w:szCs w:val="24"/>
        </w:rPr>
        <w:t>变更</w:t>
      </w:r>
      <w:r w:rsidRPr="00EF692E">
        <w:rPr>
          <w:rFonts w:hAnsi="宋体" w:hint="eastAsia"/>
          <w:szCs w:val="24"/>
        </w:rPr>
        <w:t>通知中载明的生效日期早于基金托管人与基金管理人确认的时间，则以基金托管人与基金管理人确认的时间为</w:t>
      </w:r>
      <w:r w:rsidRPr="00EF692E">
        <w:rPr>
          <w:rFonts w:hAnsi="宋体"/>
          <w:szCs w:val="24"/>
        </w:rPr>
        <w:t>变更</w:t>
      </w:r>
      <w:r w:rsidRPr="00EF692E">
        <w:rPr>
          <w:rFonts w:hAnsi="宋体" w:hint="eastAsia"/>
          <w:szCs w:val="24"/>
        </w:rPr>
        <w:t>通知生效日期；如</w:t>
      </w:r>
      <w:r w:rsidRPr="00EF692E">
        <w:rPr>
          <w:rFonts w:hAnsi="宋体"/>
          <w:szCs w:val="24"/>
        </w:rPr>
        <w:t>变更</w:t>
      </w:r>
      <w:r w:rsidRPr="00EF692E">
        <w:rPr>
          <w:rFonts w:hAnsi="宋体" w:hint="eastAsia"/>
          <w:szCs w:val="24"/>
        </w:rPr>
        <w:t>通知中载明的生效日期晚于基金托管人与基金管理人确认的时间，则以</w:t>
      </w:r>
      <w:r w:rsidRPr="00EF692E">
        <w:rPr>
          <w:rFonts w:hAnsi="宋体"/>
          <w:szCs w:val="24"/>
        </w:rPr>
        <w:t>变更</w:t>
      </w:r>
      <w:r w:rsidRPr="00EF692E">
        <w:rPr>
          <w:rFonts w:hAnsi="宋体" w:hint="eastAsia"/>
          <w:szCs w:val="24"/>
        </w:rPr>
        <w:t>通知中载明的日期为</w:t>
      </w:r>
      <w:r w:rsidRPr="00EF692E">
        <w:rPr>
          <w:rFonts w:hAnsi="宋体"/>
          <w:szCs w:val="24"/>
        </w:rPr>
        <w:t>变更</w:t>
      </w:r>
      <w:r w:rsidRPr="00EF692E">
        <w:rPr>
          <w:rFonts w:hAnsi="宋体" w:hint="eastAsia"/>
          <w:szCs w:val="24"/>
        </w:rPr>
        <w:t>通知生效日期。</w:t>
      </w:r>
      <w:r w:rsidRPr="00EF692E">
        <w:rPr>
          <w:rFonts w:hAnsi="宋体"/>
          <w:szCs w:val="24"/>
        </w:rPr>
        <w:t>基金管理人在此后3个工作日内将被授权人变更通知的正本送交基金托管人。被授权人变更通知的正本应与传真内容一致，若有不一致的，以基金托管人收到的传真件为准。在被授权人变更通知生效之前，基金托管人所接收的原被授权人所签发的划款指令及其它文件仍然完全有效。基金管理人更换被授权人通知生效后，对于已被撤换的人员无权发送的指令，或被改变授权人员超权限发送的指令，基金管理人不承担责任。</w:t>
      </w:r>
    </w:p>
    <w:p w:rsidR="0024774E" w:rsidRPr="00EF692E" w:rsidRDefault="000975C7">
      <w:pPr>
        <w:pStyle w:val="1"/>
        <w:spacing w:line="520" w:lineRule="atLeast"/>
        <w:ind w:firstLineChars="200" w:firstLine="482"/>
        <w:rPr>
          <w:bCs/>
          <w:color w:val="auto"/>
          <w:szCs w:val="24"/>
        </w:rPr>
      </w:pPr>
      <w:bookmarkStart w:id="28" w:name="_Toc146725837"/>
      <w:r w:rsidRPr="00EF692E">
        <w:rPr>
          <w:rFonts w:hint="eastAsia"/>
          <w:bCs/>
          <w:color w:val="auto"/>
          <w:szCs w:val="24"/>
        </w:rPr>
        <w:t>第七条</w:t>
      </w:r>
      <w:r w:rsidRPr="00EF692E">
        <w:rPr>
          <w:bCs/>
          <w:color w:val="auto"/>
          <w:szCs w:val="24"/>
        </w:rPr>
        <w:t xml:space="preserve"> </w:t>
      </w:r>
      <w:r w:rsidRPr="00EF692E">
        <w:rPr>
          <w:rFonts w:hint="eastAsia"/>
          <w:bCs/>
          <w:color w:val="auto"/>
          <w:szCs w:val="24"/>
        </w:rPr>
        <w:t>交易及清算交收安排</w:t>
      </w:r>
      <w:bookmarkEnd w:id="28"/>
    </w:p>
    <w:p w:rsidR="0024774E" w:rsidRPr="00EF692E" w:rsidRDefault="000975C7">
      <w:pPr>
        <w:pStyle w:val="20"/>
        <w:spacing w:before="0" w:after="0" w:line="520" w:lineRule="atLeast"/>
        <w:rPr>
          <w:rFonts w:hAnsi="宋体"/>
          <w:szCs w:val="24"/>
        </w:rPr>
      </w:pPr>
      <w:r w:rsidRPr="00EF692E">
        <w:rPr>
          <w:rFonts w:hAnsi="宋体"/>
          <w:szCs w:val="24"/>
        </w:rPr>
        <w:t>7.1选择代理证券</w:t>
      </w:r>
      <w:r w:rsidRPr="00EF692E">
        <w:rPr>
          <w:rFonts w:hAnsi="宋体" w:hint="eastAsia"/>
          <w:szCs w:val="24"/>
        </w:rPr>
        <w:t>买卖的证券经营机构</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7.1.1基金管理人应制</w:t>
      </w:r>
      <w:proofErr w:type="gramStart"/>
      <w:r w:rsidRPr="00EF692E">
        <w:rPr>
          <w:rFonts w:hAnsi="宋体" w:hint="eastAsia"/>
          <w:szCs w:val="24"/>
        </w:rPr>
        <w:t>定选择</w:t>
      </w:r>
      <w:proofErr w:type="gramEnd"/>
      <w:r w:rsidRPr="00EF692E">
        <w:rPr>
          <w:rFonts w:hAnsi="宋体" w:hint="eastAsia"/>
          <w:szCs w:val="24"/>
        </w:rPr>
        <w:t>代理证券买卖的证券经营机构的标准和程序。基金管理人负责选择代理本基金证券买卖的证券经营机构，使用其交易单元作为基金的专用交易单元。基金管理人和被选中的证券经营机构签订委托协议，由基金管理人提前通知基金托管人。</w:t>
      </w:r>
    </w:p>
    <w:p w:rsidR="0024774E" w:rsidRPr="00EF692E" w:rsidRDefault="000975C7">
      <w:pPr>
        <w:pStyle w:val="20"/>
        <w:spacing w:before="0" w:after="0" w:line="520" w:lineRule="atLeast"/>
        <w:ind w:left="0" w:firstLine="480"/>
        <w:rPr>
          <w:rFonts w:hAnsi="宋体"/>
          <w:szCs w:val="24"/>
        </w:rPr>
      </w:pPr>
      <w:r w:rsidRPr="00EF692E">
        <w:rPr>
          <w:rFonts w:hAnsi="宋体"/>
          <w:szCs w:val="24"/>
        </w:rPr>
        <w:t>7.1.2基金管理人应及时将基金专用交易单元号、佣金费率等基本信息以及变更情况以书面形式通知基金托管人。</w:t>
      </w:r>
    </w:p>
    <w:p w:rsidR="0024774E" w:rsidRPr="00EF692E" w:rsidRDefault="000975C7">
      <w:pPr>
        <w:pStyle w:val="20"/>
        <w:spacing w:before="0" w:after="0" w:line="520" w:lineRule="atLeast"/>
        <w:rPr>
          <w:rFonts w:hAnsi="宋体"/>
          <w:szCs w:val="24"/>
        </w:rPr>
      </w:pPr>
      <w:r w:rsidRPr="00EF692E">
        <w:rPr>
          <w:rFonts w:hAnsi="宋体"/>
          <w:szCs w:val="24"/>
        </w:rPr>
        <w:t>7.2清算与交割</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7.2.1基金投资证券后的清算交收安排</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本基金投资于证券发生的所有场内、场外交易的资金清算交割，全部由基金托管人负责办理。本基金证券投资的清算交割，由基金托管人通过中登公司</w:t>
      </w:r>
      <w:r w:rsidRPr="00EF692E">
        <w:rPr>
          <w:rFonts w:hAnsi="宋体"/>
          <w:szCs w:val="24"/>
        </w:rPr>
        <w:t>及清算代理银行办理。</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lastRenderedPageBreak/>
        <w:t>交易及清算交收安排中管理人应为托管人预留</w:t>
      </w:r>
      <w:r w:rsidRPr="00EF692E">
        <w:rPr>
          <w:rFonts w:hAnsi="宋体"/>
          <w:szCs w:val="24"/>
        </w:rPr>
        <w:t>2个小时的指令处理时间，当日15:00之后收到的指令，托管人尽力负责但不承诺指令支付成功。如果因基金托管人过错原因在清算和交收中造成基金财产的损失，应由基金托管人负责赔偿基金的损失；如果因为基金管理人违反法律法规的规定进行证券投资或违反双方签订的《证券交易资金结算协议》而造成基金投资清算困难和风险的，基金托管人发现后应立即通知基金管理人，由基金管理人负责解决，由此给基金造成的损失由基金管理人承担。</w:t>
      </w:r>
    </w:p>
    <w:p w:rsidR="0024774E" w:rsidRPr="00EF692E" w:rsidRDefault="000975C7">
      <w:pPr>
        <w:pStyle w:val="20"/>
        <w:spacing w:before="0" w:after="0" w:line="520" w:lineRule="atLeast"/>
        <w:ind w:left="0" w:firstLine="480"/>
        <w:rPr>
          <w:rFonts w:hAnsi="宋体"/>
          <w:szCs w:val="24"/>
        </w:rPr>
      </w:pPr>
      <w:r w:rsidRPr="00EF692E">
        <w:rPr>
          <w:rFonts w:hAnsi="宋体"/>
          <w:szCs w:val="24"/>
        </w:rPr>
        <w:t>7.2.2基金出现超买或超卖的责任认定及处理程序</w:t>
      </w:r>
    </w:p>
    <w:p w:rsidR="0024774E" w:rsidRPr="00EF692E" w:rsidRDefault="000975C7">
      <w:pPr>
        <w:pStyle w:val="20"/>
        <w:spacing w:before="0" w:after="0" w:line="520" w:lineRule="atLeast"/>
        <w:ind w:left="0" w:firstLine="480"/>
        <w:rPr>
          <w:rFonts w:hAnsi="宋体"/>
          <w:szCs w:val="24"/>
        </w:rPr>
      </w:pPr>
      <w:r w:rsidRPr="00EF692E">
        <w:rPr>
          <w:rFonts w:hAnsi="宋体"/>
          <w:szCs w:val="24"/>
        </w:rPr>
        <w:t>基金托管人在履行监督职能时，如果发现基金投资证券过程中出现超买或超卖现象，应立即提醒基金管理人，由基金管理人负责解决，由此给基金造成的损失由基金管理人承担。</w:t>
      </w:r>
    </w:p>
    <w:p w:rsidR="0024774E" w:rsidRPr="00EF692E" w:rsidRDefault="000975C7">
      <w:pPr>
        <w:pStyle w:val="20"/>
        <w:spacing w:before="0" w:after="0" w:line="520" w:lineRule="atLeast"/>
        <w:ind w:left="0" w:firstLine="480"/>
        <w:rPr>
          <w:rFonts w:hAnsi="宋体"/>
          <w:szCs w:val="24"/>
        </w:rPr>
      </w:pPr>
      <w:r w:rsidRPr="00EF692E">
        <w:rPr>
          <w:rFonts w:hAnsi="宋体"/>
          <w:szCs w:val="24"/>
        </w:rPr>
        <w:t>7.2.3基金无法按时支付证券清算款的责任认定及处理程序</w:t>
      </w:r>
    </w:p>
    <w:p w:rsidR="0024774E" w:rsidRPr="00EF692E" w:rsidRDefault="000975C7">
      <w:pPr>
        <w:pStyle w:val="20"/>
        <w:spacing w:before="0" w:after="0" w:line="520" w:lineRule="atLeast"/>
        <w:ind w:left="0" w:firstLine="480"/>
        <w:rPr>
          <w:rFonts w:hAnsi="宋体"/>
          <w:szCs w:val="24"/>
        </w:rPr>
      </w:pPr>
      <w:r w:rsidRPr="00EF692E">
        <w:rPr>
          <w:rFonts w:hAnsi="宋体"/>
          <w:szCs w:val="24"/>
        </w:rPr>
        <w:t>基金管理人应确保基金托管人在执行基金管理人发送的指令时，有足够的头寸进行交收。基金的资金头寸不足时，基金托管人有权拒绝基金管理人发送的划款指令</w:t>
      </w:r>
      <w:r w:rsidRPr="00EF692E">
        <w:rPr>
          <w:rFonts w:hAnsi="宋体" w:hint="eastAsia"/>
          <w:szCs w:val="24"/>
        </w:rPr>
        <w:t>，并立即通知基金管理人</w:t>
      </w:r>
      <w:r w:rsidRPr="00EF692E">
        <w:rPr>
          <w:rFonts w:hAnsi="宋体"/>
          <w:szCs w:val="24"/>
        </w:rPr>
        <w:t>。基金管理人在发送划款指令时应充分考虑基金托管人的划款处理所需的合理时间。如由于基金管理人的原因导致无法按时支付证券清算款，由此给基金造成的损失由基金管理人承担。</w:t>
      </w:r>
    </w:p>
    <w:p w:rsidR="0024774E" w:rsidRPr="00EF692E" w:rsidRDefault="000975C7">
      <w:pPr>
        <w:pStyle w:val="20"/>
        <w:spacing w:before="0" w:after="0" w:line="520" w:lineRule="atLeast"/>
        <w:ind w:left="0" w:firstLine="480"/>
        <w:rPr>
          <w:rFonts w:hAnsi="宋体"/>
          <w:szCs w:val="24"/>
        </w:rPr>
      </w:pPr>
      <w:r w:rsidRPr="00EF692E">
        <w:rPr>
          <w:rFonts w:hAnsi="宋体" w:hint="eastAsia"/>
          <w:szCs w:val="24"/>
        </w:rPr>
        <w:t>在基金资金头寸充足的情况下，基金托管人对基金管理人符合法律法规、基金合同、本托管协议的指令不得拖延或拒绝执行。如由于基金托管人的过错原因导致基金无法按时支付证券清算款，由此给基金造成的损失由基金托管人承担。</w:t>
      </w:r>
    </w:p>
    <w:p w:rsidR="0024774E" w:rsidRPr="00EF692E" w:rsidRDefault="000975C7">
      <w:pPr>
        <w:pStyle w:val="20"/>
        <w:spacing w:before="0" w:after="0" w:line="520" w:lineRule="atLeast"/>
        <w:rPr>
          <w:rFonts w:hAnsi="宋体"/>
          <w:szCs w:val="24"/>
        </w:rPr>
      </w:pPr>
      <w:r w:rsidRPr="00EF692E">
        <w:rPr>
          <w:rFonts w:hAnsi="宋体"/>
          <w:szCs w:val="24"/>
        </w:rPr>
        <w:t>7.3资金、证券账目及交易记录的核对</w:t>
      </w:r>
    </w:p>
    <w:p w:rsidR="0024774E" w:rsidRPr="00EF692E" w:rsidRDefault="000975C7">
      <w:pPr>
        <w:pStyle w:val="20"/>
        <w:spacing w:before="0" w:after="0" w:line="520" w:lineRule="atLeast"/>
        <w:ind w:left="0" w:firstLine="480"/>
        <w:rPr>
          <w:rFonts w:hAnsi="宋体"/>
          <w:szCs w:val="24"/>
        </w:rPr>
      </w:pPr>
      <w:r w:rsidRPr="00EF692E">
        <w:rPr>
          <w:rFonts w:hAnsi="宋体"/>
          <w:szCs w:val="24"/>
        </w:rPr>
        <w:t>7.3.1基金管理人与基金托管人按日进行交易记录的核对。对外披露基金份额净值之前，必须保证当天所有实际交易记录与基金会计账簿上的交易记录完全一致。如果实际交易记录与会计账簿记录不一致，造成基金会计核算不完整或不真实，由此导致的损失由责任方承担。</w:t>
      </w:r>
    </w:p>
    <w:p w:rsidR="0024774E" w:rsidRPr="00EF692E" w:rsidRDefault="000975C7">
      <w:pPr>
        <w:pStyle w:val="20"/>
        <w:spacing w:before="0" w:after="0" w:line="520" w:lineRule="atLeast"/>
        <w:ind w:left="0" w:firstLine="480"/>
        <w:rPr>
          <w:rFonts w:hAnsi="宋体"/>
          <w:szCs w:val="24"/>
        </w:rPr>
      </w:pPr>
      <w:r w:rsidRPr="00EF692E">
        <w:rPr>
          <w:rFonts w:hAnsi="宋体"/>
          <w:szCs w:val="24"/>
        </w:rPr>
        <w:t>7.3.2对基金的资金账目，由相关各方每日对账一次，确保相关各方账</w:t>
      </w:r>
      <w:proofErr w:type="gramStart"/>
      <w:r w:rsidRPr="00EF692E">
        <w:rPr>
          <w:rFonts w:hAnsi="宋体" w:hint="eastAsia"/>
          <w:szCs w:val="24"/>
        </w:rPr>
        <w:t>账</w:t>
      </w:r>
      <w:proofErr w:type="gramEnd"/>
      <w:r w:rsidRPr="00EF692E">
        <w:rPr>
          <w:rFonts w:hAnsi="宋体" w:hint="eastAsia"/>
          <w:szCs w:val="24"/>
        </w:rPr>
        <w:t>相</w:t>
      </w:r>
      <w:r w:rsidRPr="00EF692E">
        <w:rPr>
          <w:rFonts w:hAnsi="宋体" w:hint="eastAsia"/>
          <w:szCs w:val="24"/>
        </w:rPr>
        <w:lastRenderedPageBreak/>
        <w:t>符。对基金证券账目，由相关各方每日进行对账。对实物</w:t>
      </w:r>
      <w:proofErr w:type="gramStart"/>
      <w:r w:rsidRPr="00EF692E">
        <w:rPr>
          <w:rFonts w:hAnsi="宋体" w:hint="eastAsia"/>
          <w:szCs w:val="24"/>
        </w:rPr>
        <w:t>券</w:t>
      </w:r>
      <w:proofErr w:type="gramEnd"/>
      <w:r w:rsidRPr="00EF692E">
        <w:rPr>
          <w:rFonts w:hAnsi="宋体" w:hint="eastAsia"/>
          <w:szCs w:val="24"/>
        </w:rPr>
        <w:t>账目，每月月末由相关各方进行账实核对。对交易记录，由相关各方每日对账一次。</w:t>
      </w:r>
    </w:p>
    <w:p w:rsidR="0024774E" w:rsidRPr="00EF692E" w:rsidRDefault="000975C7">
      <w:pPr>
        <w:pStyle w:val="20"/>
        <w:spacing w:before="0" w:after="0" w:line="520" w:lineRule="atLeast"/>
        <w:ind w:left="0" w:firstLine="480"/>
        <w:rPr>
          <w:rFonts w:hAnsi="宋体"/>
          <w:szCs w:val="24"/>
        </w:rPr>
      </w:pPr>
      <w:r w:rsidRPr="00EF692E">
        <w:rPr>
          <w:rFonts w:hAnsi="宋体"/>
          <w:szCs w:val="24"/>
        </w:rPr>
        <w:t>7.4申购、赎回、转换开放式基金的资金清算、数据传递及基金管理人、基金托管人的责任</w:t>
      </w:r>
    </w:p>
    <w:p w:rsidR="0024774E" w:rsidRPr="00EF692E" w:rsidRDefault="000975C7">
      <w:pPr>
        <w:pStyle w:val="20"/>
        <w:spacing w:before="0" w:after="0" w:line="520" w:lineRule="atLeast"/>
        <w:ind w:left="0" w:firstLine="480"/>
        <w:rPr>
          <w:rFonts w:hAnsi="宋体"/>
          <w:szCs w:val="24"/>
        </w:rPr>
      </w:pPr>
      <w:r w:rsidRPr="00EF692E">
        <w:rPr>
          <w:rFonts w:hAnsi="宋体"/>
          <w:szCs w:val="24"/>
        </w:rPr>
        <w:t>7.4.1基金管理人和基金托管人在基金的申购赎回、转换中的责任</w:t>
      </w:r>
    </w:p>
    <w:p w:rsidR="0024774E" w:rsidRPr="00EF692E" w:rsidRDefault="000975C7">
      <w:pPr>
        <w:pStyle w:val="20"/>
        <w:spacing w:before="0" w:after="0" w:line="520" w:lineRule="atLeast"/>
        <w:ind w:left="0" w:firstLine="480"/>
        <w:rPr>
          <w:rFonts w:hAnsi="宋体"/>
          <w:szCs w:val="24"/>
        </w:rPr>
      </w:pPr>
      <w:r w:rsidRPr="00EF692E">
        <w:rPr>
          <w:rFonts w:hAnsi="宋体"/>
          <w:szCs w:val="24"/>
        </w:rPr>
        <w:t>基金投资人可通过基金管理人的直销</w:t>
      </w:r>
      <w:r w:rsidRPr="00EF692E">
        <w:rPr>
          <w:rFonts w:hAnsi="宋体" w:hint="eastAsia"/>
          <w:szCs w:val="24"/>
        </w:rPr>
        <w:t>机构</w:t>
      </w:r>
      <w:r w:rsidRPr="00EF692E">
        <w:rPr>
          <w:rFonts w:hAnsi="宋体"/>
          <w:szCs w:val="24"/>
        </w:rPr>
        <w:t>和其他销售机构的</w:t>
      </w:r>
      <w:r w:rsidRPr="00EF692E">
        <w:rPr>
          <w:rFonts w:hAnsi="宋体" w:hint="eastAsia"/>
          <w:szCs w:val="24"/>
        </w:rPr>
        <w:t>销售网点进行申购和赎回申请，基金份额申购、赎回的确认、清算由基金管理人或其委托的登记机构负责。基金托管人负责接收并确认资金的到账情况，以及依照基金管理人的投资指令划付赎回款项。</w:t>
      </w:r>
    </w:p>
    <w:p w:rsidR="0024774E" w:rsidRPr="00EF692E" w:rsidRDefault="000975C7">
      <w:pPr>
        <w:pStyle w:val="20"/>
        <w:spacing w:before="0" w:after="0" w:line="520" w:lineRule="atLeast"/>
        <w:ind w:left="0" w:firstLine="480"/>
        <w:rPr>
          <w:rFonts w:hAnsi="宋体"/>
          <w:szCs w:val="24"/>
        </w:rPr>
      </w:pPr>
      <w:r w:rsidRPr="00EF692E">
        <w:rPr>
          <w:rFonts w:hAnsi="宋体"/>
          <w:szCs w:val="24"/>
        </w:rPr>
        <w:t>7.4.2基金的数据传递</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基金管理人应保证本基金（或本基金管理人委托）的登记机构于每个开放日15：00之前将本基金的申购、赎回、转换的数据传送给基金托管人。基金管理人应对传递的数据的真实性、准确性和完整性负责。</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登记机构应通过与基金管理人建立的系统发送有关数据，如因各种原因，该系统无法正常发送，双方可协商解决处理方式。</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7.4.3基金的资金清算</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基金托管专户与“基金清算账户”间的资金结算遵循“全额清算、净额交收”的原则，每日按照托管专户应收资金与应付资金的差额来确定托管</w:t>
      </w:r>
      <w:proofErr w:type="gramStart"/>
      <w:r w:rsidRPr="00EF692E">
        <w:rPr>
          <w:rFonts w:hAnsi="宋体" w:hint="eastAsia"/>
          <w:szCs w:val="24"/>
        </w:rPr>
        <w:t>专户净应收</w:t>
      </w:r>
      <w:proofErr w:type="gramEnd"/>
      <w:r w:rsidRPr="00EF692E">
        <w:rPr>
          <w:rFonts w:hAnsi="宋体" w:hint="eastAsia"/>
          <w:szCs w:val="24"/>
        </w:rPr>
        <w:t>额或净应付额，以此确定资金交收额。</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如果当日基金为净应收款，基金管理人应在</w:t>
      </w:r>
      <w:r w:rsidRPr="00EF692E">
        <w:rPr>
          <w:rFonts w:hAnsi="宋体"/>
          <w:szCs w:val="24"/>
        </w:rPr>
        <w:t>T日（T日指交</w:t>
      </w:r>
      <w:proofErr w:type="gramStart"/>
      <w:r w:rsidRPr="00EF692E">
        <w:rPr>
          <w:rFonts w:hAnsi="宋体" w:hint="eastAsia"/>
          <w:szCs w:val="24"/>
        </w:rPr>
        <w:t>收当前</w:t>
      </w:r>
      <w:proofErr w:type="gramEnd"/>
      <w:r w:rsidRPr="00EF692E">
        <w:rPr>
          <w:rFonts w:hAnsi="宋体" w:hint="eastAsia"/>
          <w:szCs w:val="24"/>
        </w:rPr>
        <w:t>工作日，下同）</w:t>
      </w:r>
      <w:r w:rsidRPr="00EF692E">
        <w:rPr>
          <w:rFonts w:hAnsi="宋体"/>
          <w:szCs w:val="24"/>
        </w:rPr>
        <w:t>15:00之前查收资金是否到账，对于未准时到账的资金，</w:t>
      </w:r>
      <w:r w:rsidRPr="00EF692E">
        <w:rPr>
          <w:rFonts w:hAnsi="宋体" w:hint="eastAsia"/>
          <w:szCs w:val="24"/>
        </w:rPr>
        <w:t>基金管理人应及时划付</w:t>
      </w:r>
      <w:r w:rsidRPr="00EF692E">
        <w:rPr>
          <w:rFonts w:hAnsi="宋体"/>
          <w:szCs w:val="24"/>
        </w:rPr>
        <w:t>。如果当日基金为净应付款，基金托管人应根据基金管理人的指令在T日中午12:00前进行划付，对于未准时划付的资金，基金管理人应及时通知基金托管人划付。</w:t>
      </w:r>
      <w:r w:rsidRPr="00EF692E">
        <w:rPr>
          <w:rFonts w:hAnsi="宋体" w:hint="eastAsia"/>
          <w:szCs w:val="24"/>
        </w:rPr>
        <w:t>因基金托管专户没有足够的资金，导致基金托管人不能按时拨付，基金托管人应及时通知基金管理人，并对由此造成的延误不承担相应责任</w:t>
      </w:r>
      <w:r w:rsidRPr="00EF692E">
        <w:rPr>
          <w:rFonts w:hAnsi="宋体"/>
          <w:szCs w:val="24"/>
        </w:rPr>
        <w:t>。</w:t>
      </w:r>
    </w:p>
    <w:p w:rsidR="0024774E" w:rsidRPr="00EF692E" w:rsidRDefault="000975C7">
      <w:pPr>
        <w:pStyle w:val="1"/>
        <w:spacing w:line="520" w:lineRule="atLeast"/>
        <w:ind w:firstLineChars="200" w:firstLine="482"/>
        <w:rPr>
          <w:bCs/>
          <w:color w:val="auto"/>
          <w:szCs w:val="24"/>
        </w:rPr>
      </w:pPr>
      <w:bookmarkStart w:id="29" w:name="_Toc146725838"/>
      <w:bookmarkStart w:id="30" w:name="_Toc296551344"/>
      <w:r w:rsidRPr="00EF692E">
        <w:rPr>
          <w:rFonts w:hint="eastAsia"/>
          <w:bCs/>
          <w:color w:val="auto"/>
          <w:szCs w:val="24"/>
        </w:rPr>
        <w:lastRenderedPageBreak/>
        <w:t>第八条</w:t>
      </w:r>
      <w:r w:rsidRPr="00EF692E">
        <w:rPr>
          <w:bCs/>
          <w:color w:val="auto"/>
          <w:szCs w:val="24"/>
        </w:rPr>
        <w:t xml:space="preserve"> </w:t>
      </w:r>
      <w:r w:rsidRPr="00EF692E">
        <w:rPr>
          <w:rFonts w:hint="eastAsia"/>
          <w:bCs/>
          <w:color w:val="auto"/>
          <w:szCs w:val="24"/>
        </w:rPr>
        <w:t>基金资产净值计算和会计核算</w:t>
      </w:r>
      <w:bookmarkEnd w:id="29"/>
      <w:bookmarkEnd w:id="30"/>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8.1基金</w:t>
      </w:r>
      <w:r w:rsidRPr="00EF692E">
        <w:rPr>
          <w:rFonts w:hAnsi="宋体" w:hint="eastAsia"/>
          <w:szCs w:val="24"/>
        </w:rPr>
        <w:t>资产净值的计算、复核的时间和程序</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8.1.1</w:t>
      </w:r>
      <w:r w:rsidRPr="00EF692E">
        <w:rPr>
          <w:rFonts w:hAnsi="宋体" w:hint="eastAsia"/>
          <w:szCs w:val="24"/>
        </w:rPr>
        <w:t>基金资产净值是指基金资产总值减去基金负债后的价值。各类基金份额净值是按照</w:t>
      </w:r>
      <w:r w:rsidRPr="00EF692E">
        <w:rPr>
          <w:rFonts w:hint="eastAsia"/>
          <w:bCs/>
        </w:rPr>
        <w:t>估值日</w:t>
      </w:r>
      <w:r w:rsidRPr="00EF692E">
        <w:rPr>
          <w:rFonts w:hAnsi="宋体" w:hint="eastAsia"/>
          <w:szCs w:val="24"/>
        </w:rPr>
        <w:t>各类</w:t>
      </w:r>
      <w:r w:rsidRPr="00EF692E">
        <w:rPr>
          <w:rFonts w:hint="eastAsia"/>
          <w:bCs/>
        </w:rPr>
        <w:t>基金份额的</w:t>
      </w:r>
      <w:r w:rsidRPr="00EF692E">
        <w:rPr>
          <w:rFonts w:hAnsi="宋体" w:hint="eastAsia"/>
          <w:szCs w:val="24"/>
        </w:rPr>
        <w:t>基金资产净值除以</w:t>
      </w:r>
      <w:r w:rsidRPr="00EF692E">
        <w:rPr>
          <w:rFonts w:hint="eastAsia"/>
          <w:bCs/>
        </w:rPr>
        <w:t>估值日</w:t>
      </w:r>
      <w:r w:rsidRPr="00EF692E">
        <w:rPr>
          <w:rFonts w:hAnsi="宋体" w:hint="eastAsia"/>
          <w:szCs w:val="24"/>
        </w:rPr>
        <w:t>该类基金份额的余额数量计算，均精确到</w:t>
      </w:r>
      <w:r w:rsidRPr="00EF692E">
        <w:rPr>
          <w:rFonts w:hAnsi="宋体"/>
          <w:szCs w:val="24"/>
        </w:rPr>
        <w:t>0.0001元，小数点后第5位四舍五入。基金管理人可以设立大额赎回情形下的净值精度应急调整机制。国家另有规定的，从其规定。</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8.1.2基金管理人</w:t>
      </w:r>
      <w:proofErr w:type="gramStart"/>
      <w:r w:rsidRPr="00EF692E">
        <w:rPr>
          <w:rFonts w:hAnsi="宋体" w:hint="eastAsia"/>
          <w:szCs w:val="24"/>
        </w:rPr>
        <w:t>应</w:t>
      </w:r>
      <w:r w:rsidRPr="00EF692E">
        <w:rPr>
          <w:rFonts w:hint="eastAsia"/>
          <w:bCs/>
        </w:rPr>
        <w:t>每个</w:t>
      </w:r>
      <w:proofErr w:type="gramEnd"/>
      <w:r w:rsidRPr="00EF692E">
        <w:rPr>
          <w:rFonts w:hint="eastAsia"/>
          <w:bCs/>
        </w:rPr>
        <w:t>估值日后2个工作日内</w:t>
      </w:r>
      <w:r w:rsidRPr="00EF692E">
        <w:rPr>
          <w:rFonts w:hAnsi="宋体" w:hint="eastAsia"/>
          <w:szCs w:val="24"/>
        </w:rPr>
        <w:t>对</w:t>
      </w:r>
      <w:r w:rsidRPr="00EF692E">
        <w:rPr>
          <w:rFonts w:hint="eastAsia"/>
          <w:bCs/>
        </w:rPr>
        <w:t>该估值日的</w:t>
      </w:r>
      <w:r w:rsidRPr="00EF692E">
        <w:rPr>
          <w:rFonts w:hAnsi="宋体" w:hint="eastAsia"/>
          <w:szCs w:val="24"/>
        </w:rPr>
        <w:t>基金资产估值，但基金管理人根据法律法规或基金合同的规定暂停估值时除外。估值原则应符合基金合同、《证券投资基金会计核算业务指引》及其他法律、法规的规定。基金管理人</w:t>
      </w:r>
      <w:r w:rsidRPr="00EF692E">
        <w:rPr>
          <w:rFonts w:hint="eastAsia"/>
          <w:bCs/>
        </w:rPr>
        <w:t>每个估值日后2个工作日内</w:t>
      </w:r>
      <w:r w:rsidRPr="00EF692E">
        <w:rPr>
          <w:rFonts w:hAnsi="宋体" w:hint="eastAsia"/>
          <w:szCs w:val="24"/>
        </w:rPr>
        <w:t>对</w:t>
      </w:r>
      <w:r w:rsidRPr="00EF692E">
        <w:rPr>
          <w:rFonts w:hint="eastAsia"/>
          <w:bCs/>
        </w:rPr>
        <w:t>该估值日的</w:t>
      </w:r>
      <w:r w:rsidRPr="00EF692E">
        <w:rPr>
          <w:rFonts w:hAnsi="宋体" w:hint="eastAsia"/>
          <w:szCs w:val="24"/>
        </w:rPr>
        <w:t>基金资产估值后，将基金净值信息结果发送基金托管人，经基金托管人复核无误后，由基金管理人</w:t>
      </w:r>
      <w:r w:rsidRPr="00EF692E">
        <w:rPr>
          <w:rFonts w:hint="eastAsia"/>
          <w:bCs/>
        </w:rPr>
        <w:t>按规定</w:t>
      </w:r>
      <w:r w:rsidRPr="00EF692E">
        <w:rPr>
          <w:rFonts w:hAnsi="宋体" w:hint="eastAsia"/>
          <w:szCs w:val="24"/>
        </w:rPr>
        <w:t>对外公布。</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8.1.3根据《基金法》，基金管理人计算并公告基金净值</w:t>
      </w:r>
      <w:r w:rsidRPr="00EF692E">
        <w:rPr>
          <w:rFonts w:hAnsi="宋体" w:hint="eastAsia"/>
          <w:szCs w:val="24"/>
        </w:rPr>
        <w:t>信息，基金托管人复核、审查基金管理人计算的基金净值信息。因此，本基金的会计责任方是基金管理人，就与本基金有关的会计问题，如经相关各方在平等基础上充分讨论后，仍无法达成一致的意见，按照基金管理人对基金净值信息的计算结果对外予以公布。</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8.2基金资产估值方法</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8.2.1估值对象</w:t>
      </w:r>
    </w:p>
    <w:p w:rsidR="0024774E" w:rsidRPr="00EF692E" w:rsidRDefault="000975C7">
      <w:pPr>
        <w:spacing w:line="520" w:lineRule="atLeast"/>
        <w:ind w:firstLineChars="200" w:firstLine="480"/>
        <w:rPr>
          <w:rFonts w:ascii="宋体" w:hAnsi="宋体"/>
          <w:sz w:val="24"/>
          <w:szCs w:val="24"/>
        </w:rPr>
      </w:pPr>
      <w:r w:rsidRPr="00EF692E">
        <w:rPr>
          <w:rFonts w:ascii="宋体" w:hAnsi="宋体" w:hint="eastAsia"/>
          <w:sz w:val="24"/>
          <w:szCs w:val="24"/>
        </w:rPr>
        <w:t>基金所拥有的证券投资基金、股票、存托凭证、债券、资产支持证券和银行存款本息、应收款项、其它投资等资产及负债。</w:t>
      </w:r>
    </w:p>
    <w:p w:rsidR="0024774E" w:rsidRPr="00EF692E" w:rsidRDefault="000975C7">
      <w:pPr>
        <w:spacing w:line="520" w:lineRule="atLeast"/>
        <w:ind w:firstLineChars="200" w:firstLine="480"/>
        <w:rPr>
          <w:bCs/>
          <w:sz w:val="24"/>
        </w:rPr>
      </w:pPr>
      <w:r w:rsidRPr="00EF692E">
        <w:rPr>
          <w:bCs/>
          <w:sz w:val="24"/>
        </w:rPr>
        <w:t>8.2.2</w:t>
      </w:r>
      <w:r w:rsidRPr="00EF692E">
        <w:rPr>
          <w:bCs/>
          <w:sz w:val="24"/>
        </w:rPr>
        <w:t>估值方法</w:t>
      </w:r>
    </w:p>
    <w:p w:rsidR="0024774E" w:rsidRPr="00EF692E" w:rsidRDefault="000975C7">
      <w:pPr>
        <w:spacing w:line="520" w:lineRule="atLeast"/>
        <w:ind w:firstLineChars="200" w:firstLine="480"/>
        <w:rPr>
          <w:bCs/>
          <w:sz w:val="24"/>
        </w:rPr>
      </w:pPr>
      <w:r w:rsidRPr="00EF692E">
        <w:rPr>
          <w:rFonts w:hint="eastAsia"/>
          <w:bCs/>
          <w:sz w:val="24"/>
        </w:rPr>
        <w:t>（</w:t>
      </w:r>
      <w:r w:rsidRPr="00EF692E">
        <w:rPr>
          <w:rFonts w:hint="eastAsia"/>
          <w:bCs/>
          <w:sz w:val="24"/>
        </w:rPr>
        <w:t>1</w:t>
      </w:r>
      <w:r w:rsidRPr="00EF692E">
        <w:rPr>
          <w:rFonts w:hint="eastAsia"/>
          <w:bCs/>
          <w:sz w:val="24"/>
        </w:rPr>
        <w:t>）基金的估值</w:t>
      </w:r>
    </w:p>
    <w:p w:rsidR="0024774E" w:rsidRPr="00EF692E" w:rsidRDefault="000975C7">
      <w:pPr>
        <w:spacing w:line="520" w:lineRule="atLeast"/>
        <w:ind w:firstLineChars="200" w:firstLine="480"/>
        <w:rPr>
          <w:bCs/>
          <w:sz w:val="24"/>
        </w:rPr>
      </w:pPr>
      <w:r w:rsidRPr="00EF692E">
        <w:rPr>
          <w:rFonts w:hint="eastAsia"/>
          <w:bCs/>
          <w:sz w:val="24"/>
        </w:rPr>
        <w:t>1</w:t>
      </w:r>
      <w:r w:rsidRPr="00EF692E">
        <w:rPr>
          <w:rFonts w:hint="eastAsia"/>
          <w:bCs/>
          <w:sz w:val="24"/>
        </w:rPr>
        <w:t>）本基金投资于非上市基金的估值</w:t>
      </w:r>
    </w:p>
    <w:p w:rsidR="0024774E" w:rsidRPr="00EF692E" w:rsidRDefault="000975C7">
      <w:pPr>
        <w:spacing w:line="520" w:lineRule="atLeast"/>
        <w:ind w:firstLineChars="200" w:firstLine="480"/>
        <w:rPr>
          <w:bCs/>
          <w:sz w:val="24"/>
        </w:rPr>
      </w:pPr>
      <w:r w:rsidRPr="00EF692E">
        <w:rPr>
          <w:rFonts w:hint="eastAsia"/>
          <w:bCs/>
          <w:sz w:val="24"/>
        </w:rPr>
        <w:t>①本基金投资的境内非货币市场基金，按所投资基金估值日的份额净值估值。</w:t>
      </w:r>
    </w:p>
    <w:p w:rsidR="0024774E" w:rsidRPr="00EF692E" w:rsidRDefault="000975C7">
      <w:pPr>
        <w:spacing w:line="520" w:lineRule="atLeast"/>
        <w:ind w:firstLineChars="200" w:firstLine="480"/>
        <w:rPr>
          <w:bCs/>
          <w:sz w:val="24"/>
        </w:rPr>
      </w:pPr>
      <w:r w:rsidRPr="00EF692E">
        <w:rPr>
          <w:rFonts w:hint="eastAsia"/>
          <w:bCs/>
          <w:sz w:val="24"/>
        </w:rPr>
        <w:t>②本基金投资的境内货币市场基金，按所投资基金前一估值日后至估值日期</w:t>
      </w:r>
      <w:r w:rsidRPr="00EF692E">
        <w:rPr>
          <w:rFonts w:hint="eastAsia"/>
          <w:bCs/>
          <w:sz w:val="24"/>
        </w:rPr>
        <w:lastRenderedPageBreak/>
        <w:t>间（含节假日）的万份（百份）收益计提估值日基金收益。如所投资的境内货币市场基金披露份额净值，则按所投资基金估值日的份额净值估值。</w:t>
      </w:r>
    </w:p>
    <w:p w:rsidR="0024774E" w:rsidRPr="00EF692E" w:rsidRDefault="000975C7">
      <w:pPr>
        <w:spacing w:line="520" w:lineRule="atLeast"/>
        <w:ind w:firstLineChars="200" w:firstLine="480"/>
        <w:rPr>
          <w:bCs/>
          <w:sz w:val="24"/>
        </w:rPr>
      </w:pPr>
      <w:r w:rsidRPr="00EF692E">
        <w:rPr>
          <w:rFonts w:hint="eastAsia"/>
          <w:bCs/>
          <w:sz w:val="24"/>
        </w:rPr>
        <w:t>2</w:t>
      </w:r>
      <w:r w:rsidRPr="00EF692E">
        <w:rPr>
          <w:rFonts w:hint="eastAsia"/>
          <w:bCs/>
          <w:sz w:val="24"/>
        </w:rPr>
        <w:t>）本基金投资于上市基金的估值</w:t>
      </w:r>
    </w:p>
    <w:p w:rsidR="0024774E" w:rsidRPr="00EF692E" w:rsidRDefault="000975C7">
      <w:pPr>
        <w:spacing w:line="520" w:lineRule="atLeast"/>
        <w:ind w:firstLineChars="200" w:firstLine="480"/>
        <w:rPr>
          <w:bCs/>
          <w:sz w:val="24"/>
        </w:rPr>
      </w:pPr>
      <w:r w:rsidRPr="00EF692E">
        <w:rPr>
          <w:rFonts w:hint="eastAsia"/>
          <w:bCs/>
          <w:sz w:val="24"/>
        </w:rPr>
        <w:t>①本基金投资的</w:t>
      </w:r>
      <w:r w:rsidRPr="00EF692E">
        <w:rPr>
          <w:rFonts w:hint="eastAsia"/>
          <w:bCs/>
          <w:sz w:val="24"/>
        </w:rPr>
        <w:t>ETF</w:t>
      </w:r>
      <w:r w:rsidRPr="00EF692E">
        <w:rPr>
          <w:rFonts w:hint="eastAsia"/>
          <w:bCs/>
          <w:sz w:val="24"/>
        </w:rPr>
        <w:t>基金，按所投资</w:t>
      </w:r>
      <w:r w:rsidRPr="00EF692E">
        <w:rPr>
          <w:rFonts w:hint="eastAsia"/>
          <w:bCs/>
          <w:sz w:val="24"/>
        </w:rPr>
        <w:t>ETF</w:t>
      </w:r>
      <w:r w:rsidRPr="00EF692E">
        <w:rPr>
          <w:rFonts w:hint="eastAsia"/>
          <w:bCs/>
          <w:sz w:val="24"/>
        </w:rPr>
        <w:t>基金估值日的收盘价估值。</w:t>
      </w:r>
    </w:p>
    <w:p w:rsidR="0024774E" w:rsidRPr="00EF692E" w:rsidRDefault="000975C7">
      <w:pPr>
        <w:spacing w:line="520" w:lineRule="atLeast"/>
        <w:ind w:firstLineChars="200" w:firstLine="480"/>
        <w:rPr>
          <w:bCs/>
          <w:sz w:val="24"/>
        </w:rPr>
      </w:pPr>
      <w:r w:rsidRPr="00EF692E">
        <w:rPr>
          <w:rFonts w:hint="eastAsia"/>
          <w:bCs/>
          <w:sz w:val="24"/>
        </w:rPr>
        <w:t>②本基金投资的境内上市开放式基金（</w:t>
      </w:r>
      <w:r w:rsidRPr="00EF692E">
        <w:rPr>
          <w:rFonts w:hint="eastAsia"/>
          <w:bCs/>
          <w:sz w:val="24"/>
        </w:rPr>
        <w:t>LOF</w:t>
      </w:r>
      <w:r w:rsidRPr="00EF692E">
        <w:rPr>
          <w:rFonts w:hint="eastAsia"/>
          <w:bCs/>
          <w:sz w:val="24"/>
        </w:rPr>
        <w:t>），按所投资基金估值日的份额净值估值。</w:t>
      </w:r>
    </w:p>
    <w:p w:rsidR="0024774E" w:rsidRPr="00EF692E" w:rsidRDefault="000975C7">
      <w:pPr>
        <w:spacing w:line="520" w:lineRule="atLeast"/>
        <w:ind w:firstLineChars="200" w:firstLine="480"/>
        <w:rPr>
          <w:bCs/>
          <w:sz w:val="24"/>
        </w:rPr>
      </w:pPr>
      <w:r w:rsidRPr="00EF692E">
        <w:rPr>
          <w:rFonts w:hint="eastAsia"/>
          <w:bCs/>
          <w:sz w:val="24"/>
        </w:rPr>
        <w:t>③本基金投资的境内上市定期开放式基金、封闭式基金，按所投资基金估值日的收盘价估值。</w:t>
      </w:r>
    </w:p>
    <w:p w:rsidR="0024774E" w:rsidRPr="00EF692E" w:rsidRDefault="000975C7">
      <w:pPr>
        <w:spacing w:line="520" w:lineRule="atLeast"/>
        <w:ind w:firstLineChars="200" w:firstLine="480"/>
        <w:rPr>
          <w:bCs/>
          <w:sz w:val="24"/>
        </w:rPr>
      </w:pPr>
      <w:r w:rsidRPr="00EF692E">
        <w:rPr>
          <w:rFonts w:hint="eastAsia"/>
          <w:bCs/>
          <w:sz w:val="24"/>
        </w:rPr>
        <w:t>④本基金投资的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rsidR="0024774E" w:rsidRPr="00EF692E" w:rsidRDefault="000975C7">
      <w:pPr>
        <w:spacing w:line="520" w:lineRule="atLeast"/>
        <w:ind w:firstLineChars="200" w:firstLine="480"/>
        <w:rPr>
          <w:bCs/>
          <w:sz w:val="24"/>
        </w:rPr>
      </w:pPr>
      <w:r w:rsidRPr="00EF692E">
        <w:rPr>
          <w:rFonts w:hint="eastAsia"/>
          <w:bCs/>
          <w:sz w:val="24"/>
        </w:rPr>
        <w:t>3</w:t>
      </w:r>
      <w:r w:rsidRPr="00EF692E">
        <w:rPr>
          <w:rFonts w:hint="eastAsia"/>
          <w:bCs/>
          <w:sz w:val="24"/>
        </w:rPr>
        <w:t>）特殊情况处理</w:t>
      </w:r>
    </w:p>
    <w:p w:rsidR="0024774E" w:rsidRPr="00EF692E" w:rsidRDefault="000975C7">
      <w:pPr>
        <w:spacing w:line="520" w:lineRule="atLeast"/>
        <w:ind w:firstLineChars="200" w:firstLine="480"/>
        <w:rPr>
          <w:bCs/>
          <w:sz w:val="24"/>
        </w:rPr>
      </w:pPr>
      <w:proofErr w:type="gramStart"/>
      <w:r w:rsidRPr="00EF692E">
        <w:rPr>
          <w:rFonts w:hint="eastAsia"/>
          <w:bCs/>
          <w:sz w:val="24"/>
        </w:rPr>
        <w:t>如遇所投资</w:t>
      </w:r>
      <w:proofErr w:type="gramEnd"/>
      <w:r w:rsidRPr="00EF692E">
        <w:rPr>
          <w:rFonts w:hint="eastAsia"/>
          <w:bCs/>
          <w:sz w:val="24"/>
        </w:rPr>
        <w:t>基金不公布基金份额净值、进行折算或拆分、估值日无交易等特殊情况，本基金根据以下原则进行估值：</w:t>
      </w:r>
    </w:p>
    <w:p w:rsidR="0024774E" w:rsidRPr="00EF692E" w:rsidRDefault="000975C7">
      <w:pPr>
        <w:spacing w:line="520" w:lineRule="atLeast"/>
        <w:ind w:firstLineChars="200" w:firstLine="480"/>
        <w:rPr>
          <w:bCs/>
          <w:sz w:val="24"/>
        </w:rPr>
      </w:pPr>
      <w:r w:rsidRPr="00EF692E">
        <w:rPr>
          <w:rFonts w:hint="eastAsia"/>
          <w:bCs/>
          <w:sz w:val="24"/>
        </w:rPr>
        <w:t>①以所投资基金的基金份额净值估值的，若所投资基金与本基金估值频率一致但未公布估值日基金份额净值，按其最近公布的基金份额净值为基础估值。</w:t>
      </w:r>
    </w:p>
    <w:p w:rsidR="0024774E" w:rsidRPr="00EF692E" w:rsidRDefault="000975C7">
      <w:pPr>
        <w:spacing w:line="520" w:lineRule="atLeast"/>
        <w:ind w:firstLineChars="200" w:firstLine="480"/>
        <w:rPr>
          <w:bCs/>
          <w:sz w:val="24"/>
        </w:rPr>
      </w:pPr>
      <w:r w:rsidRPr="00EF692E">
        <w:rPr>
          <w:rFonts w:hint="eastAsia"/>
          <w:bCs/>
          <w:sz w:val="24"/>
        </w:rPr>
        <w:t>②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rsidR="0024774E" w:rsidRPr="00EF692E" w:rsidRDefault="000975C7">
      <w:pPr>
        <w:spacing w:line="520" w:lineRule="atLeast"/>
        <w:ind w:firstLineChars="200" w:firstLine="480"/>
        <w:rPr>
          <w:bCs/>
          <w:sz w:val="24"/>
        </w:rPr>
      </w:pPr>
      <w:r w:rsidRPr="00EF692E">
        <w:rPr>
          <w:rFonts w:hint="eastAsia"/>
          <w:bCs/>
          <w:sz w:val="24"/>
        </w:rPr>
        <w:t>③如果所投资基金前一估值日至估值日期间发生分红除权、折算或拆分，基金管理人应根据基金份额净值或收盘价、单位基金份额分红金额、折算拆分比例、持仓份额等因素合理确定公允价值。</w:t>
      </w:r>
    </w:p>
    <w:p w:rsidR="0024774E" w:rsidRPr="00EF692E" w:rsidRDefault="000975C7">
      <w:pPr>
        <w:spacing w:line="520" w:lineRule="atLeast"/>
        <w:ind w:firstLineChars="200" w:firstLine="480"/>
        <w:rPr>
          <w:bCs/>
          <w:sz w:val="24"/>
        </w:rPr>
      </w:pPr>
      <w:r w:rsidRPr="00EF692E">
        <w:rPr>
          <w:rFonts w:hint="eastAsia"/>
          <w:bCs/>
          <w:sz w:val="24"/>
        </w:rPr>
        <w:t>4</w:t>
      </w:r>
      <w:r w:rsidRPr="00EF692E">
        <w:rPr>
          <w:rFonts w:hint="eastAsia"/>
          <w:bCs/>
          <w:sz w:val="24"/>
        </w:rPr>
        <w:t>）当基金管理人认为所投资基金按上述第</w:t>
      </w:r>
      <w:r w:rsidRPr="00EF692E">
        <w:rPr>
          <w:rFonts w:hint="eastAsia"/>
          <w:bCs/>
          <w:sz w:val="24"/>
        </w:rPr>
        <w:t>1</w:t>
      </w:r>
      <w:r w:rsidRPr="00EF692E">
        <w:rPr>
          <w:rFonts w:hint="eastAsia"/>
          <w:bCs/>
          <w:sz w:val="24"/>
        </w:rPr>
        <w:t>）至第</w:t>
      </w:r>
      <w:r w:rsidRPr="00EF692E">
        <w:rPr>
          <w:rFonts w:hint="eastAsia"/>
          <w:bCs/>
          <w:sz w:val="24"/>
        </w:rPr>
        <w:t>3</w:t>
      </w:r>
      <w:r w:rsidRPr="00EF692E">
        <w:rPr>
          <w:rFonts w:hint="eastAsia"/>
          <w:bCs/>
          <w:sz w:val="24"/>
        </w:rPr>
        <w:t>）项进行估值存在</w:t>
      </w:r>
      <w:proofErr w:type="gramStart"/>
      <w:r w:rsidRPr="00EF692E">
        <w:rPr>
          <w:rFonts w:hint="eastAsia"/>
          <w:bCs/>
          <w:sz w:val="24"/>
        </w:rPr>
        <w:t>不</w:t>
      </w:r>
      <w:proofErr w:type="gramEnd"/>
      <w:r w:rsidRPr="00EF692E">
        <w:rPr>
          <w:rFonts w:hint="eastAsia"/>
          <w:bCs/>
          <w:sz w:val="24"/>
        </w:rPr>
        <w:t>公允时，应与基金托管人协商一致采用合理的估值技术或估值标准确定其公允价值。</w:t>
      </w:r>
    </w:p>
    <w:p w:rsidR="0024774E" w:rsidRPr="00EF692E" w:rsidRDefault="000975C7">
      <w:pPr>
        <w:spacing w:line="520" w:lineRule="atLeast"/>
        <w:ind w:firstLineChars="200" w:firstLine="480"/>
        <w:rPr>
          <w:bCs/>
          <w:sz w:val="24"/>
        </w:rPr>
      </w:pPr>
      <w:r w:rsidRPr="00EF692E">
        <w:rPr>
          <w:rFonts w:hint="eastAsia"/>
          <w:bCs/>
          <w:sz w:val="24"/>
        </w:rPr>
        <w:lastRenderedPageBreak/>
        <w:t>（</w:t>
      </w:r>
      <w:r w:rsidRPr="00EF692E">
        <w:rPr>
          <w:rFonts w:hint="eastAsia"/>
          <w:bCs/>
          <w:sz w:val="24"/>
        </w:rPr>
        <w:t>2</w:t>
      </w:r>
      <w:r w:rsidRPr="00EF692E">
        <w:rPr>
          <w:rFonts w:hint="eastAsia"/>
          <w:bCs/>
          <w:sz w:val="24"/>
        </w:rPr>
        <w:t>）证券交易所上市的股票品种的估值</w:t>
      </w:r>
    </w:p>
    <w:p w:rsidR="0024774E" w:rsidRPr="00EF692E" w:rsidRDefault="000975C7">
      <w:pPr>
        <w:spacing w:line="520" w:lineRule="atLeast"/>
        <w:ind w:firstLineChars="200" w:firstLine="480"/>
        <w:rPr>
          <w:bCs/>
          <w:sz w:val="24"/>
        </w:rPr>
      </w:pPr>
      <w:r w:rsidRPr="00EF692E">
        <w:rPr>
          <w:rFonts w:hint="eastAsia"/>
          <w:bCs/>
          <w:sz w:val="24"/>
        </w:rPr>
        <w:t>1</w:t>
      </w:r>
      <w:r w:rsidRPr="00EF692E">
        <w:rPr>
          <w:rFonts w:hint="eastAsia"/>
          <w:bCs/>
          <w:sz w:val="24"/>
        </w:rPr>
        <w:t>）交易所上市的股票品种，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24774E" w:rsidRPr="00EF692E" w:rsidRDefault="000975C7">
      <w:pPr>
        <w:spacing w:line="520" w:lineRule="atLeast"/>
        <w:ind w:firstLineChars="200" w:firstLine="480"/>
        <w:rPr>
          <w:bCs/>
          <w:sz w:val="24"/>
        </w:rPr>
      </w:pPr>
      <w:r w:rsidRPr="00EF692E">
        <w:rPr>
          <w:rFonts w:hint="eastAsia"/>
          <w:bCs/>
          <w:sz w:val="24"/>
        </w:rPr>
        <w:t>2</w:t>
      </w:r>
      <w:r w:rsidRPr="00EF692E">
        <w:rPr>
          <w:rFonts w:hint="eastAsia"/>
          <w:bCs/>
          <w:sz w:val="24"/>
        </w:rPr>
        <w:t>）交易所上市不存在活跃市场的股票品种，采用估值技术确定公允价值。</w:t>
      </w:r>
    </w:p>
    <w:p w:rsidR="0024774E" w:rsidRPr="00EF692E" w:rsidRDefault="000975C7">
      <w:pPr>
        <w:spacing w:line="520" w:lineRule="atLeast"/>
        <w:ind w:firstLineChars="200" w:firstLine="480"/>
        <w:rPr>
          <w:bCs/>
          <w:sz w:val="24"/>
        </w:rPr>
      </w:pPr>
      <w:r w:rsidRPr="00EF692E">
        <w:rPr>
          <w:rFonts w:hint="eastAsia"/>
          <w:bCs/>
          <w:sz w:val="24"/>
        </w:rPr>
        <w:t>（</w:t>
      </w:r>
      <w:r w:rsidRPr="00EF692E">
        <w:rPr>
          <w:rFonts w:hint="eastAsia"/>
          <w:bCs/>
          <w:sz w:val="24"/>
        </w:rPr>
        <w:t>3</w:t>
      </w:r>
      <w:r w:rsidRPr="00EF692E">
        <w:rPr>
          <w:rFonts w:hint="eastAsia"/>
          <w:bCs/>
          <w:sz w:val="24"/>
        </w:rPr>
        <w:t>）处于未上市期间的股票品种应区分如下情况处理：</w:t>
      </w:r>
    </w:p>
    <w:p w:rsidR="0024774E" w:rsidRPr="00EF692E" w:rsidRDefault="000975C7">
      <w:pPr>
        <w:spacing w:line="520" w:lineRule="atLeast"/>
        <w:ind w:firstLineChars="200" w:firstLine="480"/>
        <w:rPr>
          <w:bCs/>
          <w:sz w:val="24"/>
        </w:rPr>
      </w:pPr>
      <w:r w:rsidRPr="00EF692E">
        <w:rPr>
          <w:rFonts w:hint="eastAsia"/>
          <w:bCs/>
          <w:sz w:val="24"/>
        </w:rPr>
        <w:t>1</w:t>
      </w:r>
      <w:r w:rsidRPr="00EF692E">
        <w:rPr>
          <w:rFonts w:hint="eastAsia"/>
          <w:bCs/>
          <w:sz w:val="24"/>
        </w:rPr>
        <w:t>）送股、转增股、配股和公开增发的新股，按估值日在证券交易所挂牌的同一股票的估值方法估值；该日无交易的，以最近一日的市价（收盘价）估值。</w:t>
      </w:r>
    </w:p>
    <w:p w:rsidR="0024774E" w:rsidRPr="00EF692E" w:rsidRDefault="000975C7">
      <w:pPr>
        <w:spacing w:line="520" w:lineRule="atLeast"/>
        <w:ind w:firstLineChars="200" w:firstLine="480"/>
        <w:rPr>
          <w:bCs/>
          <w:sz w:val="24"/>
        </w:rPr>
      </w:pPr>
      <w:r w:rsidRPr="00EF692E">
        <w:rPr>
          <w:rFonts w:hint="eastAsia"/>
          <w:bCs/>
          <w:sz w:val="24"/>
        </w:rPr>
        <w:t>2</w:t>
      </w:r>
      <w:r w:rsidRPr="00EF692E">
        <w:rPr>
          <w:rFonts w:hint="eastAsia"/>
          <w:bCs/>
          <w:sz w:val="24"/>
        </w:rPr>
        <w:t>）首次公开发行未上市的股票品种，采用估值技术确定公允价值。</w:t>
      </w:r>
    </w:p>
    <w:p w:rsidR="0024774E" w:rsidRPr="00EF692E" w:rsidRDefault="000975C7">
      <w:pPr>
        <w:spacing w:line="520" w:lineRule="atLeast"/>
        <w:ind w:firstLineChars="200" w:firstLine="480"/>
        <w:rPr>
          <w:bCs/>
          <w:sz w:val="24"/>
        </w:rPr>
      </w:pPr>
      <w:r w:rsidRPr="00EF692E">
        <w:rPr>
          <w:rFonts w:hint="eastAsia"/>
          <w:bCs/>
          <w:sz w:val="24"/>
        </w:rPr>
        <w:t>3</w:t>
      </w:r>
      <w:r w:rsidRPr="00EF692E">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EF692E">
        <w:rPr>
          <w:rFonts w:hint="eastAsia"/>
          <w:bCs/>
          <w:sz w:val="24"/>
        </w:rPr>
        <w:t>券</w:t>
      </w:r>
      <w:proofErr w:type="gramEnd"/>
      <w:r w:rsidRPr="00EF692E">
        <w:rPr>
          <w:rFonts w:hint="eastAsia"/>
          <w:bCs/>
          <w:sz w:val="24"/>
        </w:rPr>
        <w:t>等流通受限股票，按监管机构或行业协会有关规定确定公允价值。</w:t>
      </w:r>
    </w:p>
    <w:p w:rsidR="0024774E" w:rsidRPr="00EF692E" w:rsidRDefault="000975C7">
      <w:pPr>
        <w:spacing w:line="520" w:lineRule="atLeast"/>
        <w:ind w:firstLineChars="200" w:firstLine="480"/>
        <w:rPr>
          <w:bCs/>
          <w:sz w:val="24"/>
        </w:rPr>
      </w:pPr>
      <w:r w:rsidRPr="00EF692E">
        <w:rPr>
          <w:rFonts w:hint="eastAsia"/>
          <w:bCs/>
          <w:sz w:val="24"/>
        </w:rPr>
        <w:t>（</w:t>
      </w:r>
      <w:r w:rsidRPr="00EF692E">
        <w:rPr>
          <w:rFonts w:hint="eastAsia"/>
          <w:bCs/>
          <w:sz w:val="24"/>
        </w:rPr>
        <w:t>4</w:t>
      </w:r>
      <w:r w:rsidRPr="00EF692E">
        <w:rPr>
          <w:rFonts w:hint="eastAsia"/>
          <w:bCs/>
          <w:sz w:val="24"/>
        </w:rPr>
        <w:t>）已上市或已挂牌转让的不含</w:t>
      </w:r>
      <w:proofErr w:type="gramStart"/>
      <w:r w:rsidRPr="00EF692E">
        <w:rPr>
          <w:rFonts w:hint="eastAsia"/>
          <w:bCs/>
          <w:sz w:val="24"/>
        </w:rPr>
        <w:t>权固定</w:t>
      </w:r>
      <w:proofErr w:type="gramEnd"/>
      <w:r w:rsidRPr="00EF692E">
        <w:rPr>
          <w:rFonts w:hint="eastAsia"/>
          <w:bCs/>
          <w:sz w:val="24"/>
        </w:rPr>
        <w:t>收益品种选取第三方估值基准服务机构提供的相应品种当日的估值全价进行估值，涉税处理应根据相关法律、法规的规定执行。</w:t>
      </w:r>
    </w:p>
    <w:p w:rsidR="0024774E" w:rsidRPr="00EF692E" w:rsidRDefault="000975C7">
      <w:pPr>
        <w:spacing w:line="520" w:lineRule="atLeast"/>
        <w:ind w:firstLineChars="200" w:firstLine="480"/>
        <w:rPr>
          <w:bCs/>
          <w:sz w:val="24"/>
        </w:rPr>
      </w:pPr>
      <w:r w:rsidRPr="00EF692E">
        <w:rPr>
          <w:rFonts w:hint="eastAsia"/>
          <w:bCs/>
          <w:sz w:val="24"/>
        </w:rPr>
        <w:t>（</w:t>
      </w:r>
      <w:r w:rsidRPr="00EF692E">
        <w:rPr>
          <w:rFonts w:hint="eastAsia"/>
          <w:bCs/>
          <w:sz w:val="24"/>
        </w:rPr>
        <w:t>5</w:t>
      </w:r>
      <w:r w:rsidRPr="00EF692E">
        <w:rPr>
          <w:rFonts w:hint="eastAsia"/>
          <w:bCs/>
          <w:sz w:val="24"/>
        </w:rPr>
        <w:t>）已上市或已挂牌转让的含</w:t>
      </w:r>
      <w:proofErr w:type="gramStart"/>
      <w:r w:rsidRPr="00EF692E">
        <w:rPr>
          <w:rFonts w:hint="eastAsia"/>
          <w:bCs/>
          <w:sz w:val="24"/>
        </w:rPr>
        <w:t>权固定</w:t>
      </w:r>
      <w:proofErr w:type="gramEnd"/>
      <w:r w:rsidRPr="00EF692E">
        <w:rPr>
          <w:rFonts w:hint="eastAsia"/>
          <w:bCs/>
          <w:sz w:val="24"/>
        </w:rPr>
        <w:t>收益品种选取第三方估值基准服务机构提供的相应品种当日的唯一估值全价或推荐估值全价进行估值。</w:t>
      </w:r>
    </w:p>
    <w:p w:rsidR="0024774E" w:rsidRPr="00EF692E" w:rsidRDefault="000975C7">
      <w:pPr>
        <w:spacing w:line="520" w:lineRule="atLeast"/>
        <w:ind w:firstLineChars="200" w:firstLine="480"/>
        <w:rPr>
          <w:bCs/>
          <w:sz w:val="24"/>
        </w:rPr>
      </w:pPr>
      <w:r w:rsidRPr="00EF692E">
        <w:rPr>
          <w:rFonts w:hint="eastAsia"/>
          <w:bCs/>
          <w:sz w:val="24"/>
        </w:rPr>
        <w:t>对于含投资者回售权的固定收益品种，行使回售权的，在回售登记日至实际收款日期间选取第三方估值基准服务机构提供的相应品种的唯一估值全价或推荐估值全价进行估值，同时将充分考虑发行人的信用风险变化对公允价值的影响。回售登记期截止日（含当日）后未行使回售权的按照长待偿期所对应的价格进行估值。</w:t>
      </w:r>
    </w:p>
    <w:p w:rsidR="0024774E" w:rsidRPr="00EF692E" w:rsidRDefault="000975C7">
      <w:pPr>
        <w:spacing w:line="520" w:lineRule="atLeast"/>
        <w:ind w:firstLineChars="200" w:firstLine="480"/>
        <w:rPr>
          <w:bCs/>
          <w:sz w:val="24"/>
        </w:rPr>
      </w:pPr>
      <w:r w:rsidRPr="00EF692E">
        <w:rPr>
          <w:rFonts w:hint="eastAsia"/>
          <w:bCs/>
          <w:sz w:val="24"/>
        </w:rPr>
        <w:lastRenderedPageBreak/>
        <w:t>（</w:t>
      </w:r>
      <w:r w:rsidRPr="00EF692E">
        <w:rPr>
          <w:rFonts w:hint="eastAsia"/>
          <w:bCs/>
          <w:sz w:val="24"/>
        </w:rPr>
        <w:t>6</w:t>
      </w:r>
      <w:r w:rsidRPr="00EF692E">
        <w:rPr>
          <w:rFonts w:hint="eastAsia"/>
          <w:bCs/>
          <w:sz w:val="24"/>
        </w:rPr>
        <w:t>）对于在交易所市场上市交易的公开发行的可转换债券等有活跃市场的含转股权的债券，实行全价交易的债券选取估值日收盘价作为估值全价进行估值；实行净价交易的债券选取估值日收盘价并加计每百元税前应计利息作为估值全价进行估值。</w:t>
      </w:r>
    </w:p>
    <w:p w:rsidR="0024774E" w:rsidRPr="00EF692E" w:rsidRDefault="000975C7">
      <w:pPr>
        <w:spacing w:line="520" w:lineRule="atLeast"/>
        <w:ind w:firstLineChars="200" w:firstLine="480"/>
        <w:rPr>
          <w:bCs/>
          <w:sz w:val="24"/>
        </w:rPr>
      </w:pPr>
      <w:r w:rsidRPr="00EF692E">
        <w:rPr>
          <w:rFonts w:hint="eastAsia"/>
          <w:bCs/>
          <w:sz w:val="24"/>
        </w:rPr>
        <w:t>（</w:t>
      </w:r>
      <w:r w:rsidRPr="00EF692E">
        <w:rPr>
          <w:rFonts w:hint="eastAsia"/>
          <w:bCs/>
          <w:sz w:val="24"/>
        </w:rPr>
        <w:t>7</w:t>
      </w:r>
      <w:r w:rsidRPr="00EF692E">
        <w:rPr>
          <w:rFonts w:hint="eastAsia"/>
          <w:bCs/>
          <w:sz w:val="24"/>
        </w:rPr>
        <w:t>）对于未上市或未挂牌转让且不存在活跃市场的固定收益品种，采用在当前情况下适用并且有足够可利用数据和其他信息支持的估值技术确定其公允价值。</w:t>
      </w:r>
    </w:p>
    <w:p w:rsidR="0024774E" w:rsidRPr="00EF692E" w:rsidRDefault="000975C7">
      <w:pPr>
        <w:spacing w:line="520" w:lineRule="atLeast"/>
        <w:ind w:firstLineChars="200" w:firstLine="480"/>
        <w:rPr>
          <w:bCs/>
          <w:sz w:val="24"/>
        </w:rPr>
      </w:pPr>
      <w:r w:rsidRPr="00EF692E">
        <w:rPr>
          <w:rFonts w:hint="eastAsia"/>
          <w:bCs/>
          <w:sz w:val="24"/>
        </w:rPr>
        <w:t>（</w:t>
      </w:r>
      <w:r w:rsidRPr="00EF692E">
        <w:rPr>
          <w:rFonts w:hint="eastAsia"/>
          <w:bCs/>
          <w:sz w:val="24"/>
        </w:rPr>
        <w:t>8</w:t>
      </w:r>
      <w:r w:rsidRPr="00EF692E">
        <w:rPr>
          <w:rFonts w:hint="eastAsia"/>
          <w:bCs/>
          <w:sz w:val="24"/>
        </w:rPr>
        <w:t>）同一证券同时在两个或两个以上市场交易的，按证券所处的市场分别估值。</w:t>
      </w:r>
    </w:p>
    <w:p w:rsidR="0024774E" w:rsidRPr="00EF692E" w:rsidRDefault="000975C7">
      <w:pPr>
        <w:spacing w:line="520" w:lineRule="atLeast"/>
        <w:ind w:firstLineChars="200" w:firstLine="480"/>
        <w:rPr>
          <w:bCs/>
          <w:sz w:val="24"/>
        </w:rPr>
      </w:pPr>
      <w:r w:rsidRPr="00EF692E">
        <w:rPr>
          <w:rFonts w:hint="eastAsia"/>
          <w:bCs/>
          <w:sz w:val="24"/>
        </w:rPr>
        <w:t>（</w:t>
      </w:r>
      <w:r w:rsidRPr="00EF692E">
        <w:rPr>
          <w:rFonts w:hint="eastAsia"/>
          <w:bCs/>
          <w:sz w:val="24"/>
        </w:rPr>
        <w:t>9</w:t>
      </w:r>
      <w:r w:rsidRPr="00EF692E">
        <w:rPr>
          <w:rFonts w:hint="eastAsia"/>
          <w:bCs/>
          <w:sz w:val="24"/>
        </w:rPr>
        <w:t>）持有的银行定期存款或通知存款以本金列示，按相应利率逐日计提利息。</w:t>
      </w:r>
    </w:p>
    <w:p w:rsidR="0024774E" w:rsidRPr="00EF692E" w:rsidRDefault="000975C7">
      <w:pPr>
        <w:spacing w:line="520" w:lineRule="atLeast"/>
        <w:ind w:firstLineChars="200" w:firstLine="480"/>
        <w:rPr>
          <w:bCs/>
          <w:sz w:val="24"/>
        </w:rPr>
      </w:pPr>
      <w:r w:rsidRPr="00EF692E">
        <w:rPr>
          <w:rFonts w:hint="eastAsia"/>
          <w:bCs/>
          <w:sz w:val="24"/>
        </w:rPr>
        <w:t>（</w:t>
      </w:r>
      <w:r w:rsidRPr="00EF692E">
        <w:rPr>
          <w:rFonts w:hint="eastAsia"/>
          <w:bCs/>
          <w:sz w:val="24"/>
        </w:rPr>
        <w:t>10</w:t>
      </w:r>
      <w:r w:rsidRPr="00EF692E">
        <w:rPr>
          <w:rFonts w:hint="eastAsia"/>
          <w:bCs/>
          <w:sz w:val="24"/>
        </w:rPr>
        <w:t>）人民币对相关货币的汇率根据届时相关法律法规及监管机构的要求确定汇率来源，如法律法规及监管机构无相关规定，基金管理人与基金托管人协商一致后确定本基金的估值汇率来源。</w:t>
      </w:r>
    </w:p>
    <w:p w:rsidR="0024774E" w:rsidRPr="00EF692E" w:rsidRDefault="000975C7">
      <w:pPr>
        <w:spacing w:line="520" w:lineRule="atLeast"/>
        <w:ind w:firstLineChars="200" w:firstLine="480"/>
        <w:rPr>
          <w:bCs/>
          <w:sz w:val="24"/>
        </w:rPr>
      </w:pPr>
      <w:r w:rsidRPr="00EF692E">
        <w:rPr>
          <w:rFonts w:hint="eastAsia"/>
          <w:bCs/>
          <w:sz w:val="24"/>
        </w:rPr>
        <w:t>（</w:t>
      </w:r>
      <w:r w:rsidRPr="00EF692E">
        <w:rPr>
          <w:rFonts w:hint="eastAsia"/>
          <w:bCs/>
          <w:sz w:val="24"/>
        </w:rPr>
        <w:t>1</w:t>
      </w:r>
      <w:r w:rsidRPr="00EF692E">
        <w:rPr>
          <w:bCs/>
          <w:sz w:val="24"/>
        </w:rPr>
        <w:t>1</w:t>
      </w:r>
      <w:r w:rsidRPr="00EF692E">
        <w:rPr>
          <w:rFonts w:hint="eastAsia"/>
          <w:bCs/>
          <w:sz w:val="24"/>
        </w:rPr>
        <w:t>）对于按照中国法律法规和基金投资所在地的法律法规规定应交纳的各项税金，本基金将按权责发生制原则进行估值；对于因税收规定调整或其他原因导致基金实际交纳税金与估算的应交税金有差异的，基金将在相关税金调整日或实际支付日进行相应的会计处理。</w:t>
      </w:r>
    </w:p>
    <w:p w:rsidR="0024774E" w:rsidRPr="00EF692E" w:rsidRDefault="000975C7">
      <w:pPr>
        <w:spacing w:line="520" w:lineRule="atLeast"/>
        <w:ind w:firstLineChars="200" w:firstLine="480"/>
        <w:rPr>
          <w:bCs/>
          <w:sz w:val="24"/>
        </w:rPr>
      </w:pPr>
      <w:r w:rsidRPr="00EF692E">
        <w:rPr>
          <w:rFonts w:hint="eastAsia"/>
          <w:bCs/>
          <w:sz w:val="24"/>
        </w:rPr>
        <w:t>（</w:t>
      </w:r>
      <w:r w:rsidRPr="00EF692E">
        <w:rPr>
          <w:rFonts w:hint="eastAsia"/>
          <w:bCs/>
          <w:sz w:val="24"/>
        </w:rPr>
        <w:t>1</w:t>
      </w:r>
      <w:r w:rsidRPr="00EF692E">
        <w:rPr>
          <w:bCs/>
          <w:sz w:val="24"/>
        </w:rPr>
        <w:t>2</w:t>
      </w:r>
      <w:r w:rsidRPr="00EF692E">
        <w:rPr>
          <w:rFonts w:hint="eastAsia"/>
          <w:bCs/>
          <w:sz w:val="24"/>
        </w:rPr>
        <w:t>）本基金投资存托凭证的估值核算，依照境内上市交易的股票执行。</w:t>
      </w:r>
    </w:p>
    <w:p w:rsidR="0024774E" w:rsidRPr="00EF692E" w:rsidRDefault="000975C7">
      <w:pPr>
        <w:spacing w:line="520" w:lineRule="atLeast"/>
        <w:ind w:firstLineChars="200" w:firstLine="480"/>
        <w:rPr>
          <w:bCs/>
          <w:sz w:val="24"/>
        </w:rPr>
      </w:pPr>
      <w:r w:rsidRPr="00EF692E">
        <w:rPr>
          <w:rFonts w:hint="eastAsia"/>
          <w:bCs/>
          <w:sz w:val="24"/>
        </w:rPr>
        <w:t>（</w:t>
      </w:r>
      <w:r w:rsidRPr="00EF692E">
        <w:rPr>
          <w:rFonts w:hint="eastAsia"/>
          <w:bCs/>
          <w:sz w:val="24"/>
        </w:rPr>
        <w:t>1</w:t>
      </w:r>
      <w:r w:rsidRPr="00EF692E">
        <w:rPr>
          <w:bCs/>
          <w:sz w:val="24"/>
        </w:rPr>
        <w:t>3</w:t>
      </w:r>
      <w:r w:rsidRPr="00EF692E">
        <w:rPr>
          <w:rFonts w:hint="eastAsia"/>
          <w:bCs/>
          <w:sz w:val="24"/>
        </w:rPr>
        <w:t>）本基金投资同业存单，采用估值日第三方估值基准服务机构提供的估值价格数据进行估值。</w:t>
      </w:r>
    </w:p>
    <w:p w:rsidR="0024774E" w:rsidRPr="00EF692E" w:rsidRDefault="000975C7">
      <w:pPr>
        <w:spacing w:line="520" w:lineRule="atLeast"/>
        <w:ind w:firstLineChars="200" w:firstLine="480"/>
        <w:rPr>
          <w:bCs/>
          <w:sz w:val="24"/>
        </w:rPr>
      </w:pPr>
      <w:r w:rsidRPr="00EF692E">
        <w:rPr>
          <w:rFonts w:hint="eastAsia"/>
          <w:bCs/>
          <w:sz w:val="24"/>
        </w:rPr>
        <w:t>（</w:t>
      </w:r>
      <w:r w:rsidRPr="00EF692E">
        <w:rPr>
          <w:rFonts w:hint="eastAsia"/>
          <w:bCs/>
          <w:sz w:val="24"/>
        </w:rPr>
        <w:t>1</w:t>
      </w:r>
      <w:r w:rsidRPr="00EF692E">
        <w:rPr>
          <w:bCs/>
          <w:sz w:val="24"/>
        </w:rPr>
        <w:t>4</w:t>
      </w:r>
      <w:r w:rsidRPr="00EF692E">
        <w:rPr>
          <w:rFonts w:hint="eastAsia"/>
          <w:bCs/>
          <w:sz w:val="24"/>
        </w:rPr>
        <w:t>）如有确凿证据表明按上述方法进行估值不能客观反映其公允价值的，基金管理人可根据具体情况与基金托管人商定后，按最能反映公允价值的价格估值。</w:t>
      </w:r>
    </w:p>
    <w:p w:rsidR="0024774E" w:rsidRPr="00EF692E" w:rsidRDefault="000975C7">
      <w:pPr>
        <w:spacing w:line="520" w:lineRule="atLeast"/>
        <w:ind w:firstLineChars="200" w:firstLine="480"/>
        <w:rPr>
          <w:bCs/>
          <w:sz w:val="24"/>
        </w:rPr>
      </w:pPr>
      <w:r w:rsidRPr="00EF692E">
        <w:rPr>
          <w:rFonts w:hint="eastAsia"/>
          <w:bCs/>
          <w:sz w:val="24"/>
        </w:rPr>
        <w:t>（</w:t>
      </w:r>
      <w:r w:rsidRPr="00EF692E">
        <w:rPr>
          <w:rFonts w:hint="eastAsia"/>
          <w:bCs/>
          <w:sz w:val="24"/>
        </w:rPr>
        <w:t>1</w:t>
      </w:r>
      <w:r w:rsidRPr="00EF692E">
        <w:rPr>
          <w:bCs/>
          <w:sz w:val="24"/>
        </w:rPr>
        <w:t>5</w:t>
      </w:r>
      <w:r w:rsidRPr="00EF692E">
        <w:rPr>
          <w:rFonts w:hint="eastAsia"/>
          <w:bCs/>
          <w:sz w:val="24"/>
        </w:rPr>
        <w:t>）当发生大额申购或赎回情形时，基金管理人可以采用摆动定价机制，以确保基金估值的公平性。</w:t>
      </w:r>
    </w:p>
    <w:p w:rsidR="0024774E" w:rsidRPr="00EF692E" w:rsidRDefault="000975C7">
      <w:pPr>
        <w:spacing w:line="520" w:lineRule="atLeast"/>
        <w:ind w:firstLineChars="200" w:firstLine="480"/>
        <w:rPr>
          <w:bCs/>
          <w:sz w:val="24"/>
        </w:rPr>
      </w:pPr>
      <w:r w:rsidRPr="00EF692E">
        <w:rPr>
          <w:rFonts w:hint="eastAsia"/>
          <w:bCs/>
          <w:sz w:val="24"/>
        </w:rPr>
        <w:lastRenderedPageBreak/>
        <w:t>（</w:t>
      </w:r>
      <w:r w:rsidRPr="00EF692E">
        <w:rPr>
          <w:rFonts w:hint="eastAsia"/>
          <w:bCs/>
          <w:sz w:val="24"/>
        </w:rPr>
        <w:t>1</w:t>
      </w:r>
      <w:r w:rsidRPr="00EF692E">
        <w:rPr>
          <w:bCs/>
          <w:sz w:val="24"/>
        </w:rPr>
        <w:t>6</w:t>
      </w:r>
      <w:r w:rsidRPr="00EF692E">
        <w:rPr>
          <w:rFonts w:hint="eastAsia"/>
          <w:bCs/>
          <w:sz w:val="24"/>
        </w:rPr>
        <w:t>）相关法律法规以及监管部门有强制规定的，从其规定。如有新增事项，按国家最新规定估值。</w:t>
      </w:r>
    </w:p>
    <w:p w:rsidR="0024774E" w:rsidRPr="00EF692E" w:rsidRDefault="000975C7">
      <w:pPr>
        <w:spacing w:line="520" w:lineRule="atLeast"/>
        <w:ind w:firstLineChars="200" w:firstLine="480"/>
        <w:rPr>
          <w:bCs/>
          <w:sz w:val="24"/>
        </w:rPr>
      </w:pPr>
      <w:r w:rsidRPr="00EF692E">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24774E" w:rsidRPr="00EF692E" w:rsidRDefault="000975C7">
      <w:pPr>
        <w:spacing w:line="520" w:lineRule="atLeast"/>
        <w:ind w:firstLineChars="200" w:firstLine="480"/>
        <w:rPr>
          <w:bCs/>
          <w:sz w:val="24"/>
        </w:rPr>
      </w:pPr>
      <w:r w:rsidRPr="00EF692E">
        <w:rPr>
          <w:rFonts w:hint="eastAsia"/>
          <w:bCs/>
          <w:sz w:val="24"/>
        </w:rPr>
        <w:t>基金管理人负责基金资产净值计算和基金会计核算，并担任基金会计责任方。就与本基金有关的会计问题，如经相关各方在平等基础上充分讨论后，仍无法达成一致的意见，按照基金管理人对基金净值信息的计算结果对外予以公布。</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8.3估值</w:t>
      </w:r>
      <w:r w:rsidRPr="00EF692E">
        <w:rPr>
          <w:rFonts w:hint="eastAsia"/>
          <w:bCs/>
        </w:rPr>
        <w:t>错误的</w:t>
      </w:r>
      <w:r w:rsidRPr="00EF692E">
        <w:rPr>
          <w:rFonts w:hAnsi="宋体"/>
          <w:szCs w:val="24"/>
        </w:rPr>
        <w:t>处理</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8.3.1</w:t>
      </w:r>
      <w:r w:rsidRPr="00EF692E">
        <w:rPr>
          <w:rFonts w:hAnsi="宋体" w:hint="eastAsia"/>
          <w:bCs/>
          <w:szCs w:val="24"/>
        </w:rPr>
        <w:t>基金管理人和基金托管人将采取必要、适当、合理的措施确保基金资产估值的准确性、及时性。当任一类基金份额的基金份额净值小数点后</w:t>
      </w:r>
      <w:r w:rsidRPr="00EF692E">
        <w:rPr>
          <w:rFonts w:hAnsi="宋体"/>
          <w:bCs/>
          <w:szCs w:val="24"/>
        </w:rPr>
        <w:t>4位以内（含第4位）发生估值错误时，视为该类基金份额净值错误。</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8.3.2本协议的当事人应按照以下约定处理：</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1）估值错误类型</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上述估值错误的主要类型包括但不限于：资料申报差错、数据传输差错、数据计算差错、系统故障差错、下达指令差错等。</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2）估值错误处理原则</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w:t>
      </w:r>
      <w:r w:rsidRPr="00EF692E">
        <w:rPr>
          <w:rFonts w:hAnsi="宋体"/>
          <w:szCs w:val="24"/>
        </w:rPr>
        <w:lastRenderedPageBreak/>
        <w:t>任。估值错误责任方应对更正的情况向有关当事人进行确认，确保估值错误已得到更正。</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2）估值错误的责任方对有关当事人的直接损失负责，不对间接损失负责，并且仅对估值错误的有关直接当事人负责，不对第三方负责。</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3）因估值错误而获得不当得利的当事人负有及时返还不当得利的义务。但估值错误责任方仍应对估值错误负责。如果由于获得不当得利的当事人</w:t>
      </w:r>
      <w:proofErr w:type="gramStart"/>
      <w:r w:rsidRPr="00EF692E">
        <w:rPr>
          <w:rFonts w:hAnsi="宋体" w:hint="eastAsia"/>
          <w:szCs w:val="24"/>
        </w:rPr>
        <w:t>不</w:t>
      </w:r>
      <w:proofErr w:type="gramEnd"/>
      <w:r w:rsidRPr="00EF692E">
        <w:rPr>
          <w:rFonts w:hAnsi="宋体" w:hint="eastAsia"/>
          <w:szCs w:val="24"/>
        </w:rPr>
        <w:t>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4）估值错误调整采用尽量恢复至假设未发生估值错误的正确情形的方式。</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3）估值错误处理程序</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估值错误被发现后，有关的当事人应当及时进行处理，处理的程序如下：</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1）查明估值错误发生的原因，列明所有的当事人，并根据估值错误发生的原因确定估值错误的责任方；</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2）根据估值错误处理原则或当事人协商的方法对因估值错误造成的损失进行评估；</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3）根据估值错误处理原则或当事人协商的方法由估值错误的责任方进行更正和赔偿损失；</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4）根据估值错误处理的方法，需要修改基金登记机构交易数据的，由基金登记机构进行更正，并就估值错误的更正向有关当事人进行确认。</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4）基金份额净值估值错误处理的方法如下：</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1）基金份额净值计算出现错误时，基金管理人应当立即予以纠正，通报基金托管人，并采取合理的措施防止损失进一步扩大。</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2）</w:t>
      </w:r>
      <w:r w:rsidRPr="00EF692E">
        <w:rPr>
          <w:rFonts w:hint="eastAsia"/>
          <w:bCs/>
        </w:rPr>
        <w:t>当任一</w:t>
      </w:r>
      <w:r w:rsidRPr="00EF692E">
        <w:rPr>
          <w:rFonts w:hAnsi="宋体"/>
          <w:szCs w:val="24"/>
        </w:rPr>
        <w:t>类基金份额的基金份额净值计算错误偏差达到该类基金份额净值</w:t>
      </w:r>
      <w:r w:rsidRPr="00EF692E">
        <w:rPr>
          <w:rFonts w:hAnsi="宋体"/>
          <w:szCs w:val="24"/>
        </w:rPr>
        <w:lastRenderedPageBreak/>
        <w:t>的0.25%时，基金管理人应当通报基金托管人并报中国证监会备案；错误偏差达到该类基金份额净值的0.5%时，基金管理人应当公告，并报中国证监会备案。</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3）前述内容如法律法规或监管机构另有规定的，从其规定处理。</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8.4</w:t>
      </w:r>
      <w:r w:rsidRPr="00EF692E">
        <w:rPr>
          <w:rFonts w:hAnsi="宋体" w:hint="eastAsia"/>
          <w:szCs w:val="24"/>
        </w:rPr>
        <w:t>实施</w:t>
      </w:r>
      <w:proofErr w:type="gramStart"/>
      <w:r w:rsidRPr="00EF692E">
        <w:rPr>
          <w:rFonts w:hAnsi="宋体" w:hint="eastAsia"/>
          <w:szCs w:val="24"/>
        </w:rPr>
        <w:t>侧袋机制</w:t>
      </w:r>
      <w:proofErr w:type="gramEnd"/>
      <w:r w:rsidRPr="00EF692E">
        <w:rPr>
          <w:rFonts w:hAnsi="宋体" w:hint="eastAsia"/>
          <w:szCs w:val="24"/>
        </w:rPr>
        <w:t>期间的基金资产估值</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本基金实施</w:t>
      </w:r>
      <w:proofErr w:type="gramStart"/>
      <w:r w:rsidRPr="00EF692E">
        <w:rPr>
          <w:rFonts w:hAnsi="宋体" w:hint="eastAsia"/>
          <w:szCs w:val="24"/>
        </w:rPr>
        <w:t>侧袋机制</w:t>
      </w:r>
      <w:proofErr w:type="gramEnd"/>
      <w:r w:rsidRPr="00EF692E">
        <w:rPr>
          <w:rFonts w:hAnsi="宋体" w:hint="eastAsia"/>
          <w:szCs w:val="24"/>
        </w:rPr>
        <w:t>的，应根据本部分的约定</w:t>
      </w:r>
      <w:proofErr w:type="gramStart"/>
      <w:r w:rsidRPr="00EF692E">
        <w:rPr>
          <w:rFonts w:hAnsi="宋体" w:hint="eastAsia"/>
          <w:szCs w:val="24"/>
        </w:rPr>
        <w:t>对主袋账户</w:t>
      </w:r>
      <w:proofErr w:type="gramEnd"/>
      <w:r w:rsidRPr="00EF692E">
        <w:rPr>
          <w:rFonts w:hAnsi="宋体" w:hint="eastAsia"/>
          <w:szCs w:val="24"/>
        </w:rPr>
        <w:t>资产进行估值并</w:t>
      </w:r>
      <w:proofErr w:type="gramStart"/>
      <w:r w:rsidRPr="00EF692E">
        <w:rPr>
          <w:rFonts w:hAnsi="宋体" w:hint="eastAsia"/>
          <w:szCs w:val="24"/>
        </w:rPr>
        <w:t>披露主袋账户</w:t>
      </w:r>
      <w:proofErr w:type="gramEnd"/>
      <w:r w:rsidRPr="00EF692E">
        <w:rPr>
          <w:rFonts w:hAnsi="宋体" w:hint="eastAsia"/>
          <w:szCs w:val="24"/>
        </w:rPr>
        <w:t>的基金份额净值和基金份额累计净值，暂停</w:t>
      </w:r>
      <w:proofErr w:type="gramStart"/>
      <w:r w:rsidRPr="00EF692E">
        <w:rPr>
          <w:rFonts w:hAnsi="宋体" w:hint="eastAsia"/>
          <w:szCs w:val="24"/>
        </w:rPr>
        <w:t>披露侧袋账户</w:t>
      </w:r>
      <w:proofErr w:type="gramEnd"/>
      <w:r w:rsidRPr="00EF692E">
        <w:rPr>
          <w:rFonts w:hAnsi="宋体" w:hint="eastAsia"/>
          <w:szCs w:val="24"/>
        </w:rPr>
        <w:t>的基金净值信息。</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8.5基金账册的建立</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8.5.1基金管理人和基金托管人在基金合同生效后，应按照相关各方约定的同一记账方法和会计处理原则，分别独立地设置、登录和保管本基金的全套账册，对</w:t>
      </w:r>
      <w:r w:rsidRPr="00EF692E">
        <w:rPr>
          <w:rFonts w:hAnsi="宋体" w:hint="eastAsia"/>
          <w:szCs w:val="24"/>
        </w:rPr>
        <w:t>相关各方各自的账册定期进行核对，互相监督，以保证基金资产的安全。若双方对会计处理方法存在分歧，应以基金管理人的处理方法为准。</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8.5.2经对账发现相关各方的账目存在不符的，基金管理人和基金托管人必须及时查明原因并纠正，保证相关各方平行登录的账册记录完全相符。若当日核对不符，暂时无法查找到错账的原因而影响到基金净值</w:t>
      </w:r>
      <w:r w:rsidRPr="00EF692E">
        <w:rPr>
          <w:rFonts w:hAnsi="宋体" w:hint="eastAsia"/>
          <w:szCs w:val="24"/>
        </w:rPr>
        <w:t>信息的计算和公告的，以基金管理人的账册为准。</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8.6基金定期报告的编制和复核</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8.6.1基金财务报告由基金管理人编制，基金托管人</w:t>
      </w:r>
      <w:r w:rsidRPr="00EF692E">
        <w:rPr>
          <w:rFonts w:hAnsi="宋体" w:hint="eastAsia"/>
          <w:szCs w:val="24"/>
        </w:rPr>
        <w:t>复核。月度报告的编制，应于每月终了后</w:t>
      </w:r>
      <w:r w:rsidRPr="00EF692E">
        <w:rPr>
          <w:rFonts w:hAnsi="宋体"/>
          <w:szCs w:val="24"/>
        </w:rPr>
        <w:t>5个工作日内完成。</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8.6.2基金管理人应当在每年结束之日起三个月内，编制完成基金年度报告，将年度报告登载在</w:t>
      </w:r>
      <w:r w:rsidRPr="00EF692E">
        <w:rPr>
          <w:rFonts w:hAnsi="宋体" w:hint="eastAsia"/>
          <w:szCs w:val="24"/>
        </w:rPr>
        <w:t>规定网站上，并将年度报告提示性公告登载在规定报刊上。基金年度报告中的财务会计报告应当经过符合《中华人民共和国证券法》规定的会计师事务所审计。基金管理人应当在上半年结束之日起两个月内，编制完成基金中期报告，将中期报告登载在规定网站上，并将中期报告提示性公告登载在规定报刊上。基金管理人应当在季度结束之日起</w:t>
      </w:r>
      <w:r w:rsidRPr="00EF692E">
        <w:rPr>
          <w:rFonts w:hAnsi="宋体"/>
          <w:szCs w:val="24"/>
        </w:rPr>
        <w:t>15个工作日内，编制完成基金季度报告，将季度报告登载在</w:t>
      </w:r>
      <w:r w:rsidRPr="00EF692E">
        <w:rPr>
          <w:rFonts w:hAnsi="宋体" w:hint="eastAsia"/>
          <w:szCs w:val="24"/>
        </w:rPr>
        <w:t>规定网站上，并将季度报告提示性公告登载在规定报刊</w:t>
      </w:r>
      <w:r w:rsidRPr="00EF692E">
        <w:rPr>
          <w:rFonts w:hAnsi="宋体" w:hint="eastAsia"/>
          <w:szCs w:val="24"/>
        </w:rPr>
        <w:lastRenderedPageBreak/>
        <w:t>上。《基金合同》生效不足</w:t>
      </w:r>
      <w:r w:rsidRPr="00EF692E">
        <w:rPr>
          <w:rFonts w:hAnsi="宋体"/>
          <w:szCs w:val="24"/>
        </w:rPr>
        <w:t>2个月的，基金管理人可以不编制当期季度报告、中期报告或者年度报告。</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8.6.3《基金合同》生效后，基金招募说明书、基金产品资料概要的信息发生重大变更的，基金管理人应当在三个工作日内，更新基金招募说明书、基金产品资料概要，并登载在</w:t>
      </w:r>
      <w:r w:rsidRPr="00EF692E">
        <w:rPr>
          <w:rFonts w:hAnsi="宋体" w:hint="eastAsia"/>
          <w:szCs w:val="24"/>
        </w:rPr>
        <w:t>规定网站上，并将基金产品资料概要登载在基金销售机构网站或营业网点。基金招募说明书、基金产品资料概要其他信息发生变更的，基金管理人至少每年更新一次。</w:t>
      </w:r>
    </w:p>
    <w:p w:rsidR="0024774E" w:rsidRPr="00EF692E" w:rsidRDefault="000975C7">
      <w:pPr>
        <w:pStyle w:val="20"/>
        <w:spacing w:before="0" w:after="0" w:line="520" w:lineRule="atLeast"/>
        <w:ind w:left="0" w:firstLineChars="200" w:firstLine="480"/>
        <w:rPr>
          <w:rFonts w:hAnsi="宋体"/>
          <w:szCs w:val="24"/>
        </w:rPr>
      </w:pPr>
      <w:bookmarkStart w:id="31" w:name="_DV_C270"/>
      <w:r w:rsidRPr="00EF692E">
        <w:rPr>
          <w:rFonts w:hAnsi="宋体"/>
          <w:szCs w:val="24"/>
        </w:rPr>
        <w:t>8.6.4</w:t>
      </w:r>
      <w:r w:rsidRPr="00EF692E">
        <w:rPr>
          <w:rFonts w:hAnsi="宋体" w:hint="eastAsia"/>
          <w:szCs w:val="24"/>
        </w:rPr>
        <w:t>基金管理人应及时完成报告编制，将有关报告提供基金托管人复核；基金托管人应当在收到报告之日起</w:t>
      </w:r>
      <w:r w:rsidRPr="00EF692E">
        <w:rPr>
          <w:rFonts w:hAnsi="宋体"/>
          <w:szCs w:val="24"/>
        </w:rPr>
        <w:t>2个工作日内完成月度报告的复核；在收到报告之日起7个工作日内完成基金季度报告的复核；在收到报告之日起20个工作日内完成基金中期报告的复核；在收到报告之日起30个工作日内完成基金年度报告的</w:t>
      </w:r>
      <w:bookmarkEnd w:id="31"/>
      <w:r w:rsidRPr="00EF692E">
        <w:rPr>
          <w:rFonts w:hAnsi="宋体" w:hint="eastAsia"/>
          <w:szCs w:val="24"/>
        </w:rPr>
        <w:t>复核。基金托管人在复核过程中，发现双方的数据、</w:t>
      </w:r>
      <w:r w:rsidRPr="00EF692E">
        <w:rPr>
          <w:rFonts w:hAnsi="宋体"/>
          <w:szCs w:val="24"/>
        </w:rPr>
        <w:t>信息</w:t>
      </w:r>
      <w:r w:rsidRPr="00EF692E">
        <w:rPr>
          <w:rFonts w:hAnsi="宋体" w:hint="eastAsia"/>
          <w:szCs w:val="24"/>
        </w:rPr>
        <w:t>存在不符时，基金管理人和基金托管人应共同查明原因，进行调整，调整以国家有关规定为准。</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8.6.5</w:t>
      </w:r>
      <w:r w:rsidRPr="00EF692E">
        <w:rPr>
          <w:rFonts w:hAnsi="宋体" w:hint="eastAsia"/>
          <w:szCs w:val="24"/>
        </w:rPr>
        <w:t>基金托管人在对财务会计报告、季度、中期报告或年度报告复核完毕后，需盖章确认或出具相应的复核确认书，以</w:t>
      </w:r>
      <w:proofErr w:type="gramStart"/>
      <w:r w:rsidRPr="00EF692E">
        <w:rPr>
          <w:rFonts w:hAnsi="宋体" w:hint="eastAsia"/>
          <w:szCs w:val="24"/>
        </w:rPr>
        <w:t>备有权</w:t>
      </w:r>
      <w:proofErr w:type="gramEnd"/>
      <w:r w:rsidRPr="00EF692E">
        <w:rPr>
          <w:rFonts w:hAnsi="宋体" w:hint="eastAsia"/>
          <w:szCs w:val="24"/>
        </w:rPr>
        <w:t>机构对相关文件审核时提示。</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8.7暂停估值的情形</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1）</w:t>
      </w:r>
      <w:r w:rsidRPr="00EF692E">
        <w:rPr>
          <w:rFonts w:hAnsi="宋体" w:hint="eastAsia"/>
          <w:szCs w:val="24"/>
        </w:rPr>
        <w:t>基金投资所涉及的证券交易市场</w:t>
      </w:r>
      <w:r w:rsidRPr="00EF692E">
        <w:rPr>
          <w:rFonts w:hint="eastAsia"/>
          <w:bCs/>
        </w:rPr>
        <w:t>或外汇市场</w:t>
      </w:r>
      <w:r w:rsidRPr="00EF692E">
        <w:rPr>
          <w:rFonts w:hAnsi="宋体" w:hint="eastAsia"/>
          <w:szCs w:val="24"/>
        </w:rPr>
        <w:t>遇法定节假日或因其他原因暂停营业时；</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2）因不可抗力致使基金管理人、基金托管人无法准确评估基金资产价值时；</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3）</w:t>
      </w:r>
      <w:r w:rsidRPr="00EF692E">
        <w:rPr>
          <w:rFonts w:hAnsi="宋体" w:hint="eastAsia"/>
          <w:szCs w:val="24"/>
        </w:rPr>
        <w:t>本基金所投资的大部分基金发生暂停估值、暂停公告基金份额净值或暂停公告万份（百份）收益的情形；</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（4）</w:t>
      </w:r>
      <w:r w:rsidRPr="00EF692E">
        <w:rPr>
          <w:rFonts w:hAnsi="宋体"/>
          <w:szCs w:val="24"/>
        </w:rPr>
        <w:t>当特定资产占前一估值日基金资产净值50%以上的，经与基金托管人协商确认后，基金管理人应当暂停估值；</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5）法律法规、中国证监会规定和基金合同认定的其它情形。</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8.8特殊情况的处理</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lastRenderedPageBreak/>
        <w:t>（</w:t>
      </w:r>
      <w:r w:rsidRPr="00EF692E">
        <w:rPr>
          <w:rFonts w:hAnsi="宋体"/>
          <w:szCs w:val="24"/>
        </w:rPr>
        <w:t>1）</w:t>
      </w:r>
      <w:r w:rsidRPr="00EF692E">
        <w:rPr>
          <w:rFonts w:hAnsi="宋体" w:hint="eastAsia"/>
          <w:szCs w:val="24"/>
        </w:rPr>
        <w:t>基金管理人</w:t>
      </w:r>
      <w:r w:rsidRPr="00EF692E">
        <w:rPr>
          <w:rFonts w:hint="eastAsia"/>
          <w:bCs/>
        </w:rPr>
        <w:t>或</w:t>
      </w:r>
      <w:r w:rsidRPr="00EF692E">
        <w:rPr>
          <w:rFonts w:hAnsi="宋体" w:hint="eastAsia"/>
          <w:szCs w:val="24"/>
        </w:rPr>
        <w:t>基金托管人按估值方法的第1</w:t>
      </w:r>
      <w:r w:rsidRPr="00EF692E">
        <w:rPr>
          <w:rFonts w:hAnsi="宋体"/>
          <w:szCs w:val="24"/>
        </w:rPr>
        <w:t>4</w:t>
      </w:r>
      <w:r w:rsidRPr="00EF692E">
        <w:rPr>
          <w:rFonts w:hAnsi="宋体" w:hint="eastAsia"/>
          <w:szCs w:val="24"/>
        </w:rPr>
        <w:t>项进行估值时，所造成的误差不作为基金资产估值错误处理。</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2）</w:t>
      </w:r>
      <w:r w:rsidRPr="00EF692E">
        <w:rPr>
          <w:rFonts w:hAnsi="宋体" w:hint="eastAsia"/>
          <w:b/>
          <w:bCs/>
          <w:szCs w:val="24"/>
        </w:rPr>
        <w:t>由于不可抗力原因，或由于证券交易所、证券经营机构、登记结算公司、存款银行、基金管理公司等第三方机构发送的数据错误，或国家会计政策变更、市场规则变更等</w:t>
      </w:r>
      <w:proofErr w:type="gramStart"/>
      <w:r w:rsidRPr="00EF692E">
        <w:rPr>
          <w:rFonts w:hAnsi="宋体" w:hint="eastAsia"/>
          <w:b/>
          <w:bCs/>
          <w:szCs w:val="24"/>
        </w:rPr>
        <w:t>非基金</w:t>
      </w:r>
      <w:proofErr w:type="gramEnd"/>
      <w:r w:rsidRPr="00EF692E">
        <w:rPr>
          <w:rFonts w:hAnsi="宋体" w:hint="eastAsia"/>
          <w:b/>
          <w:bCs/>
          <w:szCs w:val="24"/>
        </w:rPr>
        <w:t>管理人或基金托管人原因，基金管理人和基金托管人虽然已经采取必要、适当、合理的措施进行检查，但是未能发现该错误或即使发现错误但因前述原因无法及时更正的，由此造成的基金资产估值错误，基金管理人和基金托管人免除赔偿责任</w:t>
      </w:r>
      <w:r w:rsidRPr="00EF692E">
        <w:rPr>
          <w:rFonts w:hAnsi="宋体" w:hint="eastAsia"/>
          <w:szCs w:val="24"/>
        </w:rPr>
        <w:t>。但基金管理人、基金托管人应积极采取必要的措施消除或减轻由此造成的影响</w:t>
      </w:r>
      <w:r w:rsidRPr="00EF692E">
        <w:rPr>
          <w:rFonts w:hAnsi="宋体"/>
          <w:szCs w:val="24"/>
        </w:rPr>
        <w:t>。</w:t>
      </w:r>
    </w:p>
    <w:p w:rsidR="0024774E" w:rsidRPr="00EF692E" w:rsidRDefault="000975C7">
      <w:pPr>
        <w:pStyle w:val="1"/>
        <w:spacing w:line="520" w:lineRule="atLeast"/>
        <w:ind w:firstLineChars="200" w:firstLine="482"/>
        <w:rPr>
          <w:bCs/>
          <w:color w:val="auto"/>
          <w:szCs w:val="24"/>
        </w:rPr>
      </w:pPr>
      <w:bookmarkStart w:id="32" w:name="_Toc296551345"/>
      <w:bookmarkStart w:id="33" w:name="_Toc146725839"/>
      <w:r w:rsidRPr="00EF692E">
        <w:rPr>
          <w:rFonts w:hint="eastAsia"/>
          <w:bCs/>
          <w:color w:val="auto"/>
          <w:szCs w:val="24"/>
        </w:rPr>
        <w:t>第九条</w:t>
      </w:r>
      <w:r w:rsidRPr="00EF692E">
        <w:rPr>
          <w:bCs/>
          <w:color w:val="auto"/>
          <w:szCs w:val="24"/>
        </w:rPr>
        <w:t xml:space="preserve"> </w:t>
      </w:r>
      <w:r w:rsidRPr="00EF692E">
        <w:rPr>
          <w:rFonts w:hint="eastAsia"/>
          <w:bCs/>
          <w:color w:val="auto"/>
          <w:szCs w:val="24"/>
        </w:rPr>
        <w:t>基金收益分配</w:t>
      </w:r>
      <w:bookmarkEnd w:id="32"/>
      <w:bookmarkEnd w:id="33"/>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9.1基金利润的构成</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基金利润指基金利息收入、投资收益、公允价值变动收益和其他收入扣除相关费用后的余额，基金已实现收益指基金利润减去公允价值变动收益后的余额。</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9.2基金可供分配利润</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基金可供分配利润指截至收益分配基准日基金未分配利润与未分配利润中已实现收益的孰低数。</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9.3基金收益分配原则</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1、在符合有关基金分红条件的前提下，基金管理人可以根据实际情况进行收益分配，具体分配方案以公告为准；</w:t>
      </w:r>
      <w:proofErr w:type="gramStart"/>
      <w:r w:rsidRPr="00EF692E">
        <w:rPr>
          <w:rFonts w:hAnsi="宋体" w:hint="eastAsia"/>
          <w:szCs w:val="24"/>
        </w:rPr>
        <w:t>若基金</w:t>
      </w:r>
      <w:proofErr w:type="gramEnd"/>
      <w:r w:rsidRPr="00EF692E">
        <w:rPr>
          <w:rFonts w:hAnsi="宋体" w:hint="eastAsia"/>
          <w:szCs w:val="24"/>
        </w:rPr>
        <w:t>合同生效不满3个月，本基金可不进行收益分配；</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2、本基金收益分配方式分两种：现金分红与红利再投资，投资者可选择现金红利或将现金红利自动转为相应类别的基金份额进行再投资；投资者选择红利再投资的，基金份额持有人持有的基金份额（原份额）所获得的红利再投资份额的持有期限，按原份额的持有期限计算；若投资者不选择，本基金默认的收益分配方式是现金分红；</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3、基金收益分配后各类基金份额净值不能低于面值，即基金收益分配基准</w:t>
      </w:r>
      <w:r w:rsidRPr="00EF692E">
        <w:rPr>
          <w:rFonts w:hAnsi="宋体" w:hint="eastAsia"/>
          <w:szCs w:val="24"/>
        </w:rPr>
        <w:lastRenderedPageBreak/>
        <w:t>日的各类基金份额净值减去每单位该类基金份额收益分配金额后不能低于面值；</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4、由于各类基金份额类别的收费方式不同，将导致在可供分配利润上有所不同；本基金同一类别的每份基金份额享有同等分配权；</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5、法律法规或监管机构另有规定的，从其规定。</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在不影响基金份额持有人利益的情况下，基金管理人在与基金托管人协商一致并按监管部门要求履行适当程序后，可在不违反法律法规的前提下酌情调整以上基金收益分配原则，但应于变更实施日前在规定媒介公告。</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9.4收益分配方案</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基金收益分配方案中应载明截止收益分配基准日的可供分配利润、基金收益分配对象、分配时间、分配数额及比例、分配方式等内容。</w:t>
      </w:r>
    </w:p>
    <w:p w:rsidR="0024774E" w:rsidRPr="00EF692E" w:rsidRDefault="000975C7">
      <w:pPr>
        <w:pStyle w:val="20"/>
        <w:spacing w:line="520" w:lineRule="atLeast"/>
        <w:rPr>
          <w:rFonts w:hAnsi="宋体"/>
          <w:szCs w:val="24"/>
        </w:rPr>
      </w:pPr>
      <w:r w:rsidRPr="00EF692E">
        <w:rPr>
          <w:rFonts w:hAnsi="宋体"/>
          <w:szCs w:val="24"/>
        </w:rPr>
        <w:t>9.5收益分配方案的确定、公告与实施</w:t>
      </w:r>
    </w:p>
    <w:p w:rsidR="0024774E" w:rsidRPr="00EF692E" w:rsidRDefault="000975C7">
      <w:pPr>
        <w:pStyle w:val="20"/>
        <w:spacing w:line="520" w:lineRule="atLeast"/>
        <w:ind w:left="0" w:firstLineChars="200" w:firstLine="480"/>
        <w:rPr>
          <w:rFonts w:hAnsi="宋体"/>
          <w:szCs w:val="24"/>
        </w:rPr>
      </w:pPr>
      <w:r w:rsidRPr="00EF692E">
        <w:rPr>
          <w:rFonts w:hAnsi="宋体"/>
          <w:szCs w:val="24"/>
        </w:rPr>
        <w:t>9.5.1本基金收益分配方案由基金管理人拟定，并由基金托管人复核，依照《信息披露办法》的有关规定在规定媒介公告。</w:t>
      </w:r>
    </w:p>
    <w:p w:rsidR="0024774E" w:rsidRPr="00EF692E" w:rsidRDefault="000975C7">
      <w:pPr>
        <w:pStyle w:val="20"/>
        <w:spacing w:line="520" w:lineRule="atLeast"/>
        <w:ind w:left="0" w:firstLineChars="200" w:firstLine="480"/>
        <w:rPr>
          <w:rFonts w:hAnsi="宋体"/>
          <w:szCs w:val="24"/>
        </w:rPr>
      </w:pPr>
      <w:r w:rsidRPr="00EF692E">
        <w:rPr>
          <w:rFonts w:hAnsi="宋体"/>
          <w:szCs w:val="24"/>
        </w:rPr>
        <w:t>9.5.2在收益分配方案公布后，基金管理人依据具体方案的规定就支付的现金红利向基金托管人发送划款指令，基金托管人按照基金管理人的指令及时进行分红资金的划付。</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9.5.3法律法规或监管机关另有规定的，从其规定。</w:t>
      </w:r>
    </w:p>
    <w:p w:rsidR="0024774E" w:rsidRPr="00EF692E" w:rsidRDefault="000975C7">
      <w:pPr>
        <w:pStyle w:val="1"/>
        <w:spacing w:line="520" w:lineRule="atLeast"/>
        <w:ind w:firstLineChars="200" w:firstLine="482"/>
        <w:rPr>
          <w:bCs/>
          <w:color w:val="auto"/>
          <w:szCs w:val="24"/>
        </w:rPr>
      </w:pPr>
      <w:bookmarkStart w:id="34" w:name="_Toc296551346"/>
      <w:bookmarkStart w:id="35" w:name="_Toc146725840"/>
      <w:r w:rsidRPr="00EF692E">
        <w:rPr>
          <w:rFonts w:hint="eastAsia"/>
          <w:bCs/>
          <w:color w:val="auto"/>
          <w:szCs w:val="24"/>
        </w:rPr>
        <w:t>第十条</w:t>
      </w:r>
      <w:r w:rsidRPr="00EF692E">
        <w:rPr>
          <w:bCs/>
          <w:color w:val="auto"/>
          <w:szCs w:val="24"/>
        </w:rPr>
        <w:t xml:space="preserve"> </w:t>
      </w:r>
      <w:r w:rsidRPr="00EF692E">
        <w:rPr>
          <w:rFonts w:hint="eastAsia"/>
          <w:bCs/>
          <w:color w:val="auto"/>
          <w:szCs w:val="24"/>
        </w:rPr>
        <w:t>信息披露</w:t>
      </w:r>
      <w:bookmarkEnd w:id="34"/>
      <w:bookmarkEnd w:id="35"/>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10.1保密义务</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除按照《基金法》《信息披露办法》《流动性</w:t>
      </w:r>
      <w:r w:rsidRPr="00EF692E">
        <w:rPr>
          <w:rFonts w:hAnsi="宋体"/>
          <w:szCs w:val="24"/>
        </w:rPr>
        <w:t>风险管理规定</w:t>
      </w:r>
      <w:r w:rsidRPr="00EF692E">
        <w:rPr>
          <w:rFonts w:hAnsi="宋体" w:hint="eastAsia"/>
          <w:szCs w:val="24"/>
        </w:rPr>
        <w:t>》、基金合同及中国证监会关于基金信息披露的有关规定进行披露以外，基金管理人和基金托管人对基金运作中产生的信息以及从对方获得的业务信息应恪守保密的义务。基金管理人与基金托管人对基金的任何信息，除法律法规规定之外，不得在其公开披露之前，先行对任何第三方披露。但是，如下情况不应视为基金管理人或基金托管人违反保密义务：</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1）非因基金管理人和基金托管人的原因导致保密信息被披露、泄露或公</w:t>
      </w:r>
      <w:r w:rsidRPr="00EF692E">
        <w:rPr>
          <w:rFonts w:hAnsi="宋体"/>
          <w:szCs w:val="24"/>
        </w:rPr>
        <w:lastRenderedPageBreak/>
        <w:t>开；</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2）基金管理人和基金托管人为遵守和服从法院判决或裁定、仲裁裁决或</w:t>
      </w:r>
      <w:r w:rsidRPr="00EF692E">
        <w:rPr>
          <w:rFonts w:hAnsi="宋体" w:hint="eastAsia"/>
          <w:szCs w:val="24"/>
        </w:rPr>
        <w:t>法律法规的规定、</w:t>
      </w:r>
      <w:r w:rsidRPr="00EF692E">
        <w:rPr>
          <w:rFonts w:hAnsi="宋体"/>
          <w:szCs w:val="24"/>
        </w:rPr>
        <w:t>中国证监会等监管机构的命令、决定所做出的信息披露或公开</w:t>
      </w:r>
      <w:r w:rsidRPr="00EF692E">
        <w:rPr>
          <w:rFonts w:hAnsi="宋体" w:hint="eastAsia"/>
          <w:szCs w:val="24"/>
        </w:rPr>
        <w:t>；</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（3）基金管理人和基金托管人在要求保密的前提下对自身聘请的外部法律顾问、财务顾问、审计人员、技术顾问等做出的必要信息披露。</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10.2基金管理人和基金托管人在信息披露中的职责和信息披露程序</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10.2.1基金管理人和基金托管人应根据相关法律法规、基金合同的规定各自承担相应的信息披露职责。基金管理人和基金托管人负有积极配合、互相督促、彼此监督、保证其履行按照法定方式和时限披露的义务。</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10.2.2</w:t>
      </w:r>
      <w:r w:rsidRPr="00EF692E">
        <w:rPr>
          <w:rFonts w:hAnsi="宋体" w:hint="eastAsia"/>
          <w:szCs w:val="24"/>
        </w:rPr>
        <w:t>本基金信息披露的文件主要包括基金招募说明书、《基金合同》、基金托管协议、基金产品资料概要、基金份额发售公告、《基金合同》生效公告、基金净值信息、基金份额申购、赎回价格、基金定期报告（包括年度报告、中期报告和季度报告）、临时报告、澄清公告、清算报告、基金份额持有人大会决议、实施</w:t>
      </w:r>
      <w:proofErr w:type="gramStart"/>
      <w:r w:rsidRPr="00EF692E">
        <w:rPr>
          <w:rFonts w:hAnsi="宋体" w:hint="eastAsia"/>
          <w:szCs w:val="24"/>
        </w:rPr>
        <w:t>侧袋机制</w:t>
      </w:r>
      <w:proofErr w:type="gramEnd"/>
      <w:r w:rsidRPr="00EF692E">
        <w:rPr>
          <w:rFonts w:hAnsi="宋体" w:hint="eastAsia"/>
          <w:szCs w:val="24"/>
        </w:rPr>
        <w:t>期间的信息披露、投资资产支持证券</w:t>
      </w:r>
      <w:r w:rsidRPr="00EF692E">
        <w:rPr>
          <w:rFonts w:hint="eastAsia"/>
          <w:bCs/>
        </w:rPr>
        <w:t>信息披露、投资公开募集的基金份额信息披露、投资港股通标的股票相关公告</w:t>
      </w:r>
      <w:r w:rsidRPr="00EF692E">
        <w:rPr>
          <w:rFonts w:hAnsi="宋体" w:hint="eastAsia"/>
          <w:szCs w:val="24"/>
        </w:rPr>
        <w:t>以及中国证监会规定的其他信息。</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10.2.3基金托管人应当按照相关法律法规、中国证监会的规定和《基金合同》的约定，对基金管理人编制的基金资产净值、</w:t>
      </w:r>
      <w:r w:rsidRPr="00EF692E">
        <w:rPr>
          <w:rFonts w:hAnsi="宋体" w:hint="eastAsia"/>
          <w:szCs w:val="24"/>
        </w:rPr>
        <w:t>各类基金份额净值、各类基金份额申购赎回价格、基金定期报告、更新的招募说明书、基金产品资料概要、基金清算报告等公开披露的相关基金信息进行复核、审查，并向基金管理人进行书面或电子确认。</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10.2.4</w:t>
      </w:r>
      <w:r w:rsidRPr="00EF692E">
        <w:rPr>
          <w:rFonts w:hAnsi="宋体" w:hint="eastAsia"/>
          <w:szCs w:val="24"/>
        </w:rPr>
        <w:t>基金年度</w:t>
      </w:r>
      <w:r w:rsidRPr="00EF692E">
        <w:rPr>
          <w:rFonts w:hAnsi="宋体"/>
          <w:szCs w:val="24"/>
        </w:rPr>
        <w:t>报</w:t>
      </w:r>
      <w:r w:rsidRPr="00EF692E">
        <w:rPr>
          <w:rFonts w:hAnsi="宋体" w:hint="eastAsia"/>
          <w:szCs w:val="24"/>
        </w:rPr>
        <w:t>告中的财务会计报告部分，</w:t>
      </w:r>
      <w:proofErr w:type="gramStart"/>
      <w:r w:rsidRPr="00EF692E">
        <w:rPr>
          <w:rFonts w:hAnsi="宋体" w:hint="eastAsia"/>
          <w:szCs w:val="24"/>
        </w:rPr>
        <w:t>经符合</w:t>
      </w:r>
      <w:proofErr w:type="gramEnd"/>
      <w:r w:rsidRPr="00EF692E">
        <w:rPr>
          <w:rFonts w:hAnsi="宋体" w:hint="eastAsia"/>
          <w:szCs w:val="24"/>
        </w:rPr>
        <w:t>《中华人民共和国证券法》规定的会计师事务所审计后，方可披露。</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10.2.5</w:t>
      </w:r>
      <w:r w:rsidRPr="00EF692E">
        <w:rPr>
          <w:rFonts w:hAnsi="宋体" w:hint="eastAsia"/>
          <w:szCs w:val="24"/>
        </w:rPr>
        <w:t>基金管理人应当在中国证监会规定的时间内，将应予披露的基金信息通过中国证监会规定媒介披露。根据法律法规应由基金托管人公开披露的信息，基金托管人将通过中国证监会规定媒介公开披露。</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10.2.6</w:t>
      </w:r>
      <w:r w:rsidRPr="00EF692E">
        <w:rPr>
          <w:rFonts w:hAnsi="宋体" w:hint="eastAsia"/>
          <w:szCs w:val="24"/>
        </w:rPr>
        <w:t>依法必须披露的信息发布后，基金管理人、基金托管人应当按照相</w:t>
      </w:r>
      <w:r w:rsidRPr="00EF692E">
        <w:rPr>
          <w:rFonts w:hAnsi="宋体" w:hint="eastAsia"/>
          <w:szCs w:val="24"/>
        </w:rPr>
        <w:lastRenderedPageBreak/>
        <w:t>关法律法规规定将信息置备于公司住所，供社会公众查阅、复制。在支付工本费后可在合理时间获得上述文件的复制件或复印件。基金管理人和基金托管人应保证文本的内容与所公告的内容完全一致。</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10.3暂停或延迟信息披露的情形</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1）不可抗力；</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2）基金投资所涉及的证券交易</w:t>
      </w:r>
      <w:r w:rsidRPr="00EF692E">
        <w:rPr>
          <w:rFonts w:hAnsi="宋体" w:hint="eastAsia"/>
          <w:szCs w:val="24"/>
        </w:rPr>
        <w:t>市场</w:t>
      </w:r>
      <w:r w:rsidRPr="00EF692E">
        <w:rPr>
          <w:rFonts w:hint="eastAsia"/>
          <w:bCs/>
        </w:rPr>
        <w:t>或外汇市场</w:t>
      </w:r>
      <w:r w:rsidRPr="00EF692E">
        <w:rPr>
          <w:rFonts w:hAnsi="宋体" w:hint="eastAsia"/>
          <w:szCs w:val="24"/>
        </w:rPr>
        <w:t>遇法定节假日或因其他原因暂停营业时；</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3）基金合同约定的暂停估值的情形；</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4）法律法规、基金合同或中国证监会规定的情况。</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10.4基金托管人报告</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基金托管人应按《基金法》《运作办法》《信息披露办法》和其他有关法律法规的规定于每个上半年度结束后两个</w:t>
      </w:r>
      <w:r w:rsidRPr="00EF692E">
        <w:rPr>
          <w:rFonts w:hAnsi="宋体"/>
          <w:szCs w:val="24"/>
        </w:rPr>
        <w:t>月</w:t>
      </w:r>
      <w:r w:rsidRPr="00EF692E">
        <w:rPr>
          <w:rFonts w:hAnsi="宋体" w:hint="eastAsia"/>
          <w:szCs w:val="24"/>
        </w:rPr>
        <w:t>内、每个会计年度结束后三个</w:t>
      </w:r>
      <w:r w:rsidRPr="00EF692E">
        <w:rPr>
          <w:rFonts w:hAnsi="宋体"/>
          <w:szCs w:val="24"/>
        </w:rPr>
        <w:t>月</w:t>
      </w:r>
      <w:proofErr w:type="gramStart"/>
      <w:r w:rsidRPr="00EF692E">
        <w:rPr>
          <w:rFonts w:hAnsi="宋体" w:hint="eastAsia"/>
          <w:szCs w:val="24"/>
        </w:rPr>
        <w:t>内在基金</w:t>
      </w:r>
      <w:proofErr w:type="gramEnd"/>
      <w:r w:rsidRPr="00EF692E">
        <w:rPr>
          <w:rFonts w:hAnsi="宋体" w:hint="eastAsia"/>
          <w:szCs w:val="24"/>
        </w:rPr>
        <w:t>中期报告及年度报告中分别出具基金托管人报告，</w:t>
      </w:r>
      <w:r w:rsidRPr="00EF692E">
        <w:rPr>
          <w:rFonts w:hAnsi="宋体"/>
          <w:szCs w:val="24"/>
        </w:rPr>
        <w:t>并提交给基金管理人</w:t>
      </w:r>
      <w:r w:rsidRPr="00EF692E">
        <w:rPr>
          <w:rFonts w:hAnsi="宋体" w:hint="eastAsia"/>
          <w:szCs w:val="24"/>
        </w:rPr>
        <w:t>。</w:t>
      </w:r>
    </w:p>
    <w:p w:rsidR="0024774E" w:rsidRPr="00EF692E" w:rsidRDefault="000975C7">
      <w:pPr>
        <w:pStyle w:val="1"/>
        <w:spacing w:line="520" w:lineRule="atLeast"/>
        <w:ind w:firstLineChars="200" w:firstLine="482"/>
        <w:rPr>
          <w:bCs/>
          <w:color w:val="auto"/>
          <w:szCs w:val="24"/>
        </w:rPr>
      </w:pPr>
      <w:bookmarkStart w:id="36" w:name="_Toc296551347"/>
      <w:bookmarkStart w:id="37" w:name="_Toc146725841"/>
      <w:r w:rsidRPr="00EF692E">
        <w:rPr>
          <w:rFonts w:hint="eastAsia"/>
          <w:bCs/>
          <w:color w:val="auto"/>
          <w:szCs w:val="24"/>
        </w:rPr>
        <w:t>第十一条</w:t>
      </w:r>
      <w:r w:rsidRPr="00EF692E">
        <w:rPr>
          <w:bCs/>
          <w:color w:val="auto"/>
          <w:szCs w:val="24"/>
        </w:rPr>
        <w:t xml:space="preserve"> </w:t>
      </w:r>
      <w:r w:rsidRPr="00EF692E">
        <w:rPr>
          <w:rFonts w:hint="eastAsia"/>
          <w:bCs/>
          <w:color w:val="auto"/>
          <w:szCs w:val="24"/>
        </w:rPr>
        <w:t>基金费用</w:t>
      </w:r>
      <w:bookmarkEnd w:id="36"/>
      <w:bookmarkEnd w:id="37"/>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11.1基金管理费的计提比例和计提方法</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本基金投资于本基金管理人所管理的其他公开募集证券投资基金的部分不收取管理费。本基金的管理费按前一日基金资产净值扣除本基金持有的基金管理人自身管理的其他公开募集证券投资基金部分所对应资产净值后的余额（若为负数，则取0）的0.60%的年费率计提。管理费的计算方法如下：</w:t>
      </w:r>
    </w:p>
    <w:p w:rsidR="0024774E" w:rsidRPr="00EF692E" w:rsidRDefault="000975C7">
      <w:pPr>
        <w:pStyle w:val="20"/>
        <w:spacing w:line="520" w:lineRule="atLeast"/>
        <w:rPr>
          <w:rFonts w:hAnsi="宋体"/>
          <w:szCs w:val="24"/>
        </w:rPr>
      </w:pPr>
      <w:r w:rsidRPr="00EF692E">
        <w:rPr>
          <w:rFonts w:hAnsi="宋体" w:hint="eastAsia"/>
          <w:szCs w:val="24"/>
        </w:rPr>
        <w:t>H＝E×0.60%÷当年天数</w:t>
      </w:r>
    </w:p>
    <w:p w:rsidR="0024774E" w:rsidRPr="00EF692E" w:rsidRDefault="000975C7">
      <w:pPr>
        <w:pStyle w:val="20"/>
        <w:spacing w:line="520" w:lineRule="atLeast"/>
        <w:rPr>
          <w:rFonts w:hAnsi="宋体"/>
          <w:szCs w:val="24"/>
        </w:rPr>
      </w:pPr>
      <w:r w:rsidRPr="00EF692E">
        <w:rPr>
          <w:rFonts w:hAnsi="宋体" w:hint="eastAsia"/>
          <w:szCs w:val="24"/>
        </w:rPr>
        <w:t>H为每日应计提的基金管理费</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E 为前一日的基金资产净值扣除本基金持有的基金管理人自身管理的其他公开募集证券投资基金部分所对应资产净值后的余额，如扣除后E＜0，则E取0</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基金管理费每日计提，逐日累计至每月月末，按月支付，由基金托管人根据与基金管理人核对一致的财务数据，按照双方约定的时间，自动在次月首日起5个工作日内按照指定的账户路径从基金财产中一次性支付给基金管理人。若遇法</w:t>
      </w:r>
      <w:r w:rsidRPr="00EF692E">
        <w:rPr>
          <w:rFonts w:hAnsi="宋体" w:hint="eastAsia"/>
          <w:szCs w:val="24"/>
        </w:rPr>
        <w:lastRenderedPageBreak/>
        <w:t>定节假日、公休日或不可抗力等，支付日期顺延。</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11.2基金托管费的计提比例和计提方法</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本基金投资于本基金托管人所托管的其他公开募集证券投资基金的部分不收取托管费。本基金的托管费按前一日基金资产净值扣除本基金持有的基金托管人自身托管的其他公开募集证券投资基金部分所对应资产净值后的余额（若为负数，则取0）的0.15%的年费率计提。托管费的计算方法如下：</w:t>
      </w:r>
    </w:p>
    <w:p w:rsidR="0024774E" w:rsidRPr="00EF692E" w:rsidRDefault="000975C7">
      <w:pPr>
        <w:pStyle w:val="20"/>
        <w:spacing w:line="520" w:lineRule="atLeast"/>
        <w:rPr>
          <w:rFonts w:hAnsi="宋体"/>
          <w:szCs w:val="24"/>
        </w:rPr>
      </w:pPr>
      <w:r w:rsidRPr="00EF692E">
        <w:rPr>
          <w:rFonts w:hAnsi="宋体" w:hint="eastAsia"/>
          <w:szCs w:val="24"/>
        </w:rPr>
        <w:t>H＝E×0.15%÷当年天数</w:t>
      </w:r>
    </w:p>
    <w:p w:rsidR="0024774E" w:rsidRPr="00EF692E" w:rsidRDefault="000975C7">
      <w:pPr>
        <w:pStyle w:val="20"/>
        <w:spacing w:line="520" w:lineRule="atLeast"/>
        <w:rPr>
          <w:rFonts w:hAnsi="宋体"/>
          <w:szCs w:val="24"/>
        </w:rPr>
      </w:pPr>
      <w:r w:rsidRPr="00EF692E">
        <w:rPr>
          <w:rFonts w:hAnsi="宋体" w:hint="eastAsia"/>
          <w:szCs w:val="24"/>
        </w:rPr>
        <w:t>H为每日应计提的基金托管费</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E 为前一日的基金资产净值扣除本基金持有的基金托管人自身托管的其他公开募集证券投资基金部分所对应资产净值后的余额，如扣除后E＜0，则E取0</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基金托管费每日计提，逐日累计至每月月末，按月支付，由基金托管人根据与基金管理人核对一致的财务数据，按照双方约定的时间，自动在次月首日起5个工作日内按照指定的账户路径从基金财产中一次性支取。若遇法定节假日、公休日或不可抗力等，支付日期顺延。</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 xml:space="preserve">11.3 </w:t>
      </w:r>
      <w:r w:rsidRPr="00EF692E">
        <w:rPr>
          <w:rFonts w:hAnsi="宋体" w:hint="eastAsia"/>
          <w:szCs w:val="24"/>
        </w:rPr>
        <w:t>C类基金份额的</w:t>
      </w:r>
      <w:r w:rsidRPr="00EF692E">
        <w:rPr>
          <w:rFonts w:hAnsi="宋体"/>
          <w:szCs w:val="24"/>
        </w:rPr>
        <w:t>销售服务费的计提比例和计提方法</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本基金A类基金份额不收取销售服务费，C类基金份额的销售服务费年费率为0.</w:t>
      </w:r>
      <w:r w:rsidRPr="00EF692E">
        <w:rPr>
          <w:rFonts w:hAnsi="宋体"/>
          <w:szCs w:val="24"/>
        </w:rPr>
        <w:t>4</w:t>
      </w:r>
      <w:r w:rsidRPr="00EF692E">
        <w:rPr>
          <w:rFonts w:hAnsi="宋体" w:hint="eastAsia"/>
          <w:szCs w:val="24"/>
        </w:rPr>
        <w:t>0%。本基金销售服务费按前一日C类基金份额的基金资产净值的0.</w:t>
      </w:r>
      <w:r w:rsidRPr="00EF692E">
        <w:rPr>
          <w:rFonts w:hAnsi="宋体"/>
          <w:szCs w:val="24"/>
        </w:rPr>
        <w:t>4</w:t>
      </w:r>
      <w:r w:rsidRPr="00EF692E">
        <w:rPr>
          <w:rFonts w:hAnsi="宋体" w:hint="eastAsia"/>
          <w:szCs w:val="24"/>
        </w:rPr>
        <w:t>0%的年费率计提。销售服务费的计算方法如下：</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H=E×0.</w:t>
      </w:r>
      <w:r w:rsidRPr="00EF692E">
        <w:rPr>
          <w:rFonts w:hAnsi="宋体"/>
          <w:szCs w:val="24"/>
        </w:rPr>
        <w:t>4</w:t>
      </w:r>
      <w:r w:rsidRPr="00EF692E">
        <w:rPr>
          <w:rFonts w:hAnsi="宋体" w:hint="eastAsia"/>
          <w:szCs w:val="24"/>
        </w:rPr>
        <w:t>0%÷当年天数</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H为C类基金份额每日应计提的销售服务费</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E为C类基金份额前一日的基金资产净值</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C类基金份额的销售服务费每日计提。</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（1）基金管理人销售服务费的返还机制</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通过基金管理人认购、申购C类基金份额的不收取销售服务费。对于通过基金管理人认购、申购该类基金份额的情况，将先行计提相应的销售服务费，待投资者赎回基金份额或基金合同终止时，该费用将随同赎回款（或清算款）一并返</w:t>
      </w:r>
      <w:r w:rsidRPr="00EF692E">
        <w:rPr>
          <w:rFonts w:hAnsi="宋体" w:hint="eastAsia"/>
          <w:szCs w:val="24"/>
        </w:rPr>
        <w:lastRenderedPageBreak/>
        <w:t>还给投资者。</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若遇法定节假日、公休日或不可抗力等，支付日期顺延。</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（2）非直销销售机构的销售服务费的收取与返还机制</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对于投资者持续持有期限未超过一年（即365天，下同）的基金份额收取的销售服务费，逐日累计至每月月末，按月支付，由基金托管人根据与基金管理人核对一致的财务数据，按照双方约定的时间，自动在次月首日起5个工作日内按照指定的账户路径从基金财产中一次性支付</w:t>
      </w:r>
      <w:r w:rsidRPr="00EF692E">
        <w:rPr>
          <w:rFonts w:hint="eastAsia"/>
          <w:bCs/>
        </w:rPr>
        <w:t>给基金管理人，由基金管理人分别支付给各个基金销售机构</w:t>
      </w:r>
      <w:r w:rsidRPr="00EF692E">
        <w:rPr>
          <w:rFonts w:hAnsi="宋体" w:hint="eastAsia"/>
          <w:szCs w:val="24"/>
        </w:rPr>
        <w:t>。</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对于基金份额持有人持续持有期限超过一年的C类基金份额，不</w:t>
      </w:r>
      <w:r w:rsidRPr="00EF692E">
        <w:rPr>
          <w:rFonts w:hint="eastAsia"/>
          <w:bCs/>
        </w:rPr>
        <w:t>再继续</w:t>
      </w:r>
      <w:r w:rsidRPr="00EF692E">
        <w:rPr>
          <w:rFonts w:hAnsi="宋体" w:hint="eastAsia"/>
          <w:szCs w:val="24"/>
        </w:rPr>
        <w:t>收取销售服务费。对于持续持有期限超过一年的基金份额继续计提的销售服务费，在投资者赎回基金份额或基金合同终止时，该费用随赎回款（或清算款）一并返还给投资者。</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若遇法定节假日、公休日或不可抗力等，支付日期顺延。</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11.4</w:t>
      </w:r>
      <w:r w:rsidRPr="00EF692E">
        <w:rPr>
          <w:rFonts w:hAnsi="宋体" w:hint="eastAsia"/>
          <w:szCs w:val="24"/>
        </w:rPr>
        <w:t>《基金合同》生效后与基金相关的信息披露费用、《基金合同》生效后与基金相关的会计师费、律师费、仲裁费和诉讼费、基金份额持有人大会费用、基金的证券交易费用、基金投资其他基金产生的相关费用、基金的银行汇划费用、基金相关账户的开户及维护费用、因投资港股通标的证券而产生的各项合理费用，但法律法规禁止从基金财产中列支的除外、以及按照国家有关规定和《基金合同》约定，可以在基金财产中列支的其他费用等根据有关法律法规、基金合同及相应协议的规定，由基金托管人按基金管理人的划款指令并根据费用实际支出金额支付，列入或摊入当期基金费用。</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11.5</w:t>
      </w:r>
      <w:r w:rsidRPr="00EF692E">
        <w:rPr>
          <w:rFonts w:hAnsi="宋体" w:hint="eastAsia"/>
          <w:szCs w:val="24"/>
        </w:rPr>
        <w:t>不列入基金费用的项目</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基金管理人和基金托管人因未履行或未完全履行义务导致的费用支出或基金财产的损失、基金管理人和基金托管人处理与基金运作无关的事项发生的费用、《基金合同》生效前的相关费用不从基金财产中支付。其他根据相关法律法规及中国证监会的有关规定不得列入基金费用的项目也不列入基金费用。</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lastRenderedPageBreak/>
        <w:t>11.6</w:t>
      </w:r>
      <w:r w:rsidRPr="00EF692E">
        <w:rPr>
          <w:rFonts w:hAnsi="宋体" w:hint="eastAsia"/>
          <w:szCs w:val="24"/>
        </w:rPr>
        <w:t>如果基金托管人发现基金管理人违反有关法律法规的有关规定和基金合同、本协议的约定，从基金财产中列支费用，有权要求基金管理人做出书面解释，如果基金托管人认为基金管理人无正当或合理的理由，可以拒绝支付。</w:t>
      </w:r>
    </w:p>
    <w:p w:rsidR="0024774E" w:rsidRPr="00EF692E" w:rsidRDefault="000975C7">
      <w:pPr>
        <w:pStyle w:val="1"/>
        <w:spacing w:line="520" w:lineRule="atLeast"/>
        <w:ind w:firstLineChars="200" w:firstLine="482"/>
        <w:rPr>
          <w:bCs/>
          <w:color w:val="auto"/>
          <w:szCs w:val="24"/>
        </w:rPr>
      </w:pPr>
      <w:bookmarkStart w:id="38" w:name="_Toc146725842"/>
      <w:bookmarkStart w:id="39" w:name="_Toc296551348"/>
      <w:r w:rsidRPr="00EF692E">
        <w:rPr>
          <w:rFonts w:hint="eastAsia"/>
          <w:bCs/>
          <w:color w:val="auto"/>
          <w:szCs w:val="24"/>
        </w:rPr>
        <w:t>第十二条</w:t>
      </w:r>
      <w:r w:rsidRPr="00EF692E">
        <w:rPr>
          <w:bCs/>
          <w:color w:val="auto"/>
          <w:szCs w:val="24"/>
        </w:rPr>
        <w:t xml:space="preserve"> </w:t>
      </w:r>
      <w:r w:rsidRPr="00EF692E">
        <w:rPr>
          <w:rFonts w:hint="eastAsia"/>
          <w:bCs/>
          <w:color w:val="auto"/>
          <w:szCs w:val="24"/>
        </w:rPr>
        <w:t>基金份额持有人名册的保管</w:t>
      </w:r>
      <w:bookmarkEnd w:id="38"/>
      <w:bookmarkEnd w:id="39"/>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12.1基金管理人和基金托管人须分别妥善保管基金份额持有人名册，基金份额持有人名册的内容必须包括基金份额持有人的名称和持有的基金份额。</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12.2基金份额持有人名册由基金的基金登记机构根据基金管理人的指令编制和保管，基金管理人和基金托管人应按照目前相关规则分别保管基金份额持有人名册。保管方式可以采用电子或文档的形式。</w:t>
      </w:r>
      <w:r w:rsidRPr="00EF692E">
        <w:rPr>
          <w:rFonts w:hAnsi="宋体" w:hint="eastAsia"/>
          <w:szCs w:val="24"/>
        </w:rPr>
        <w:t>保管期限不低于法律法规规定的最低期限。</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12.3</w:t>
      </w:r>
      <w:proofErr w:type="gramStart"/>
      <w:r w:rsidRPr="00EF692E">
        <w:rPr>
          <w:rFonts w:hAnsi="宋体" w:hint="eastAsia"/>
          <w:szCs w:val="24"/>
        </w:rPr>
        <w:t>若基金</w:t>
      </w:r>
      <w:proofErr w:type="gramEnd"/>
      <w:r w:rsidRPr="00EF692E">
        <w:rPr>
          <w:rFonts w:hAnsi="宋体" w:hint="eastAsia"/>
          <w:szCs w:val="24"/>
        </w:rPr>
        <w:t>管理人或基金托管人由于自身原因无法妥善保管基金份额持有人名册，应按有关法规规定各自承担相应的责任。</w:t>
      </w:r>
    </w:p>
    <w:p w:rsidR="0024774E" w:rsidRPr="00EF692E" w:rsidRDefault="000975C7">
      <w:pPr>
        <w:pStyle w:val="1"/>
        <w:spacing w:line="520" w:lineRule="atLeast"/>
        <w:ind w:firstLineChars="200" w:firstLine="482"/>
        <w:rPr>
          <w:bCs/>
          <w:color w:val="auto"/>
          <w:szCs w:val="24"/>
        </w:rPr>
      </w:pPr>
      <w:bookmarkStart w:id="40" w:name="_Toc146725843"/>
      <w:bookmarkStart w:id="41" w:name="_Toc296551349"/>
      <w:r w:rsidRPr="00EF692E">
        <w:rPr>
          <w:rFonts w:hint="eastAsia"/>
          <w:bCs/>
          <w:color w:val="auto"/>
          <w:szCs w:val="24"/>
        </w:rPr>
        <w:t>第十三条</w:t>
      </w:r>
      <w:r w:rsidRPr="00EF692E">
        <w:rPr>
          <w:bCs/>
          <w:color w:val="auto"/>
          <w:szCs w:val="24"/>
        </w:rPr>
        <w:t xml:space="preserve"> </w:t>
      </w:r>
      <w:r w:rsidRPr="00EF692E">
        <w:rPr>
          <w:rFonts w:hint="eastAsia"/>
          <w:bCs/>
          <w:color w:val="auto"/>
          <w:szCs w:val="24"/>
        </w:rPr>
        <w:t>基金有关文件和档案的保存</w:t>
      </w:r>
      <w:bookmarkEnd w:id="40"/>
      <w:bookmarkEnd w:id="41"/>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13.1基金管理人、基金托管人按各自职责完整保存原始凭证、记账凭证、基金账册、交易记录和重要合同等，</w:t>
      </w:r>
      <w:r w:rsidRPr="00EF692E">
        <w:rPr>
          <w:rFonts w:hAnsi="宋体" w:hint="eastAsia"/>
          <w:szCs w:val="24"/>
        </w:rPr>
        <w:t>保管期限不低于法律法规规定的最低期限，对相关信息负有保密义务，但</w:t>
      </w:r>
      <w:r w:rsidRPr="00EF692E">
        <w:rPr>
          <w:rFonts w:asciiTheme="minorEastAsia" w:eastAsiaTheme="minorEastAsia" w:hAnsiTheme="minorEastAsia" w:hint="eastAsia"/>
          <w:szCs w:val="24"/>
        </w:rPr>
        <w:t>本协议另有约定或</w:t>
      </w:r>
      <w:r w:rsidRPr="00EF692E">
        <w:rPr>
          <w:rFonts w:hAnsi="宋体" w:hint="eastAsia"/>
          <w:szCs w:val="24"/>
        </w:rPr>
        <w:t>根据有关法律法规规定或有权机关要求披露的除外。其中，基金管理人应保存基金财产管理业务活动的记录、账册、报表和其他相关资料，基金托管人应保存基金托管业务活动的记录、账册、报表和其他相关资料。</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13.2基金管理人签署重大合同文本后，应及时将合同文本正本送达基金托管</w:t>
      </w:r>
      <w:r w:rsidRPr="00EF692E">
        <w:rPr>
          <w:rFonts w:hAnsi="宋体" w:hint="eastAsia"/>
          <w:szCs w:val="24"/>
        </w:rPr>
        <w:t>人处。基金管理人应及时将与本基金账务处理、资金划拨等有关的合同、协议传真给基金托管人。</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13.3基金管理人或基金托管人变更后，未变更的一方有义务协助接任人接</w:t>
      </w:r>
      <w:r w:rsidRPr="00EF692E">
        <w:rPr>
          <w:rFonts w:hAnsi="宋体" w:hint="eastAsia"/>
          <w:szCs w:val="24"/>
        </w:rPr>
        <w:t>收</w:t>
      </w:r>
      <w:r w:rsidRPr="00EF692E">
        <w:rPr>
          <w:rFonts w:hAnsi="宋体"/>
          <w:szCs w:val="24"/>
        </w:rPr>
        <w:t>基金的有关文件。</w:t>
      </w:r>
    </w:p>
    <w:p w:rsidR="0024774E" w:rsidRPr="00EF692E" w:rsidRDefault="000975C7">
      <w:pPr>
        <w:pStyle w:val="1"/>
        <w:spacing w:line="520" w:lineRule="atLeast"/>
        <w:ind w:firstLineChars="200" w:firstLine="482"/>
        <w:rPr>
          <w:bCs/>
          <w:color w:val="auto"/>
          <w:szCs w:val="24"/>
        </w:rPr>
      </w:pPr>
      <w:bookmarkStart w:id="42" w:name="_Toc296551350"/>
      <w:bookmarkStart w:id="43" w:name="_Toc146725844"/>
      <w:r w:rsidRPr="00EF692E">
        <w:rPr>
          <w:rFonts w:hint="eastAsia"/>
          <w:bCs/>
          <w:color w:val="auto"/>
          <w:szCs w:val="24"/>
        </w:rPr>
        <w:t>第十四条</w:t>
      </w:r>
      <w:r w:rsidRPr="00EF692E">
        <w:rPr>
          <w:bCs/>
          <w:color w:val="auto"/>
          <w:szCs w:val="24"/>
        </w:rPr>
        <w:t xml:space="preserve"> </w:t>
      </w:r>
      <w:r w:rsidRPr="00EF692E">
        <w:rPr>
          <w:rFonts w:hint="eastAsia"/>
          <w:bCs/>
          <w:color w:val="auto"/>
          <w:szCs w:val="24"/>
        </w:rPr>
        <w:t>基金管理人和基金托管人的更换</w:t>
      </w:r>
      <w:bookmarkEnd w:id="42"/>
      <w:bookmarkEnd w:id="43"/>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14.1基金管理人的更换</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lastRenderedPageBreak/>
        <w:t>14.1.1基金管理人的更换条件</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有下列情形之一的，基金管理人职责终止：</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1）被依法取消基金管理资格；</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2）被基金份额持有人大会解任；</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3）依法解散、被依法撤销或被依法宣告破产；</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4）法律法规及中国证监会规定的和《基金合同》约定的其他情形。</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14.1.2基金管理人的更换程序</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1）提名：</w:t>
      </w:r>
      <w:proofErr w:type="gramStart"/>
      <w:r w:rsidRPr="00EF692E">
        <w:rPr>
          <w:rFonts w:hAnsi="宋体" w:hint="eastAsia"/>
          <w:szCs w:val="24"/>
        </w:rPr>
        <w:t>新任基金</w:t>
      </w:r>
      <w:proofErr w:type="gramEnd"/>
      <w:r w:rsidRPr="00EF692E">
        <w:rPr>
          <w:rFonts w:hAnsi="宋体" w:hint="eastAsia"/>
          <w:szCs w:val="24"/>
        </w:rPr>
        <w:t>管理人由基金托管人或由单独或合计持有</w:t>
      </w:r>
      <w:r w:rsidRPr="00EF692E">
        <w:rPr>
          <w:rFonts w:hAnsi="宋体"/>
          <w:szCs w:val="24"/>
        </w:rPr>
        <w:t>10%以上（含10%）基金份额的基金份额持有人提名；</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3）临时基金管理人：</w:t>
      </w:r>
      <w:proofErr w:type="gramStart"/>
      <w:r w:rsidRPr="00EF692E">
        <w:rPr>
          <w:rFonts w:hAnsi="宋体" w:hint="eastAsia"/>
          <w:szCs w:val="24"/>
        </w:rPr>
        <w:t>新任基金</w:t>
      </w:r>
      <w:proofErr w:type="gramEnd"/>
      <w:r w:rsidRPr="00EF692E">
        <w:rPr>
          <w:rFonts w:hAnsi="宋体" w:hint="eastAsia"/>
          <w:szCs w:val="24"/>
        </w:rPr>
        <w:t>管理人产生之前，由中国证监会指定临时基金管理人；</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4）备案：基金份额持有人大会更换基金管理人的决议须报中国证监会备案；</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5）公告：基金管理人更换后，由基金托管人在更换基金管理人的基金份额持有人大会决议生效后依照《信息披露办法》的有关规定在规定媒介公告；</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6）交接：基金管理人职责终止的，基金管理人应妥善保管基金管理业务资料，及时向临时基金管理人或</w:t>
      </w:r>
      <w:proofErr w:type="gramStart"/>
      <w:r w:rsidRPr="00EF692E">
        <w:rPr>
          <w:rFonts w:hAnsi="宋体" w:hint="eastAsia"/>
          <w:szCs w:val="24"/>
        </w:rPr>
        <w:t>新任基金</w:t>
      </w:r>
      <w:proofErr w:type="gramEnd"/>
      <w:r w:rsidRPr="00EF692E">
        <w:rPr>
          <w:rFonts w:hAnsi="宋体" w:hint="eastAsia"/>
          <w:szCs w:val="24"/>
        </w:rPr>
        <w:t>管理人办理基金管理业务的移交手续，临时基金管理人或</w:t>
      </w:r>
      <w:proofErr w:type="gramStart"/>
      <w:r w:rsidRPr="00EF692E">
        <w:rPr>
          <w:rFonts w:hAnsi="宋体" w:hint="eastAsia"/>
          <w:szCs w:val="24"/>
        </w:rPr>
        <w:t>新任基金</w:t>
      </w:r>
      <w:proofErr w:type="gramEnd"/>
      <w:r w:rsidRPr="00EF692E">
        <w:rPr>
          <w:rFonts w:hAnsi="宋体" w:hint="eastAsia"/>
          <w:szCs w:val="24"/>
        </w:rPr>
        <w:t>管理人应及时接收。</w:t>
      </w:r>
      <w:proofErr w:type="gramStart"/>
      <w:r w:rsidRPr="00EF692E">
        <w:rPr>
          <w:rFonts w:hAnsi="宋体" w:hint="eastAsia"/>
          <w:szCs w:val="24"/>
        </w:rPr>
        <w:t>新任基金</w:t>
      </w:r>
      <w:proofErr w:type="gramEnd"/>
      <w:r w:rsidRPr="00EF692E">
        <w:rPr>
          <w:rFonts w:hAnsi="宋体" w:hint="eastAsia"/>
          <w:szCs w:val="24"/>
        </w:rPr>
        <w:t>管理人或临时基金管理人应与基金托管人核对基金资产总值和基金资产净值；</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7）审计：基金管理人职责终止的，应当</w:t>
      </w:r>
      <w:r w:rsidRPr="00EF692E">
        <w:rPr>
          <w:bCs/>
        </w:rPr>
        <w:t>按照法律法规规定</w:t>
      </w:r>
      <w:r w:rsidRPr="00EF692E">
        <w:rPr>
          <w:rFonts w:hAnsi="宋体"/>
          <w:szCs w:val="24"/>
        </w:rPr>
        <w:t>聘请会计师事务</w:t>
      </w:r>
      <w:r w:rsidRPr="00EF692E">
        <w:rPr>
          <w:rFonts w:hAnsi="宋体" w:hint="eastAsia"/>
          <w:szCs w:val="24"/>
        </w:rPr>
        <w:t>所对基金财产进行审计，并将审计结果予以公告，同时报中国证监会备案，审计费用由基金财产承担；</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8）基金名称变更：基金管理人更换后，如果原任或</w:t>
      </w:r>
      <w:proofErr w:type="gramStart"/>
      <w:r w:rsidRPr="00EF692E">
        <w:rPr>
          <w:rFonts w:hAnsi="宋体" w:hint="eastAsia"/>
          <w:szCs w:val="24"/>
        </w:rPr>
        <w:t>新任基金</w:t>
      </w:r>
      <w:proofErr w:type="gramEnd"/>
      <w:r w:rsidRPr="00EF692E">
        <w:rPr>
          <w:rFonts w:hAnsi="宋体" w:hint="eastAsia"/>
          <w:szCs w:val="24"/>
        </w:rPr>
        <w:t>管理人要求，</w:t>
      </w:r>
      <w:r w:rsidRPr="00EF692E">
        <w:rPr>
          <w:rFonts w:hAnsi="宋体" w:hint="eastAsia"/>
          <w:szCs w:val="24"/>
        </w:rPr>
        <w:lastRenderedPageBreak/>
        <w:t>应按其要求替换或删除基金名称中与原任基金管理人有关的名称字样。</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14.2基金托管人的更换</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14.2.1基金托管人的更换条件</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有下列情形之一的，基金托管人职责终止：</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1）被依法取消基金托管资格；</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2）被基金份额持有人大会解任；</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3）依法解散、被依法撤销或被依法宣告破产；</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4）法律法规及中国证监会规定的和《基金合同》约定的其他情形。</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14.2.2基金托管人的更换程序</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1）提名：</w:t>
      </w:r>
      <w:proofErr w:type="gramStart"/>
      <w:r w:rsidRPr="00EF692E">
        <w:rPr>
          <w:rFonts w:hAnsi="宋体" w:hint="eastAsia"/>
          <w:szCs w:val="24"/>
        </w:rPr>
        <w:t>新任基金</w:t>
      </w:r>
      <w:proofErr w:type="gramEnd"/>
      <w:r w:rsidRPr="00EF692E">
        <w:rPr>
          <w:rFonts w:hAnsi="宋体" w:hint="eastAsia"/>
          <w:szCs w:val="24"/>
        </w:rPr>
        <w:t>托管人由基金管理人或由单独或合计持有</w:t>
      </w:r>
      <w:r w:rsidRPr="00EF692E">
        <w:rPr>
          <w:rFonts w:hAnsi="宋体"/>
          <w:szCs w:val="24"/>
        </w:rPr>
        <w:t>10%以上（含10%）基金份额的基金份额持有人提名；</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3）临时基金托管人：</w:t>
      </w:r>
      <w:proofErr w:type="gramStart"/>
      <w:r w:rsidRPr="00EF692E">
        <w:rPr>
          <w:rFonts w:hAnsi="宋体" w:hint="eastAsia"/>
          <w:szCs w:val="24"/>
        </w:rPr>
        <w:t>新任基金</w:t>
      </w:r>
      <w:proofErr w:type="gramEnd"/>
      <w:r w:rsidRPr="00EF692E">
        <w:rPr>
          <w:rFonts w:hAnsi="宋体" w:hint="eastAsia"/>
          <w:szCs w:val="24"/>
        </w:rPr>
        <w:t>托管人产生之前，由中国证监会指定临时基金托管人；</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4）备案：基金份额持有人大会更换基金托管人的决议须报中国证监会备案；</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5）公告：基金托管人更换后，由基金管理人在更换基金托管人的基金份额持有人大会决议生效后依照《信息披露办法》的有关规定在规定媒介公告；</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6）交接：基金托管人职责终止的，应当妥善保管基金财产和基金托管业务资料，及时办理基金财产和基金托管业务的移交手续，</w:t>
      </w:r>
      <w:proofErr w:type="gramStart"/>
      <w:r w:rsidRPr="00EF692E">
        <w:rPr>
          <w:rFonts w:hAnsi="宋体" w:hint="eastAsia"/>
          <w:szCs w:val="24"/>
        </w:rPr>
        <w:t>新任基金</w:t>
      </w:r>
      <w:proofErr w:type="gramEnd"/>
      <w:r w:rsidRPr="00EF692E">
        <w:rPr>
          <w:rFonts w:hAnsi="宋体" w:hint="eastAsia"/>
          <w:szCs w:val="24"/>
        </w:rPr>
        <w:t>托管人或者临时基金托管人应当及时接收。</w:t>
      </w:r>
      <w:proofErr w:type="gramStart"/>
      <w:r w:rsidRPr="00EF692E">
        <w:rPr>
          <w:rFonts w:hAnsi="宋体" w:hint="eastAsia"/>
          <w:szCs w:val="24"/>
        </w:rPr>
        <w:t>新任基金</w:t>
      </w:r>
      <w:proofErr w:type="gramEnd"/>
      <w:r w:rsidRPr="00EF692E">
        <w:rPr>
          <w:rFonts w:hAnsi="宋体" w:hint="eastAsia"/>
          <w:szCs w:val="24"/>
        </w:rPr>
        <w:t>托管人或临时基金托管人与基金管理人核对基金资产总值和基金资产净值；</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7）审计：基金托管人职责终止的，应当</w:t>
      </w:r>
      <w:r w:rsidRPr="00EF692E">
        <w:rPr>
          <w:rFonts w:hAnsi="宋体" w:hint="eastAsia"/>
          <w:szCs w:val="24"/>
        </w:rPr>
        <w:t>按照法律法规规定</w:t>
      </w:r>
      <w:r w:rsidRPr="00EF692E">
        <w:rPr>
          <w:rFonts w:hAnsi="宋体"/>
          <w:szCs w:val="24"/>
        </w:rPr>
        <w:t>聘请会计师事务所对基金财产进行审计，并将审计结果予以公告，同时报中国证监会备案，审</w:t>
      </w:r>
      <w:r w:rsidRPr="00EF692E">
        <w:rPr>
          <w:rFonts w:hAnsi="宋体"/>
          <w:szCs w:val="24"/>
        </w:rPr>
        <w:lastRenderedPageBreak/>
        <w:t>计费</w:t>
      </w:r>
      <w:r w:rsidRPr="00EF692E">
        <w:rPr>
          <w:rFonts w:hAnsi="宋体" w:hint="eastAsia"/>
          <w:szCs w:val="24"/>
        </w:rPr>
        <w:t>用由基金财产承担。</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14.3</w:t>
      </w:r>
      <w:r w:rsidRPr="00EF692E">
        <w:rPr>
          <w:rFonts w:hAnsi="宋体" w:hint="eastAsia"/>
          <w:szCs w:val="24"/>
        </w:rPr>
        <w:t>基金管理人与基金托管人同时更换的条件和程序</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1）提名：如果基金管理人和基金托管人同时更换，由单独或合计持有基金总份额10%以上（含10%）的基金份额持有人提名新的基金管理人和基金托管人；</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2）基金管理人和基金托管人的更换分别按上述程序进行；</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3）公告：</w:t>
      </w:r>
      <w:proofErr w:type="gramStart"/>
      <w:r w:rsidRPr="00EF692E">
        <w:rPr>
          <w:rFonts w:hAnsi="宋体" w:hint="eastAsia"/>
          <w:szCs w:val="24"/>
        </w:rPr>
        <w:t>新任基金</w:t>
      </w:r>
      <w:proofErr w:type="gramEnd"/>
      <w:r w:rsidRPr="00EF692E">
        <w:rPr>
          <w:rFonts w:hAnsi="宋体" w:hint="eastAsia"/>
          <w:szCs w:val="24"/>
        </w:rPr>
        <w:t>管理人和</w:t>
      </w:r>
      <w:proofErr w:type="gramStart"/>
      <w:r w:rsidRPr="00EF692E">
        <w:rPr>
          <w:rFonts w:hAnsi="宋体" w:hint="eastAsia"/>
          <w:szCs w:val="24"/>
        </w:rPr>
        <w:t>新任基金</w:t>
      </w:r>
      <w:proofErr w:type="gramEnd"/>
      <w:r w:rsidRPr="00EF692E">
        <w:rPr>
          <w:rFonts w:hAnsi="宋体" w:hint="eastAsia"/>
          <w:szCs w:val="24"/>
        </w:rPr>
        <w:t>托管人应在更换基金管理人和基金托管人的基金份额持有人大会决议生效后依照《信息披露办法》的有关规定在规定媒介上联合公告。</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14.4</w:t>
      </w:r>
      <w:proofErr w:type="gramStart"/>
      <w:r w:rsidRPr="00EF692E">
        <w:rPr>
          <w:rFonts w:hAnsi="宋体" w:hint="eastAsia"/>
          <w:szCs w:val="24"/>
        </w:rPr>
        <w:t>新任基金</w:t>
      </w:r>
      <w:proofErr w:type="gramEnd"/>
      <w:r w:rsidRPr="00EF692E">
        <w:rPr>
          <w:rFonts w:hAnsi="宋体" w:hint="eastAsia"/>
          <w:szCs w:val="24"/>
        </w:rPr>
        <w:t>管理人或临时基金管理人接收基金管理业务，或</w:t>
      </w:r>
      <w:proofErr w:type="gramStart"/>
      <w:r w:rsidRPr="00EF692E">
        <w:rPr>
          <w:rFonts w:hAnsi="宋体" w:hint="eastAsia"/>
          <w:szCs w:val="24"/>
        </w:rPr>
        <w:t>新任基金</w:t>
      </w:r>
      <w:proofErr w:type="gramEnd"/>
      <w:r w:rsidRPr="00EF692E">
        <w:rPr>
          <w:rFonts w:hAnsi="宋体" w:hint="eastAsia"/>
          <w:szCs w:val="24"/>
        </w:rPr>
        <w:t>托管人或临时基金托管人接收基金财产和基金托管业务前，原任基金管理人或原任基金托管人应依据法律法规</w:t>
      </w:r>
      <w:r w:rsidRPr="00EF692E">
        <w:rPr>
          <w:rFonts w:hint="eastAsia"/>
          <w:bCs/>
        </w:rPr>
        <w:t>规定</w:t>
      </w:r>
      <w:r w:rsidRPr="00EF692E">
        <w:rPr>
          <w:rFonts w:hAnsi="宋体" w:hint="eastAsia"/>
          <w:szCs w:val="24"/>
        </w:rPr>
        <w:t>和基金合同约定继续履行相关职责，并保证不做出对基金份额持有人的利益造成损害的行为。原任基金管理人或原任基金托管人在继续履行相关职责期间，仍有权按照基金合同的约定收取基金管理费或基金托管费。</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14.5本部</w:t>
      </w:r>
      <w:proofErr w:type="gramStart"/>
      <w:r w:rsidRPr="00EF692E">
        <w:rPr>
          <w:rFonts w:hAnsi="宋体" w:hint="eastAsia"/>
          <w:szCs w:val="24"/>
        </w:rPr>
        <w:t>分关于</w:t>
      </w:r>
      <w:proofErr w:type="gramEnd"/>
      <w:r w:rsidRPr="00EF692E">
        <w:rPr>
          <w:rFonts w:hAnsi="宋体" w:hint="eastAsia"/>
          <w:szCs w:val="24"/>
        </w:rPr>
        <w:t>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rsidR="0024774E" w:rsidRPr="00EF692E" w:rsidRDefault="000975C7">
      <w:pPr>
        <w:pStyle w:val="1"/>
        <w:spacing w:line="520" w:lineRule="atLeast"/>
        <w:ind w:firstLineChars="200" w:firstLine="482"/>
        <w:rPr>
          <w:bCs/>
          <w:color w:val="auto"/>
          <w:szCs w:val="24"/>
        </w:rPr>
      </w:pPr>
      <w:bookmarkStart w:id="44" w:name="_Toc146725845"/>
      <w:bookmarkStart w:id="45" w:name="_Toc296551351"/>
      <w:r w:rsidRPr="00EF692E">
        <w:rPr>
          <w:rFonts w:hint="eastAsia"/>
          <w:bCs/>
          <w:color w:val="auto"/>
          <w:szCs w:val="24"/>
        </w:rPr>
        <w:t>第十五条</w:t>
      </w:r>
      <w:r w:rsidRPr="00EF692E">
        <w:rPr>
          <w:bCs/>
          <w:color w:val="auto"/>
          <w:szCs w:val="24"/>
        </w:rPr>
        <w:t xml:space="preserve"> </w:t>
      </w:r>
      <w:r w:rsidRPr="00EF692E">
        <w:rPr>
          <w:rFonts w:hint="eastAsia"/>
          <w:bCs/>
          <w:color w:val="auto"/>
          <w:szCs w:val="24"/>
        </w:rPr>
        <w:t>禁止行为</w:t>
      </w:r>
      <w:bookmarkEnd w:id="44"/>
      <w:bookmarkEnd w:id="45"/>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15.1基金管理人、基金托管人禁止从事的行为，包括但不限于：</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15.1.1基金管理人、基金托管人将其固有财产或者他人财产混同于基金财产从事证券投资。</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15.1.2基金管理人不公平地对待其管理的不同基金财产，基金托管人不公平地对待其托管的不同基金财产。</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15.1.3</w:t>
      </w:r>
      <w:r w:rsidRPr="00EF692E">
        <w:rPr>
          <w:rFonts w:hAnsi="宋体" w:hint="eastAsia"/>
          <w:szCs w:val="24"/>
        </w:rPr>
        <w:t>基金管理人、基金托管人利用基金财产或职务之便为基金份额持有</w:t>
      </w:r>
      <w:r w:rsidRPr="00EF692E">
        <w:rPr>
          <w:rFonts w:hAnsi="宋体" w:hint="eastAsia"/>
          <w:szCs w:val="24"/>
        </w:rPr>
        <w:lastRenderedPageBreak/>
        <w:t>人以外的第三人牟取利益。</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15.1.4基金管理人、基金托管人向基金份额持有人违规承诺收益或者承担损失。</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15.1.5基金管理人、基金托管人对他人泄</w:t>
      </w:r>
      <w:r w:rsidRPr="00EF692E">
        <w:rPr>
          <w:rFonts w:hAnsi="宋体" w:hint="eastAsia"/>
          <w:szCs w:val="24"/>
        </w:rPr>
        <w:t>露基金运作和管理过程中任何尚未按法律法规规定的方式公开披露的信息。</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15.1.6基金管理人在没有充足资金的情况下向基金托管人发出投资指令和赎回、分红资金的划拨指令，或违规向基金托管人发出指令。</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15.1.7基金管理人、基金托管人在行政上、财务上不独立，其高级管理人员和其他从业人员相互兼职。</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15.1.8基金托管人私自动用或处分基金财产，根据基金管理人的合法指令、基金合同或本协议的规定进行处分的除外。</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15.1.9基金财产</w:t>
      </w:r>
      <w:r w:rsidRPr="00EF692E">
        <w:rPr>
          <w:rFonts w:hAnsi="宋体" w:hint="eastAsia"/>
          <w:szCs w:val="24"/>
        </w:rPr>
        <w:t>不得</w:t>
      </w:r>
      <w:r w:rsidRPr="00EF692E">
        <w:rPr>
          <w:rFonts w:hAnsi="宋体"/>
          <w:szCs w:val="24"/>
        </w:rPr>
        <w:t>用于下列投资或者活动：</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1）承销证券；</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2）违反规定向他人贷款或者提供担保；</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3）从事承担无限责任的投资；</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4）向其基金管理人、基金托管人出资；</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（5）</w:t>
      </w:r>
      <w:r w:rsidRPr="00EF692E">
        <w:rPr>
          <w:rFonts w:hAnsi="宋体"/>
          <w:szCs w:val="24"/>
        </w:rPr>
        <w:t>从事内幕交易、操纵证券交易价格及其他不正当的证券交易活动；</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6）法律、行政法规和中国证监会规定禁止的其他活动。</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15.1.10法律法规或监管部门取消或变更上述禁止性规定，如适用于本基金，在履行适当程序后，本基金投资不再受相关限制或按变更后的规定执行。</w:t>
      </w:r>
    </w:p>
    <w:p w:rsidR="0024774E" w:rsidRPr="00EF692E" w:rsidRDefault="000975C7">
      <w:pPr>
        <w:pStyle w:val="1"/>
        <w:spacing w:line="520" w:lineRule="atLeast"/>
        <w:ind w:firstLineChars="200" w:firstLine="482"/>
        <w:rPr>
          <w:bCs/>
          <w:color w:val="auto"/>
          <w:szCs w:val="24"/>
        </w:rPr>
      </w:pPr>
      <w:bookmarkStart w:id="46" w:name="_Toc296551352"/>
      <w:bookmarkStart w:id="47" w:name="_Toc146725846"/>
      <w:r w:rsidRPr="00EF692E">
        <w:rPr>
          <w:rFonts w:hint="eastAsia"/>
          <w:bCs/>
          <w:color w:val="auto"/>
          <w:szCs w:val="24"/>
        </w:rPr>
        <w:t>第十六条</w:t>
      </w:r>
      <w:r w:rsidRPr="00EF692E">
        <w:rPr>
          <w:bCs/>
          <w:color w:val="auto"/>
          <w:szCs w:val="24"/>
        </w:rPr>
        <w:t xml:space="preserve"> </w:t>
      </w:r>
      <w:r w:rsidRPr="00EF692E">
        <w:rPr>
          <w:rFonts w:hint="eastAsia"/>
          <w:bCs/>
          <w:color w:val="auto"/>
          <w:szCs w:val="24"/>
        </w:rPr>
        <w:t>本协议的变更、终止与基金财产的清算</w:t>
      </w:r>
      <w:bookmarkEnd w:id="46"/>
      <w:bookmarkEnd w:id="47"/>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16.1本协议的变更与终止</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16.1.1本协议的变更程序</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本协议双方当事人经协商一致，可以对协议的内容进行变更。变更后的托管协议，其内容不得与基金合同的规定有任何冲突。</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16.1.2本协议终止的情形</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lastRenderedPageBreak/>
        <w:t>发生以下情况，本协议终止：</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1）基金合同终止；</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2）基金托管人解散、依法被撤销、破产或由其他基金托管人接管基金资产；</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3）基金管理人解散、依法被撤销、破产或由其他基金管理人接管基金管理</w:t>
      </w:r>
      <w:r w:rsidRPr="00EF692E">
        <w:rPr>
          <w:rFonts w:hAnsi="宋体" w:hint="eastAsia"/>
          <w:szCs w:val="24"/>
        </w:rPr>
        <w:t>权；</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4）发生法律法规或基金合同规定的终止事项。</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16.2基金财产的清算</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16.2.1基金财产清算小组</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1）自出现基金合同终止事由之日起30个工作日内成立基金财产清算小组，基金管理人组织基金财产清算小组并在中国证监会的监督下进行基金清算。</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2）</w:t>
      </w:r>
      <w:r w:rsidRPr="00EF692E">
        <w:rPr>
          <w:rFonts w:hAnsi="宋体" w:hint="eastAsia"/>
          <w:szCs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3）基金财产清算小组职责：基金财产清算小组负责基金财产的保管、清理、估价、变现和分配。基金财产清算小组可以依法进行必要的民事活动。</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16.2.2基金财产清算程序</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1）基金合同终止情形出现时，由基金财产清算小组统一接管基金；</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2）对基金财产和债权债务进行清理和确认；</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3）对基金财产进行估值和变现；</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4）制作清算报告；</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5）聘请会计师事务所对清算报告进行外部审计，聘请律师事务所对清算报告出具法律意见书；</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6）将清算报告报中国证监会备案并公告；</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7）对基金剩余财产进行分配。</w:t>
      </w:r>
    </w:p>
    <w:p w:rsidR="0024774E" w:rsidRPr="00EF692E" w:rsidRDefault="000975C7">
      <w:pPr>
        <w:pStyle w:val="20"/>
        <w:spacing w:before="0" w:after="0" w:line="520" w:lineRule="atLeast"/>
        <w:ind w:left="0" w:firstLineChars="200" w:firstLine="480"/>
        <w:rPr>
          <w:bCs/>
          <w:szCs w:val="24"/>
        </w:rPr>
      </w:pPr>
      <w:r w:rsidRPr="00EF692E">
        <w:rPr>
          <w:rFonts w:hint="eastAsia"/>
          <w:bCs/>
        </w:rPr>
        <w:t>基金财产清算的期限为</w:t>
      </w:r>
      <w:r w:rsidRPr="00EF692E">
        <w:rPr>
          <w:bCs/>
        </w:rPr>
        <w:t>6</w:t>
      </w:r>
      <w:r w:rsidRPr="00EF692E">
        <w:rPr>
          <w:rFonts w:hint="eastAsia"/>
          <w:bCs/>
        </w:rPr>
        <w:t>个月</w:t>
      </w:r>
      <w:r w:rsidRPr="00EF692E">
        <w:rPr>
          <w:rFonts w:hint="eastAsia"/>
          <w:bCs/>
          <w:szCs w:val="24"/>
        </w:rPr>
        <w:t>，但因本基金所持证券、基金的流动性受到限</w:t>
      </w:r>
      <w:r w:rsidRPr="00EF692E">
        <w:rPr>
          <w:rFonts w:hint="eastAsia"/>
          <w:bCs/>
          <w:szCs w:val="24"/>
        </w:rPr>
        <w:lastRenderedPageBreak/>
        <w:t>制而不能及时变现的，清算期限相应顺延。</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16.2.3清算费用</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清算费用是指基金财产清算小组在进行基金清算过程中发生的所有合理费用，清算费用由基金财产清算小组优先从基金剩余财产中支付。</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16.2.4</w:t>
      </w:r>
      <w:r w:rsidRPr="00EF692E">
        <w:rPr>
          <w:rFonts w:hAnsi="宋体" w:hint="eastAsia"/>
          <w:szCs w:val="24"/>
        </w:rPr>
        <w:t>基金财产清算剩余资产的分配</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依据基金财产清算的分配方案，将基金财产清算后的全部剩余资产扣除基金财产清算费用、交纳所欠税款并清偿基金债务后，按基金份额持有人持有的基金份额比例进行分配</w:t>
      </w:r>
      <w:r w:rsidRPr="00EF692E">
        <w:rPr>
          <w:rFonts w:hAnsi="宋体"/>
          <w:szCs w:val="24"/>
        </w:rPr>
        <w:t>。</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16.2.5基金财产清算的公告</w:t>
      </w:r>
    </w:p>
    <w:p w:rsidR="0024774E" w:rsidRPr="00EF692E" w:rsidRDefault="000975C7">
      <w:pPr>
        <w:pStyle w:val="20"/>
        <w:spacing w:before="0" w:after="0" w:line="520" w:lineRule="atLeast"/>
        <w:ind w:left="0" w:firstLineChars="200" w:firstLine="480"/>
        <w:rPr>
          <w:rFonts w:ascii="Times New Roman"/>
          <w:bCs/>
        </w:rPr>
      </w:pPr>
      <w:r w:rsidRPr="00EF692E">
        <w:rPr>
          <w:rFonts w:ascii="Times New Roman" w:hint="eastAsia"/>
          <w:bCs/>
        </w:rPr>
        <w:t>清算过程中的有关重大事项须及时公告；基金财产清算报告</w:t>
      </w:r>
      <w:proofErr w:type="gramStart"/>
      <w:r w:rsidRPr="00EF692E">
        <w:rPr>
          <w:rFonts w:ascii="Times New Roman" w:hint="eastAsia"/>
          <w:bCs/>
        </w:rPr>
        <w:t>经符合</w:t>
      </w:r>
      <w:proofErr w:type="gramEnd"/>
      <w:r w:rsidRPr="00EF692E">
        <w:rPr>
          <w:rFonts w:ascii="Times New Roman" w:hint="eastAsia"/>
          <w:bCs/>
        </w:rPr>
        <w:t>《中华人民共和国证券法》规定的会计师事务所审计并由律师事务所出具法律意见书后报中国证监会备案并公告。基金财产清算公告于基金财产清算报告报中国证监会备案后</w:t>
      </w:r>
      <w:r w:rsidRPr="00EF692E">
        <w:rPr>
          <w:rFonts w:ascii="Times New Roman"/>
          <w:bCs/>
        </w:rPr>
        <w:t>5</w:t>
      </w:r>
      <w:r w:rsidRPr="00EF692E">
        <w:rPr>
          <w:rFonts w:ascii="Times New Roman" w:hint="eastAsia"/>
          <w:bCs/>
        </w:rPr>
        <w:t>个工作日内由基金财产清算小组进行公告。</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16.2.6基金财产清算账册及文件的保存</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基金财产清算账册及有关文件由基金托管人保存，保存</w:t>
      </w:r>
      <w:r w:rsidRPr="00EF692E">
        <w:rPr>
          <w:rFonts w:hint="eastAsia"/>
          <w:bCs/>
        </w:rPr>
        <w:t>期</w:t>
      </w:r>
      <w:r w:rsidRPr="00EF692E">
        <w:rPr>
          <w:rFonts w:hAnsi="宋体" w:hint="eastAsia"/>
          <w:szCs w:val="24"/>
        </w:rPr>
        <w:t>限不低于法律法规规定的最低期限。</w:t>
      </w:r>
      <w:bookmarkStart w:id="48" w:name="_Toc296551353"/>
    </w:p>
    <w:p w:rsidR="0024774E" w:rsidRPr="00EF692E" w:rsidRDefault="000975C7">
      <w:pPr>
        <w:pStyle w:val="1"/>
        <w:spacing w:line="520" w:lineRule="atLeast"/>
        <w:ind w:firstLineChars="200" w:firstLine="482"/>
        <w:rPr>
          <w:bCs/>
          <w:color w:val="auto"/>
          <w:szCs w:val="24"/>
        </w:rPr>
      </w:pPr>
      <w:bookmarkStart w:id="49" w:name="_Toc146725847"/>
      <w:r w:rsidRPr="00EF692E">
        <w:rPr>
          <w:rFonts w:hint="eastAsia"/>
          <w:bCs/>
          <w:color w:val="auto"/>
          <w:szCs w:val="24"/>
        </w:rPr>
        <w:t>第十七条</w:t>
      </w:r>
      <w:r w:rsidRPr="00EF692E">
        <w:rPr>
          <w:bCs/>
          <w:color w:val="auto"/>
          <w:szCs w:val="24"/>
        </w:rPr>
        <w:t xml:space="preserve"> </w:t>
      </w:r>
      <w:r w:rsidRPr="00EF692E">
        <w:rPr>
          <w:rFonts w:hint="eastAsia"/>
          <w:bCs/>
          <w:color w:val="auto"/>
          <w:szCs w:val="24"/>
        </w:rPr>
        <w:t>违约责任</w:t>
      </w:r>
      <w:bookmarkEnd w:id="48"/>
      <w:bookmarkEnd w:id="49"/>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17.1如果基金管理人或基金托管人不履行本协议或者履行本协议不符合约定的，应当承担违约责任。</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17.2</w:t>
      </w:r>
      <w:r w:rsidRPr="00EF692E">
        <w:rPr>
          <w:rFonts w:hAnsi="宋体" w:hint="eastAsia"/>
          <w:b/>
          <w:bCs/>
          <w:szCs w:val="24"/>
        </w:rPr>
        <w:t>因托管协议当事人违约给基金财产或者基金份额持有人造成损害的，应当分别对各自的行为依法承担赔偿责任，因共同行为给基金财产或者基金份额持有人造成损害的，应当承担连带赔偿责任。</w:t>
      </w:r>
      <w:r w:rsidRPr="00EF692E">
        <w:rPr>
          <w:rFonts w:hAnsi="宋体" w:hint="eastAsia"/>
          <w:szCs w:val="24"/>
        </w:rPr>
        <w:t>但是发生下列情况，当事人免责：</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1）不可抗力；</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2）基金管理人</w:t>
      </w:r>
      <w:r w:rsidRPr="00EF692E">
        <w:rPr>
          <w:rFonts w:hint="eastAsia"/>
          <w:bCs/>
        </w:rPr>
        <w:t>和/或</w:t>
      </w:r>
      <w:r w:rsidRPr="00EF692E">
        <w:rPr>
          <w:rFonts w:hAnsi="宋体" w:hint="eastAsia"/>
          <w:szCs w:val="24"/>
        </w:rPr>
        <w:t>基金托管人按照</w:t>
      </w:r>
      <w:r w:rsidRPr="00EF692E">
        <w:rPr>
          <w:rFonts w:hint="eastAsia"/>
          <w:bCs/>
        </w:rPr>
        <w:t>届时</w:t>
      </w:r>
      <w:r w:rsidRPr="00EF692E">
        <w:rPr>
          <w:rFonts w:hAnsi="宋体" w:hint="eastAsia"/>
          <w:szCs w:val="24"/>
        </w:rPr>
        <w:t>有效的法律法规或中国证监会的规定作为或不作为而造成的损失等；</w:t>
      </w:r>
    </w:p>
    <w:p w:rsidR="0024774E" w:rsidRPr="00EF692E" w:rsidRDefault="000975C7">
      <w:pPr>
        <w:pStyle w:val="20"/>
        <w:spacing w:before="0" w:after="0" w:line="520" w:lineRule="atLeast"/>
        <w:ind w:left="0" w:firstLineChars="200" w:firstLine="480"/>
        <w:rPr>
          <w:rFonts w:hAnsi="宋体"/>
          <w:szCs w:val="24"/>
        </w:rPr>
      </w:pPr>
      <w:r w:rsidRPr="00EF692E">
        <w:rPr>
          <w:rFonts w:hAnsi="宋体" w:hint="eastAsia"/>
          <w:szCs w:val="24"/>
        </w:rPr>
        <w:t>（</w:t>
      </w:r>
      <w:r w:rsidRPr="00EF692E">
        <w:rPr>
          <w:rFonts w:hAnsi="宋体"/>
          <w:szCs w:val="24"/>
        </w:rPr>
        <w:t>3）</w:t>
      </w:r>
      <w:r w:rsidRPr="00EF692E">
        <w:rPr>
          <w:rFonts w:hAnsi="宋体" w:hint="eastAsia"/>
          <w:szCs w:val="24"/>
        </w:rPr>
        <w:t>基金管理人由于按照基金合同约定的投资原则行使或不行使其投资权</w:t>
      </w:r>
      <w:r w:rsidRPr="00EF692E">
        <w:rPr>
          <w:rFonts w:hAnsi="宋体" w:hint="eastAsia"/>
          <w:szCs w:val="24"/>
        </w:rPr>
        <w:lastRenderedPageBreak/>
        <w:t>而造成的损失等。</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17.3如果由于本协议一方当事人（以下简称“违约方”）的违约行为给基金财产或基金份额持有人造成损失，另一方当事人（以下简称“守约方”）有权利并且有义务代表基金对违约方进行追偿；如果由于违约方的违约行为导致守约方赔偿了该基金财产或基金份额持有人所遭受的损失，则守约方有权向违约方追索，违约方</w:t>
      </w:r>
      <w:r w:rsidRPr="00EF692E">
        <w:rPr>
          <w:rFonts w:hAnsi="宋体" w:hint="eastAsia"/>
          <w:szCs w:val="24"/>
        </w:rPr>
        <w:t>应赔偿和补偿守约方由此发生的所有成本、费用和支出，以及由此遭受的损失。</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17.4当事人一方违约，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17.5违约行为虽已发生，但本协议能够继续履行的，在最大限度地保护基金份额持有人利益的前提下，基金管理人和基金托管人应当继续履行本协议。</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17.6由于基金管理人、基金托管人不可控制的因素导致业务出现差错，基金管理人和基金托管人虽然已经采取必要、适当、合理的措施进行检查，但是未能发现错误</w:t>
      </w:r>
      <w:r w:rsidRPr="00EF692E">
        <w:rPr>
          <w:rFonts w:hAnsi="宋体" w:hint="eastAsia"/>
          <w:szCs w:val="24"/>
        </w:rPr>
        <w:t>或</w:t>
      </w:r>
      <w:proofErr w:type="gramStart"/>
      <w:r w:rsidRPr="00EF692E">
        <w:rPr>
          <w:rFonts w:hAnsi="宋体" w:hint="eastAsia"/>
          <w:szCs w:val="24"/>
        </w:rPr>
        <w:t>虽发现</w:t>
      </w:r>
      <w:proofErr w:type="gramEnd"/>
      <w:r w:rsidRPr="00EF692E">
        <w:rPr>
          <w:rFonts w:hAnsi="宋体" w:hint="eastAsia"/>
          <w:szCs w:val="24"/>
        </w:rPr>
        <w:t>错误但因前述原因无法及时更正</w:t>
      </w:r>
      <w:r w:rsidRPr="00EF692E">
        <w:rPr>
          <w:rFonts w:hAnsi="宋体"/>
          <w:szCs w:val="24"/>
        </w:rPr>
        <w:t>的，由此造成基金财产或基金份额持有人损失，基金管理人和基金托管人免除赔偿责任。但是基金管理人和基金托管人应积极采取必要的措施消除或减轻由此造成的影响。</w:t>
      </w:r>
    </w:p>
    <w:p w:rsidR="0024774E" w:rsidRPr="00EF692E" w:rsidRDefault="000975C7">
      <w:pPr>
        <w:pStyle w:val="20"/>
        <w:snapToGrid w:val="0"/>
        <w:spacing w:before="0" w:after="0" w:line="520" w:lineRule="atLeast"/>
        <w:ind w:left="0" w:firstLineChars="200" w:firstLine="480"/>
        <w:rPr>
          <w:rFonts w:hAnsi="宋体"/>
          <w:szCs w:val="24"/>
        </w:rPr>
      </w:pPr>
      <w:r w:rsidRPr="00EF692E">
        <w:rPr>
          <w:rFonts w:hAnsi="宋体"/>
          <w:szCs w:val="24"/>
        </w:rPr>
        <w:t>17.7本协议所指损失均为直接损失。</w:t>
      </w:r>
    </w:p>
    <w:p w:rsidR="0024774E" w:rsidRPr="00EF692E" w:rsidRDefault="000975C7">
      <w:pPr>
        <w:pStyle w:val="1"/>
        <w:spacing w:line="520" w:lineRule="atLeast"/>
        <w:ind w:firstLineChars="200" w:firstLine="482"/>
        <w:rPr>
          <w:bCs/>
          <w:color w:val="auto"/>
          <w:szCs w:val="24"/>
        </w:rPr>
      </w:pPr>
      <w:bookmarkStart w:id="50" w:name="_Toc296551354"/>
      <w:bookmarkStart w:id="51" w:name="_Toc146725848"/>
      <w:r w:rsidRPr="00EF692E">
        <w:rPr>
          <w:rFonts w:hint="eastAsia"/>
          <w:bCs/>
          <w:color w:val="auto"/>
          <w:szCs w:val="24"/>
        </w:rPr>
        <w:t>第十八条</w:t>
      </w:r>
      <w:r w:rsidRPr="00EF692E">
        <w:rPr>
          <w:bCs/>
          <w:color w:val="auto"/>
          <w:szCs w:val="24"/>
        </w:rPr>
        <w:t xml:space="preserve"> </w:t>
      </w:r>
      <w:r w:rsidRPr="00EF692E">
        <w:rPr>
          <w:rFonts w:hint="eastAsia"/>
          <w:bCs/>
          <w:color w:val="auto"/>
          <w:szCs w:val="24"/>
        </w:rPr>
        <w:t>法律</w:t>
      </w:r>
      <w:r w:rsidRPr="00EF692E">
        <w:rPr>
          <w:bCs/>
          <w:color w:val="auto"/>
          <w:szCs w:val="24"/>
        </w:rPr>
        <w:t>适用和</w:t>
      </w:r>
      <w:r w:rsidRPr="00EF692E">
        <w:rPr>
          <w:rFonts w:hint="eastAsia"/>
          <w:bCs/>
          <w:color w:val="auto"/>
          <w:szCs w:val="24"/>
        </w:rPr>
        <w:t>争议解决</w:t>
      </w:r>
      <w:bookmarkEnd w:id="50"/>
      <w:bookmarkEnd w:id="51"/>
    </w:p>
    <w:p w:rsidR="0024774E" w:rsidRPr="00EF692E" w:rsidRDefault="000975C7">
      <w:pPr>
        <w:adjustRightInd w:val="0"/>
        <w:snapToGrid w:val="0"/>
        <w:spacing w:line="520" w:lineRule="atLeast"/>
        <w:ind w:firstLineChars="200" w:firstLine="480"/>
        <w:rPr>
          <w:bCs/>
          <w:sz w:val="24"/>
        </w:rPr>
      </w:pPr>
      <w:r w:rsidRPr="00EF692E">
        <w:rPr>
          <w:rFonts w:hint="eastAsia"/>
          <w:bCs/>
          <w:sz w:val="24"/>
        </w:rPr>
        <w:t>本协议的效力、解释、变更、执行及争议的解决等均适用中华人民共和国法律（为本协议之目的，不包括香港特别行政区、澳门特别行政区以及台湾地区法律），没有相关成文规定的，参照通用的商业惯例和（或）行业惯例。</w:t>
      </w:r>
    </w:p>
    <w:p w:rsidR="0024774E" w:rsidRPr="00EF692E" w:rsidRDefault="000975C7">
      <w:pPr>
        <w:adjustRightInd w:val="0"/>
        <w:snapToGrid w:val="0"/>
        <w:spacing w:line="520" w:lineRule="atLeast"/>
        <w:ind w:firstLineChars="200" w:firstLine="482"/>
        <w:rPr>
          <w:b/>
          <w:sz w:val="24"/>
        </w:rPr>
      </w:pPr>
      <w:r w:rsidRPr="00EF692E">
        <w:rPr>
          <w:rFonts w:hint="eastAsia"/>
          <w:b/>
          <w:sz w:val="24"/>
        </w:rPr>
        <w:t>凡因本协议产生的及与本协议有关的争议，双方均应协商解决；协商不成的，双方均同意采取以下方式解决：</w:t>
      </w:r>
    </w:p>
    <w:p w:rsidR="0024774E" w:rsidRPr="00EF692E" w:rsidRDefault="000975C7">
      <w:pPr>
        <w:adjustRightInd w:val="0"/>
        <w:snapToGrid w:val="0"/>
        <w:spacing w:line="520" w:lineRule="atLeast"/>
        <w:ind w:firstLineChars="200" w:firstLine="480"/>
        <w:rPr>
          <w:sz w:val="24"/>
        </w:rPr>
      </w:pPr>
      <w:r w:rsidRPr="00EF692E">
        <w:rPr>
          <w:rFonts w:hint="eastAsia"/>
          <w:sz w:val="24"/>
        </w:rPr>
        <w:t>向</w:t>
      </w:r>
      <w:bookmarkStart w:id="52" w:name="OLE_LINK5"/>
      <w:r w:rsidRPr="00EF692E">
        <w:rPr>
          <w:rFonts w:hint="eastAsia"/>
          <w:sz w:val="24"/>
        </w:rPr>
        <w:t>深圳国际仲裁院</w:t>
      </w:r>
      <w:bookmarkEnd w:id="52"/>
      <w:r w:rsidRPr="00EF692E">
        <w:rPr>
          <w:rFonts w:hint="eastAsia"/>
          <w:sz w:val="24"/>
        </w:rPr>
        <w:t>申请仲裁，并适用申请仲裁时该院届时有效的仲裁规则。仲裁地点为深圳。仲裁裁决是终局的，对当事人均有约束力。</w:t>
      </w:r>
    </w:p>
    <w:p w:rsidR="0024774E" w:rsidRPr="00EF692E" w:rsidRDefault="000975C7">
      <w:pPr>
        <w:adjustRightInd w:val="0"/>
        <w:snapToGrid w:val="0"/>
        <w:spacing w:line="520" w:lineRule="atLeast"/>
        <w:ind w:firstLineChars="200" w:firstLine="480"/>
        <w:rPr>
          <w:bCs/>
          <w:sz w:val="24"/>
        </w:rPr>
      </w:pPr>
      <w:r w:rsidRPr="00EF692E">
        <w:rPr>
          <w:rFonts w:hint="eastAsia"/>
          <w:sz w:val="24"/>
        </w:rPr>
        <w:lastRenderedPageBreak/>
        <w:t>争议处理期间，双方当事人应恪守基金管理人和基金托管人职责，继续忠实、勤勉、尽责地履行基金合同和本协议规定的义务，维护基金份额持有人的合法权益。</w:t>
      </w:r>
    </w:p>
    <w:p w:rsidR="0024774E" w:rsidRPr="00EF692E" w:rsidRDefault="000975C7">
      <w:pPr>
        <w:pStyle w:val="1"/>
        <w:adjustRightInd w:val="0"/>
        <w:spacing w:line="520" w:lineRule="atLeast"/>
        <w:ind w:firstLineChars="200" w:firstLine="482"/>
        <w:rPr>
          <w:bCs/>
          <w:color w:val="auto"/>
          <w:szCs w:val="24"/>
        </w:rPr>
      </w:pPr>
      <w:bookmarkStart w:id="53" w:name="_Toc146725849"/>
      <w:bookmarkStart w:id="54" w:name="_Toc296551355"/>
      <w:r w:rsidRPr="00EF692E">
        <w:rPr>
          <w:rFonts w:hint="eastAsia"/>
          <w:bCs/>
          <w:color w:val="auto"/>
          <w:szCs w:val="24"/>
        </w:rPr>
        <w:t>第十九条</w:t>
      </w:r>
      <w:r w:rsidRPr="00EF692E">
        <w:rPr>
          <w:bCs/>
          <w:color w:val="auto"/>
          <w:szCs w:val="24"/>
        </w:rPr>
        <w:t xml:space="preserve"> </w:t>
      </w:r>
      <w:r w:rsidRPr="00EF692E">
        <w:rPr>
          <w:rFonts w:hint="eastAsia"/>
          <w:bCs/>
          <w:color w:val="auto"/>
          <w:szCs w:val="24"/>
        </w:rPr>
        <w:t>本协议的效力</w:t>
      </w:r>
      <w:bookmarkEnd w:id="53"/>
      <w:bookmarkEnd w:id="54"/>
    </w:p>
    <w:p w:rsidR="0024774E" w:rsidRPr="00EF692E" w:rsidRDefault="000975C7">
      <w:pPr>
        <w:pStyle w:val="20"/>
        <w:adjustRightInd w:val="0"/>
        <w:snapToGrid w:val="0"/>
        <w:spacing w:before="0" w:after="0" w:line="520" w:lineRule="atLeast"/>
        <w:ind w:left="0" w:firstLineChars="200" w:firstLine="480"/>
        <w:rPr>
          <w:rFonts w:hAnsi="宋体"/>
          <w:szCs w:val="24"/>
        </w:rPr>
      </w:pPr>
      <w:r w:rsidRPr="00EF692E">
        <w:rPr>
          <w:rFonts w:hAnsi="宋体"/>
          <w:szCs w:val="24"/>
        </w:rPr>
        <w:t>19.1基金管理人在向中国证监会申请</w:t>
      </w:r>
      <w:r w:rsidRPr="00EF692E">
        <w:rPr>
          <w:rFonts w:hAnsi="宋体" w:hint="eastAsia"/>
          <w:szCs w:val="24"/>
        </w:rPr>
        <w:t>基金募集注册时提交的托管协议草案，应经托管协议当事人加盖公章或合同专用章以及双方法定代表人或授权代理人签章（签字或加盖名章），本协议当事人双方可能不时根据中国证监会的意见修改托管协议草案。本协议以中国证监会注册的最终文本为正式文本。</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19.2本协议自双方签订</w:t>
      </w:r>
      <w:r w:rsidRPr="00EF692E">
        <w:rPr>
          <w:rFonts w:hAnsi="宋体" w:hint="eastAsia"/>
          <w:szCs w:val="24"/>
        </w:rPr>
        <w:t>之日起成立，自基金合同生效之日起生效。本协议的有效期自其生效之日起至该基金财产清算结果报中国证监会备案并公告之日止。</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19.3本协议自生效之日起对双方具有同等的法律约束力。</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19.4</w:t>
      </w:r>
      <w:r w:rsidRPr="00EF692E">
        <w:rPr>
          <w:rFonts w:hAnsi="宋体" w:hint="eastAsia"/>
          <w:szCs w:val="24"/>
        </w:rPr>
        <w:t>本协议正本一式三份，除上报有关监管机构一份外，基金管理人和基金托管人分别持有一份，每份具有同等的法律效力。</w:t>
      </w:r>
    </w:p>
    <w:p w:rsidR="0024774E" w:rsidRPr="00EF692E" w:rsidRDefault="000975C7">
      <w:pPr>
        <w:pStyle w:val="1"/>
        <w:spacing w:line="520" w:lineRule="atLeast"/>
        <w:ind w:firstLineChars="200" w:firstLine="482"/>
        <w:rPr>
          <w:bCs/>
          <w:color w:val="auto"/>
          <w:szCs w:val="24"/>
        </w:rPr>
      </w:pPr>
      <w:bookmarkStart w:id="55" w:name="_Toc146725850"/>
      <w:bookmarkStart w:id="56" w:name="_Toc296551356"/>
      <w:r w:rsidRPr="00EF692E">
        <w:rPr>
          <w:rFonts w:hint="eastAsia"/>
          <w:bCs/>
          <w:color w:val="auto"/>
          <w:szCs w:val="24"/>
        </w:rPr>
        <w:t>第二十条</w:t>
      </w:r>
      <w:r w:rsidRPr="00EF692E">
        <w:rPr>
          <w:bCs/>
          <w:color w:val="auto"/>
          <w:szCs w:val="24"/>
        </w:rPr>
        <w:t xml:space="preserve"> </w:t>
      </w:r>
      <w:r w:rsidRPr="00EF692E">
        <w:rPr>
          <w:rFonts w:hint="eastAsia"/>
          <w:bCs/>
          <w:color w:val="auto"/>
          <w:szCs w:val="24"/>
        </w:rPr>
        <w:t>基金托管协议的签订</w:t>
      </w:r>
      <w:bookmarkEnd w:id="55"/>
      <w:bookmarkEnd w:id="56"/>
    </w:p>
    <w:p w:rsidR="0024774E" w:rsidRPr="00EF692E" w:rsidRDefault="000975C7">
      <w:pPr>
        <w:snapToGrid w:val="0"/>
        <w:spacing w:line="520" w:lineRule="atLeast"/>
        <w:ind w:firstLineChars="200" w:firstLine="480"/>
        <w:rPr>
          <w:rFonts w:ascii="宋体" w:hAnsi="宋体"/>
          <w:sz w:val="24"/>
          <w:szCs w:val="24"/>
        </w:rPr>
      </w:pPr>
      <w:r w:rsidRPr="00EF692E">
        <w:rPr>
          <w:rFonts w:ascii="宋体" w:hAnsi="宋体"/>
          <w:sz w:val="24"/>
          <w:szCs w:val="24"/>
        </w:rPr>
        <w:t>20.1本协议经基金管理人和基金托管人认可后，由双方当事人在本协议上加盖</w:t>
      </w:r>
      <w:bookmarkStart w:id="57" w:name="_Hlk92966243"/>
      <w:r w:rsidRPr="00EF692E">
        <w:rPr>
          <w:rFonts w:ascii="宋体" w:hAnsi="宋体" w:hint="eastAsia"/>
          <w:sz w:val="24"/>
          <w:szCs w:val="24"/>
        </w:rPr>
        <w:t>公章或合同专用章</w:t>
      </w:r>
      <w:bookmarkEnd w:id="57"/>
      <w:r w:rsidRPr="00EF692E">
        <w:rPr>
          <w:rFonts w:ascii="宋体" w:hAnsi="宋体" w:hint="eastAsia"/>
          <w:sz w:val="24"/>
          <w:szCs w:val="24"/>
        </w:rPr>
        <w:t>，并由各自的法定代表人或授权代理人签名或盖章，并注明本托管协议的签订地点和签订日期。</w:t>
      </w:r>
    </w:p>
    <w:p w:rsidR="0024774E" w:rsidRPr="00EF692E" w:rsidRDefault="000975C7">
      <w:pPr>
        <w:pStyle w:val="1"/>
        <w:spacing w:line="520" w:lineRule="atLeast"/>
        <w:ind w:firstLineChars="200" w:firstLine="482"/>
        <w:rPr>
          <w:bCs/>
          <w:color w:val="auto"/>
          <w:szCs w:val="24"/>
        </w:rPr>
      </w:pPr>
      <w:bookmarkStart w:id="58" w:name="_Toc146725851"/>
      <w:r w:rsidRPr="00EF692E">
        <w:rPr>
          <w:rFonts w:hint="eastAsia"/>
          <w:bCs/>
          <w:color w:val="auto"/>
          <w:szCs w:val="24"/>
        </w:rPr>
        <w:t>第二十一条</w:t>
      </w:r>
      <w:r w:rsidRPr="00EF692E">
        <w:rPr>
          <w:bCs/>
          <w:color w:val="auto"/>
          <w:szCs w:val="24"/>
        </w:rPr>
        <w:t xml:space="preserve"> </w:t>
      </w:r>
      <w:r w:rsidRPr="00EF692E">
        <w:rPr>
          <w:rFonts w:hint="eastAsia"/>
          <w:bCs/>
          <w:color w:val="auto"/>
          <w:szCs w:val="24"/>
        </w:rPr>
        <w:t>不可抗力</w:t>
      </w:r>
      <w:bookmarkEnd w:id="58"/>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21.1如果本协议任何一方因受不可抗力事件影响而未能履行其在本协议下的全部或部分义务，该义务的履行在不可抗力事件妨碍其履行期间应予中止。</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21.2声称受到不可抗力事件影响的一方应尽可能在最短的时间内通过书面形式将不可抗力事件的发生通知其他当事人，并及时向其他当事人提供关于此种不可抗力事件的适当证据。声称不可抗力事件导致其对本协议的履行在客观上成为不可能或不实际的一方，有责任尽一切合理的努力消除或减轻此等不可抗力事件的影响。</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lastRenderedPageBreak/>
        <w:t>21.3不可抗力事件发生时，双方应立即通过友好协商决定如何执行本协议。不可抗力事件或其影响终止或消除后，双方须立即恢复履行各自在本协议项下的各项义务。</w:t>
      </w:r>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21.4本条所述的不可抗力事件是指不能预见、不能避免并不能克服的客观情况。</w:t>
      </w:r>
    </w:p>
    <w:p w:rsidR="0024774E" w:rsidRPr="00EF692E" w:rsidRDefault="000975C7">
      <w:pPr>
        <w:pStyle w:val="1"/>
        <w:spacing w:line="520" w:lineRule="atLeast"/>
        <w:ind w:firstLineChars="200" w:firstLine="482"/>
        <w:rPr>
          <w:bCs/>
          <w:szCs w:val="24"/>
        </w:rPr>
      </w:pPr>
      <w:bookmarkStart w:id="59" w:name="_Toc132794327"/>
      <w:bookmarkStart w:id="60" w:name="_Toc132794326"/>
      <w:bookmarkStart w:id="61" w:name="_Toc132794325"/>
      <w:bookmarkStart w:id="62" w:name="_Toc132794330"/>
      <w:bookmarkStart w:id="63" w:name="_Toc132794329"/>
      <w:bookmarkStart w:id="64" w:name="_Toc132794328"/>
      <w:bookmarkStart w:id="65" w:name="_Toc132794324"/>
      <w:bookmarkStart w:id="66" w:name="_Toc146725852"/>
      <w:bookmarkEnd w:id="59"/>
      <w:bookmarkEnd w:id="60"/>
      <w:bookmarkEnd w:id="61"/>
      <w:bookmarkEnd w:id="62"/>
      <w:bookmarkEnd w:id="63"/>
      <w:bookmarkEnd w:id="64"/>
      <w:bookmarkEnd w:id="65"/>
      <w:r w:rsidRPr="00EF692E">
        <w:rPr>
          <w:rFonts w:hint="eastAsia"/>
          <w:bCs/>
          <w:color w:val="auto"/>
          <w:szCs w:val="24"/>
        </w:rPr>
        <w:t>第二十二条</w:t>
      </w:r>
      <w:r w:rsidRPr="00EF692E">
        <w:rPr>
          <w:bCs/>
          <w:color w:val="auto"/>
          <w:szCs w:val="24"/>
        </w:rPr>
        <w:t xml:space="preserve"> </w:t>
      </w:r>
      <w:r w:rsidRPr="00EF692E">
        <w:rPr>
          <w:rFonts w:hint="eastAsia"/>
          <w:bCs/>
          <w:color w:val="auto"/>
          <w:szCs w:val="24"/>
        </w:rPr>
        <w:t>可分割性</w:t>
      </w:r>
      <w:bookmarkEnd w:id="66"/>
    </w:p>
    <w:p w:rsidR="0024774E" w:rsidRPr="00EF692E" w:rsidRDefault="000975C7">
      <w:pPr>
        <w:pStyle w:val="20"/>
        <w:spacing w:before="0" w:after="0" w:line="520" w:lineRule="atLeast"/>
        <w:ind w:left="0" w:firstLineChars="200" w:firstLine="480"/>
        <w:rPr>
          <w:rFonts w:hAnsi="宋体"/>
          <w:szCs w:val="24"/>
        </w:rPr>
      </w:pPr>
      <w:r w:rsidRPr="00EF692E">
        <w:rPr>
          <w:rFonts w:hAnsi="宋体"/>
          <w:szCs w:val="24"/>
        </w:rPr>
        <w:t>22.1如果本协议任何约定依现行法律被确定为无效或无法实施，本协议的其他条款将继续有效。此种情况下，</w:t>
      </w:r>
      <w:r w:rsidRPr="00EF692E">
        <w:rPr>
          <w:rFonts w:hAnsi="宋体" w:hint="eastAsia"/>
          <w:szCs w:val="24"/>
        </w:rPr>
        <w:t>双</w:t>
      </w:r>
      <w:r w:rsidRPr="00EF692E">
        <w:rPr>
          <w:rFonts w:hAnsi="宋体"/>
          <w:szCs w:val="24"/>
        </w:rPr>
        <w:t>方将积极协商</w:t>
      </w:r>
      <w:r w:rsidRPr="00EF692E">
        <w:rPr>
          <w:rFonts w:asciiTheme="minorEastAsia" w:eastAsiaTheme="minorEastAsia" w:hAnsiTheme="minorEastAsia" w:hint="eastAsia"/>
          <w:szCs w:val="24"/>
        </w:rPr>
        <w:t>解决并另行签署书面协议予以明确</w:t>
      </w:r>
      <w:r w:rsidRPr="00EF692E">
        <w:rPr>
          <w:rFonts w:hAnsi="宋体"/>
          <w:szCs w:val="24"/>
        </w:rPr>
        <w:t>，且该</w:t>
      </w:r>
      <w:r w:rsidRPr="00EF692E">
        <w:rPr>
          <w:rFonts w:hAnsi="宋体" w:hint="eastAsia"/>
          <w:szCs w:val="24"/>
        </w:rPr>
        <w:t>协议</w:t>
      </w:r>
      <w:r w:rsidRPr="00EF692E">
        <w:rPr>
          <w:rFonts w:asciiTheme="minorEastAsia" w:eastAsiaTheme="minorEastAsia" w:hAnsiTheme="minorEastAsia" w:hint="eastAsia"/>
          <w:szCs w:val="24"/>
        </w:rPr>
        <w:t>应</w:t>
      </w:r>
      <w:r w:rsidRPr="00EF692E">
        <w:rPr>
          <w:rFonts w:hAnsi="宋体"/>
          <w:szCs w:val="24"/>
        </w:rPr>
        <w:t>尽可能接近原规定和本协议相应的精神和宗旨。</w:t>
      </w:r>
    </w:p>
    <w:p w:rsidR="0024774E" w:rsidRPr="00EF692E" w:rsidRDefault="000975C7">
      <w:pPr>
        <w:pStyle w:val="1"/>
        <w:spacing w:line="520" w:lineRule="atLeast"/>
        <w:ind w:firstLineChars="200" w:firstLine="482"/>
        <w:rPr>
          <w:bCs/>
          <w:szCs w:val="24"/>
        </w:rPr>
      </w:pPr>
      <w:bookmarkStart w:id="67" w:name="_Toc146725853"/>
      <w:r w:rsidRPr="00EF692E">
        <w:rPr>
          <w:rFonts w:hint="eastAsia"/>
          <w:bCs/>
          <w:color w:val="auto"/>
          <w:szCs w:val="24"/>
        </w:rPr>
        <w:t>第二十三条</w:t>
      </w:r>
      <w:r w:rsidRPr="00EF692E">
        <w:rPr>
          <w:bCs/>
          <w:color w:val="auto"/>
          <w:szCs w:val="24"/>
        </w:rPr>
        <w:t xml:space="preserve"> </w:t>
      </w:r>
      <w:r w:rsidRPr="00EF692E">
        <w:rPr>
          <w:rFonts w:hint="eastAsia"/>
          <w:bCs/>
          <w:color w:val="auto"/>
          <w:szCs w:val="24"/>
        </w:rPr>
        <w:t>通知与送达</w:t>
      </w:r>
      <w:bookmarkEnd w:id="67"/>
    </w:p>
    <w:p w:rsidR="0024774E" w:rsidRPr="00EF692E" w:rsidRDefault="000975C7">
      <w:pPr>
        <w:pStyle w:val="20"/>
        <w:adjustRightInd w:val="0"/>
        <w:snapToGrid w:val="0"/>
        <w:spacing w:before="0" w:after="0" w:line="520" w:lineRule="atLeast"/>
        <w:ind w:left="0" w:firstLineChars="200" w:firstLine="480"/>
        <w:rPr>
          <w:rFonts w:asciiTheme="minorEastAsia" w:eastAsiaTheme="minorEastAsia" w:hAnsiTheme="minorEastAsia"/>
          <w:szCs w:val="24"/>
        </w:rPr>
      </w:pPr>
      <w:r w:rsidRPr="00EF692E">
        <w:rPr>
          <w:rFonts w:asciiTheme="minorEastAsia" w:eastAsiaTheme="minorEastAsia" w:hAnsiTheme="minorEastAsia"/>
          <w:szCs w:val="24"/>
        </w:rPr>
        <w:t>23.1</w:t>
      </w:r>
      <w:bookmarkStart w:id="68" w:name="OLE_LINK88"/>
      <w:bookmarkStart w:id="69" w:name="OLE_LINK89"/>
      <w:r w:rsidRPr="00EF692E">
        <w:rPr>
          <w:rFonts w:asciiTheme="minorEastAsia" w:eastAsiaTheme="minorEastAsia" w:hAnsiTheme="minorEastAsia" w:hint="eastAsia"/>
          <w:szCs w:val="24"/>
        </w:rPr>
        <w:t>除本协议另有约定外，本协议项下的通知、要求、诉讼（仲裁）的法律文书或其他通信可交付或发送至本协议首部所约定的地址或联系方式</w:t>
      </w:r>
      <w:bookmarkEnd w:id="68"/>
      <w:bookmarkEnd w:id="69"/>
      <w:r w:rsidRPr="00EF692E">
        <w:rPr>
          <w:rFonts w:asciiTheme="minorEastAsia" w:eastAsiaTheme="minorEastAsia" w:hAnsiTheme="minorEastAsia" w:hint="eastAsia"/>
          <w:szCs w:val="24"/>
        </w:rPr>
        <w:t>。</w:t>
      </w:r>
    </w:p>
    <w:p w:rsidR="0024774E" w:rsidRPr="00EF692E" w:rsidRDefault="000975C7">
      <w:pPr>
        <w:pStyle w:val="20"/>
        <w:adjustRightInd w:val="0"/>
        <w:snapToGrid w:val="0"/>
        <w:spacing w:line="520" w:lineRule="atLeast"/>
        <w:ind w:left="0" w:firstLineChars="200" w:firstLine="480"/>
        <w:rPr>
          <w:rFonts w:asciiTheme="minorEastAsia" w:eastAsiaTheme="minorEastAsia" w:hAnsiTheme="minorEastAsia"/>
          <w:szCs w:val="24"/>
        </w:rPr>
      </w:pPr>
      <w:r w:rsidRPr="00EF692E">
        <w:rPr>
          <w:rFonts w:asciiTheme="minorEastAsia" w:eastAsiaTheme="minorEastAsia" w:hAnsiTheme="minorEastAsia"/>
          <w:szCs w:val="24"/>
        </w:rPr>
        <w:t>23.2就本协议项下基金托管人给予基金管理人的任何通知、要求或其他通信，其中电传、电话、传真、电子邮件等一经发出即视为已送达基金管理人；邮政信函于投寄之日起第三日即视为已送达基金管理人；若派人专程送达，</w:t>
      </w:r>
      <w:proofErr w:type="gramStart"/>
      <w:r w:rsidRPr="00EF692E">
        <w:rPr>
          <w:rFonts w:asciiTheme="minorEastAsia" w:eastAsiaTheme="minorEastAsia" w:hAnsiTheme="minorEastAsia" w:hint="eastAsia"/>
          <w:szCs w:val="24"/>
        </w:rPr>
        <w:t>则基金</w:t>
      </w:r>
      <w:proofErr w:type="gramEnd"/>
      <w:r w:rsidRPr="00EF692E">
        <w:rPr>
          <w:rFonts w:asciiTheme="minorEastAsia" w:eastAsiaTheme="minorEastAsia" w:hAnsiTheme="minorEastAsia" w:hint="eastAsia"/>
          <w:szCs w:val="24"/>
        </w:rPr>
        <w:t>管理人签收日视为送达，基金管理人拒收的，送达人可采取拍照、录像方式记录送达过程，并将文书留置，亦视为送达。就本协议项下基金管理人给予基金托管人的任何通知、要求或其他通信，其中电传、电话、传真、电子邮件等一经发出即视为已送达基金托管人；邮政信函于投寄之日起第三日即视为已送达基金托管人；若派人专程送达，</w:t>
      </w:r>
      <w:proofErr w:type="gramStart"/>
      <w:r w:rsidRPr="00EF692E">
        <w:rPr>
          <w:rFonts w:asciiTheme="minorEastAsia" w:eastAsiaTheme="minorEastAsia" w:hAnsiTheme="minorEastAsia" w:hint="eastAsia"/>
          <w:szCs w:val="24"/>
        </w:rPr>
        <w:t>则基金</w:t>
      </w:r>
      <w:proofErr w:type="gramEnd"/>
      <w:r w:rsidRPr="00EF692E">
        <w:rPr>
          <w:rFonts w:asciiTheme="minorEastAsia" w:eastAsiaTheme="minorEastAsia" w:hAnsiTheme="minorEastAsia" w:hint="eastAsia"/>
          <w:szCs w:val="24"/>
        </w:rPr>
        <w:t>托管人签收日视为送达，基金托管人拒收的，送达人可采取拍照、录像方式记录送达过程，并将文书留置，亦视为送达。</w:t>
      </w:r>
    </w:p>
    <w:p w:rsidR="0024774E" w:rsidRPr="00EF692E" w:rsidRDefault="000975C7">
      <w:pPr>
        <w:pStyle w:val="20"/>
        <w:adjustRightInd w:val="0"/>
        <w:snapToGrid w:val="0"/>
        <w:spacing w:line="520" w:lineRule="atLeast"/>
        <w:ind w:left="0" w:firstLineChars="200" w:firstLine="480"/>
        <w:rPr>
          <w:rFonts w:asciiTheme="minorEastAsia" w:eastAsiaTheme="minorEastAsia" w:hAnsiTheme="minorEastAsia"/>
          <w:szCs w:val="24"/>
        </w:rPr>
      </w:pPr>
      <w:r w:rsidRPr="00EF692E">
        <w:rPr>
          <w:rFonts w:asciiTheme="minorEastAsia" w:eastAsiaTheme="minorEastAsia" w:hAnsiTheme="minorEastAsia"/>
          <w:szCs w:val="24"/>
        </w:rPr>
        <w:t>23.3司法机关或仲裁机构亦可按本款约定的地址、联系方式向基金管理人</w:t>
      </w:r>
      <w:r w:rsidRPr="00EF692E">
        <w:rPr>
          <w:rFonts w:asciiTheme="minorEastAsia" w:eastAsiaTheme="minorEastAsia" w:hAnsiTheme="minorEastAsia" w:hint="eastAsia"/>
          <w:szCs w:val="24"/>
        </w:rPr>
        <w:t>或基金托管人</w:t>
      </w:r>
      <w:r w:rsidRPr="00EF692E">
        <w:rPr>
          <w:rFonts w:asciiTheme="minorEastAsia" w:eastAsiaTheme="minorEastAsia" w:hAnsiTheme="minorEastAsia"/>
          <w:szCs w:val="24"/>
        </w:rPr>
        <w:t>发送相关（法律）文书，无人签收或基金管理人</w:t>
      </w:r>
      <w:r w:rsidRPr="00EF692E">
        <w:rPr>
          <w:rFonts w:asciiTheme="minorEastAsia" w:eastAsiaTheme="minorEastAsia" w:hAnsiTheme="minorEastAsia" w:hint="eastAsia"/>
          <w:szCs w:val="24"/>
        </w:rPr>
        <w:t>或基金托管人</w:t>
      </w:r>
      <w:r w:rsidRPr="00EF692E">
        <w:rPr>
          <w:rFonts w:asciiTheme="minorEastAsia" w:eastAsiaTheme="minorEastAsia" w:hAnsiTheme="minorEastAsia"/>
          <w:szCs w:val="24"/>
        </w:rPr>
        <w:t>拒收的，则（法律）文书退回之日视为送达之日；若直接送达时基金管理人</w:t>
      </w:r>
      <w:r w:rsidRPr="00EF692E">
        <w:rPr>
          <w:rFonts w:asciiTheme="minorEastAsia" w:eastAsiaTheme="minorEastAsia" w:hAnsiTheme="minorEastAsia" w:hint="eastAsia"/>
          <w:szCs w:val="24"/>
        </w:rPr>
        <w:t>或基金托管人</w:t>
      </w:r>
      <w:r w:rsidRPr="00EF692E">
        <w:rPr>
          <w:rFonts w:asciiTheme="minorEastAsia" w:eastAsiaTheme="minorEastAsia" w:hAnsiTheme="minorEastAsia"/>
          <w:szCs w:val="24"/>
        </w:rPr>
        <w:t>拒收的，送达人可采取拍照、录像方式记录送达过程，并将（法律）文书留置，亦视为送达。基金管理人</w:t>
      </w:r>
      <w:r w:rsidRPr="00EF692E">
        <w:rPr>
          <w:rFonts w:asciiTheme="minorEastAsia" w:eastAsiaTheme="minorEastAsia" w:hAnsiTheme="minorEastAsia" w:hint="eastAsia"/>
          <w:szCs w:val="24"/>
        </w:rPr>
        <w:t>或基金托管人</w:t>
      </w:r>
      <w:r w:rsidRPr="00EF692E">
        <w:rPr>
          <w:rFonts w:asciiTheme="minorEastAsia" w:eastAsiaTheme="minorEastAsia" w:hAnsiTheme="minorEastAsia"/>
          <w:szCs w:val="24"/>
        </w:rPr>
        <w:t>提供错误联系方式或未及时告知变更</w:t>
      </w:r>
      <w:r w:rsidRPr="00EF692E">
        <w:rPr>
          <w:rFonts w:asciiTheme="minorEastAsia" w:eastAsiaTheme="minorEastAsia" w:hAnsiTheme="minorEastAsia"/>
          <w:szCs w:val="24"/>
        </w:rPr>
        <w:lastRenderedPageBreak/>
        <w:t>后联系方式的，导致（法律）文书未能送达或退回的，则（法律）文书退回之日视为送达之日。</w:t>
      </w:r>
    </w:p>
    <w:p w:rsidR="0024774E" w:rsidRPr="00EF692E" w:rsidRDefault="000975C7">
      <w:pPr>
        <w:pStyle w:val="20"/>
        <w:adjustRightInd w:val="0"/>
        <w:snapToGrid w:val="0"/>
        <w:spacing w:before="0" w:after="0" w:line="520" w:lineRule="atLeast"/>
        <w:ind w:left="0" w:firstLineChars="200" w:firstLine="480"/>
        <w:rPr>
          <w:rFonts w:asciiTheme="minorEastAsia" w:eastAsiaTheme="minorEastAsia" w:hAnsiTheme="minorEastAsia"/>
          <w:szCs w:val="24"/>
        </w:rPr>
      </w:pPr>
      <w:r w:rsidRPr="00EF692E">
        <w:rPr>
          <w:rFonts w:asciiTheme="minorEastAsia" w:eastAsiaTheme="minorEastAsia" w:hAnsiTheme="minorEastAsia"/>
          <w:szCs w:val="24"/>
        </w:rPr>
        <w:t>23.4如果基金管理人</w:t>
      </w:r>
      <w:r w:rsidRPr="00EF692E">
        <w:rPr>
          <w:rFonts w:asciiTheme="minorEastAsia" w:eastAsiaTheme="minorEastAsia" w:hAnsiTheme="minorEastAsia" w:hint="eastAsia"/>
          <w:szCs w:val="24"/>
        </w:rPr>
        <w:t>或基金托管人</w:t>
      </w:r>
      <w:r w:rsidRPr="00EF692E">
        <w:rPr>
          <w:rFonts w:asciiTheme="minorEastAsia" w:eastAsiaTheme="minorEastAsia" w:hAnsiTheme="minorEastAsia"/>
          <w:szCs w:val="24"/>
        </w:rPr>
        <w:t>提供的</w:t>
      </w:r>
      <w:proofErr w:type="gramStart"/>
      <w:r w:rsidRPr="00EF692E">
        <w:rPr>
          <w:rFonts w:asciiTheme="minorEastAsia" w:eastAsiaTheme="minorEastAsia" w:hAnsiTheme="minorEastAsia" w:hint="eastAsia"/>
          <w:szCs w:val="24"/>
        </w:rPr>
        <w:t>上述联系</w:t>
      </w:r>
      <w:proofErr w:type="gramEnd"/>
      <w:r w:rsidRPr="00EF692E">
        <w:rPr>
          <w:rFonts w:asciiTheme="minorEastAsia" w:eastAsiaTheme="minorEastAsia" w:hAnsiTheme="minorEastAsia" w:hint="eastAsia"/>
          <w:szCs w:val="24"/>
        </w:rPr>
        <w:t>方式发生变更的，应在变更后三日内书面通知基金托管人或</w:t>
      </w:r>
      <w:r w:rsidRPr="00EF692E">
        <w:rPr>
          <w:rFonts w:asciiTheme="minorEastAsia" w:eastAsiaTheme="minorEastAsia" w:hAnsiTheme="minorEastAsia"/>
          <w:szCs w:val="24"/>
        </w:rPr>
        <w:t>基金管理人</w:t>
      </w:r>
      <w:r w:rsidRPr="00EF692E">
        <w:rPr>
          <w:rFonts w:asciiTheme="minorEastAsia" w:eastAsiaTheme="minorEastAsia" w:hAnsiTheme="minorEastAsia" w:hint="eastAsia"/>
          <w:szCs w:val="24"/>
        </w:rPr>
        <w:t>；在本协议项下债务进入诉讼或仲裁阶段后，则须以书面方式告知审理机关。否则按</w:t>
      </w:r>
      <w:proofErr w:type="gramStart"/>
      <w:r w:rsidRPr="00EF692E">
        <w:rPr>
          <w:rFonts w:asciiTheme="minorEastAsia" w:eastAsiaTheme="minorEastAsia" w:hAnsiTheme="minorEastAsia" w:hint="eastAsia"/>
          <w:szCs w:val="24"/>
        </w:rPr>
        <w:t>原联系</w:t>
      </w:r>
      <w:proofErr w:type="gramEnd"/>
      <w:r w:rsidRPr="00EF692E">
        <w:rPr>
          <w:rFonts w:asciiTheme="minorEastAsia" w:eastAsiaTheme="minorEastAsia" w:hAnsiTheme="minorEastAsia" w:hint="eastAsia"/>
          <w:szCs w:val="24"/>
        </w:rPr>
        <w:t>方式发出的通知或其他文书，即使变更方没有收到，仍视为送达。</w:t>
      </w:r>
    </w:p>
    <w:p w:rsidR="0024774E" w:rsidRPr="00EF692E" w:rsidRDefault="000975C7">
      <w:pPr>
        <w:widowControl/>
        <w:spacing w:line="520" w:lineRule="atLeast"/>
        <w:ind w:firstLineChars="100" w:firstLine="240"/>
        <w:jc w:val="left"/>
        <w:rPr>
          <w:rFonts w:ascii="宋体" w:hAnsi="宋体"/>
          <w:sz w:val="24"/>
          <w:szCs w:val="24"/>
        </w:rPr>
      </w:pPr>
      <w:r w:rsidRPr="00EF692E">
        <w:rPr>
          <w:rFonts w:ascii="宋体" w:hAnsi="宋体" w:hint="eastAsia"/>
          <w:sz w:val="24"/>
          <w:szCs w:val="24"/>
        </w:rPr>
        <w:t>（以下无正文）</w:t>
      </w:r>
    </w:p>
    <w:p w:rsidR="0024774E" w:rsidRDefault="0024774E" w:rsidP="00F064AE">
      <w:pPr>
        <w:spacing w:line="360" w:lineRule="auto"/>
        <w:rPr>
          <w:rFonts w:hAnsi="宋体" w:hint="eastAsia"/>
          <w:sz w:val="28"/>
          <w:szCs w:val="28"/>
        </w:rPr>
      </w:pPr>
      <w:bookmarkStart w:id="70" w:name="_GoBack"/>
      <w:bookmarkEnd w:id="70"/>
    </w:p>
    <w:sectPr w:rsidR="0024774E">
      <w:footerReference w:type="default" r:id="rId8"/>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82C" w:rsidRDefault="0021282C">
      <w:r>
        <w:separator/>
      </w:r>
    </w:p>
  </w:endnote>
  <w:endnote w:type="continuationSeparator" w:id="0">
    <w:p w:rsidR="0021282C" w:rsidRDefault="00212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4C0" w:rsidRDefault="000234C0">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82C" w:rsidRDefault="0021282C">
      <w:r>
        <w:separator/>
      </w:r>
    </w:p>
  </w:footnote>
  <w:footnote w:type="continuationSeparator" w:id="0">
    <w:p w:rsidR="0021282C" w:rsidRDefault="002128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CCB"/>
    <w:rsid w:val="000001D0"/>
    <w:rsid w:val="00005F02"/>
    <w:rsid w:val="00006A92"/>
    <w:rsid w:val="00006EF5"/>
    <w:rsid w:val="00007EEE"/>
    <w:rsid w:val="000107EC"/>
    <w:rsid w:val="00011303"/>
    <w:rsid w:val="00011C79"/>
    <w:rsid w:val="00012BE5"/>
    <w:rsid w:val="00014405"/>
    <w:rsid w:val="00014C75"/>
    <w:rsid w:val="00014D0C"/>
    <w:rsid w:val="000156D9"/>
    <w:rsid w:val="0001713B"/>
    <w:rsid w:val="00017F23"/>
    <w:rsid w:val="000215C1"/>
    <w:rsid w:val="000217E4"/>
    <w:rsid w:val="000234C0"/>
    <w:rsid w:val="00023A92"/>
    <w:rsid w:val="000257D6"/>
    <w:rsid w:val="00027285"/>
    <w:rsid w:val="000279FB"/>
    <w:rsid w:val="00033A7B"/>
    <w:rsid w:val="00035920"/>
    <w:rsid w:val="00036523"/>
    <w:rsid w:val="00037404"/>
    <w:rsid w:val="00037818"/>
    <w:rsid w:val="00037980"/>
    <w:rsid w:val="00042A25"/>
    <w:rsid w:val="00042EEE"/>
    <w:rsid w:val="00043FB7"/>
    <w:rsid w:val="00045BFD"/>
    <w:rsid w:val="00046B2A"/>
    <w:rsid w:val="000559C3"/>
    <w:rsid w:val="00055BAB"/>
    <w:rsid w:val="000603A2"/>
    <w:rsid w:val="00060553"/>
    <w:rsid w:val="0006111B"/>
    <w:rsid w:val="00062021"/>
    <w:rsid w:val="00062B19"/>
    <w:rsid w:val="00062E2D"/>
    <w:rsid w:val="00066BF4"/>
    <w:rsid w:val="0006748B"/>
    <w:rsid w:val="0006754D"/>
    <w:rsid w:val="00071B3B"/>
    <w:rsid w:val="00071F28"/>
    <w:rsid w:val="0007356D"/>
    <w:rsid w:val="00074856"/>
    <w:rsid w:val="0007750D"/>
    <w:rsid w:val="00077F5F"/>
    <w:rsid w:val="00081115"/>
    <w:rsid w:val="0008163D"/>
    <w:rsid w:val="000849E9"/>
    <w:rsid w:val="000853C4"/>
    <w:rsid w:val="00085860"/>
    <w:rsid w:val="000877E6"/>
    <w:rsid w:val="00093120"/>
    <w:rsid w:val="00096FEF"/>
    <w:rsid w:val="000975C7"/>
    <w:rsid w:val="000A228B"/>
    <w:rsid w:val="000A51C5"/>
    <w:rsid w:val="000A6FC1"/>
    <w:rsid w:val="000B1E50"/>
    <w:rsid w:val="000B2972"/>
    <w:rsid w:val="000B3700"/>
    <w:rsid w:val="000B3EBC"/>
    <w:rsid w:val="000B73D8"/>
    <w:rsid w:val="000C0905"/>
    <w:rsid w:val="000C152B"/>
    <w:rsid w:val="000C2F51"/>
    <w:rsid w:val="000C4790"/>
    <w:rsid w:val="000C4913"/>
    <w:rsid w:val="000C5F44"/>
    <w:rsid w:val="000C7AB7"/>
    <w:rsid w:val="000D0BD5"/>
    <w:rsid w:val="000D17C9"/>
    <w:rsid w:val="000D59DE"/>
    <w:rsid w:val="000D7B22"/>
    <w:rsid w:val="000E216E"/>
    <w:rsid w:val="000E348B"/>
    <w:rsid w:val="000E3608"/>
    <w:rsid w:val="000E69F8"/>
    <w:rsid w:val="000F57A3"/>
    <w:rsid w:val="000F6613"/>
    <w:rsid w:val="001022CC"/>
    <w:rsid w:val="0010239C"/>
    <w:rsid w:val="00102F71"/>
    <w:rsid w:val="001041B9"/>
    <w:rsid w:val="00104515"/>
    <w:rsid w:val="00107051"/>
    <w:rsid w:val="0011085B"/>
    <w:rsid w:val="00110F6C"/>
    <w:rsid w:val="001134CD"/>
    <w:rsid w:val="001154AF"/>
    <w:rsid w:val="00115AA2"/>
    <w:rsid w:val="00116696"/>
    <w:rsid w:val="001177F0"/>
    <w:rsid w:val="00122116"/>
    <w:rsid w:val="0012357B"/>
    <w:rsid w:val="00130C38"/>
    <w:rsid w:val="00132302"/>
    <w:rsid w:val="00132BE4"/>
    <w:rsid w:val="00133F20"/>
    <w:rsid w:val="00134E77"/>
    <w:rsid w:val="00135362"/>
    <w:rsid w:val="00136600"/>
    <w:rsid w:val="00137C67"/>
    <w:rsid w:val="001409B6"/>
    <w:rsid w:val="001411A6"/>
    <w:rsid w:val="0014134F"/>
    <w:rsid w:val="0014169A"/>
    <w:rsid w:val="0014323B"/>
    <w:rsid w:val="00143504"/>
    <w:rsid w:val="00145C16"/>
    <w:rsid w:val="001460F5"/>
    <w:rsid w:val="001464A4"/>
    <w:rsid w:val="00146F90"/>
    <w:rsid w:val="00147C73"/>
    <w:rsid w:val="00152879"/>
    <w:rsid w:val="00153C26"/>
    <w:rsid w:val="00154B88"/>
    <w:rsid w:val="001618D7"/>
    <w:rsid w:val="00161E02"/>
    <w:rsid w:val="00164FAA"/>
    <w:rsid w:val="001657D8"/>
    <w:rsid w:val="00165E5C"/>
    <w:rsid w:val="001672A0"/>
    <w:rsid w:val="00167948"/>
    <w:rsid w:val="00167FEE"/>
    <w:rsid w:val="001700CD"/>
    <w:rsid w:val="00175B0A"/>
    <w:rsid w:val="00180B60"/>
    <w:rsid w:val="00183760"/>
    <w:rsid w:val="001848CC"/>
    <w:rsid w:val="001850BA"/>
    <w:rsid w:val="00186F40"/>
    <w:rsid w:val="001877DC"/>
    <w:rsid w:val="00190D40"/>
    <w:rsid w:val="00193B42"/>
    <w:rsid w:val="001A5696"/>
    <w:rsid w:val="001A601E"/>
    <w:rsid w:val="001B0A60"/>
    <w:rsid w:val="001B0F1A"/>
    <w:rsid w:val="001B2959"/>
    <w:rsid w:val="001B2AF0"/>
    <w:rsid w:val="001B2E1D"/>
    <w:rsid w:val="001B5B28"/>
    <w:rsid w:val="001B687D"/>
    <w:rsid w:val="001B7022"/>
    <w:rsid w:val="001C0E8E"/>
    <w:rsid w:val="001C1775"/>
    <w:rsid w:val="001C2ACF"/>
    <w:rsid w:val="001C4CAA"/>
    <w:rsid w:val="001C545B"/>
    <w:rsid w:val="001C66BC"/>
    <w:rsid w:val="001C779A"/>
    <w:rsid w:val="001D03D4"/>
    <w:rsid w:val="001D09A0"/>
    <w:rsid w:val="001D3E64"/>
    <w:rsid w:val="001D444B"/>
    <w:rsid w:val="001E060E"/>
    <w:rsid w:val="001E33B7"/>
    <w:rsid w:val="001E3EA7"/>
    <w:rsid w:val="001E6B63"/>
    <w:rsid w:val="001E7B66"/>
    <w:rsid w:val="001F0FF9"/>
    <w:rsid w:val="001F1C99"/>
    <w:rsid w:val="001F5108"/>
    <w:rsid w:val="001F6E68"/>
    <w:rsid w:val="002014B3"/>
    <w:rsid w:val="00203D12"/>
    <w:rsid w:val="002045A2"/>
    <w:rsid w:val="00205409"/>
    <w:rsid w:val="00206D81"/>
    <w:rsid w:val="0021282C"/>
    <w:rsid w:val="00213440"/>
    <w:rsid w:val="00214195"/>
    <w:rsid w:val="002147A2"/>
    <w:rsid w:val="002158ED"/>
    <w:rsid w:val="00216E66"/>
    <w:rsid w:val="00217901"/>
    <w:rsid w:val="0022072B"/>
    <w:rsid w:val="002216DF"/>
    <w:rsid w:val="00221C8C"/>
    <w:rsid w:val="00222AE4"/>
    <w:rsid w:val="00223A33"/>
    <w:rsid w:val="002254CA"/>
    <w:rsid w:val="00225A43"/>
    <w:rsid w:val="002309FE"/>
    <w:rsid w:val="00234832"/>
    <w:rsid w:val="00234CB5"/>
    <w:rsid w:val="00244076"/>
    <w:rsid w:val="00244CEE"/>
    <w:rsid w:val="00244F0B"/>
    <w:rsid w:val="00245F36"/>
    <w:rsid w:val="002464DB"/>
    <w:rsid w:val="00246C61"/>
    <w:rsid w:val="0024774E"/>
    <w:rsid w:val="00251308"/>
    <w:rsid w:val="00256509"/>
    <w:rsid w:val="002565E9"/>
    <w:rsid w:val="002567AE"/>
    <w:rsid w:val="002620B5"/>
    <w:rsid w:val="0026403B"/>
    <w:rsid w:val="00270B1B"/>
    <w:rsid w:val="00271BEE"/>
    <w:rsid w:val="00273F36"/>
    <w:rsid w:val="0027434A"/>
    <w:rsid w:val="0027511C"/>
    <w:rsid w:val="00275823"/>
    <w:rsid w:val="002771AB"/>
    <w:rsid w:val="00280105"/>
    <w:rsid w:val="00282CB6"/>
    <w:rsid w:val="00283435"/>
    <w:rsid w:val="00283722"/>
    <w:rsid w:val="00285822"/>
    <w:rsid w:val="002869E1"/>
    <w:rsid w:val="00287342"/>
    <w:rsid w:val="0029258E"/>
    <w:rsid w:val="00296230"/>
    <w:rsid w:val="00297674"/>
    <w:rsid w:val="002A153D"/>
    <w:rsid w:val="002A34FB"/>
    <w:rsid w:val="002A4594"/>
    <w:rsid w:val="002A5134"/>
    <w:rsid w:val="002A7165"/>
    <w:rsid w:val="002B0CA2"/>
    <w:rsid w:val="002B2B25"/>
    <w:rsid w:val="002B2B46"/>
    <w:rsid w:val="002B40F5"/>
    <w:rsid w:val="002B7387"/>
    <w:rsid w:val="002B7F88"/>
    <w:rsid w:val="002C1267"/>
    <w:rsid w:val="002C4590"/>
    <w:rsid w:val="002C64A3"/>
    <w:rsid w:val="002C7260"/>
    <w:rsid w:val="002D2243"/>
    <w:rsid w:val="002D278E"/>
    <w:rsid w:val="002D4414"/>
    <w:rsid w:val="002D4450"/>
    <w:rsid w:val="002D5AC8"/>
    <w:rsid w:val="002E346E"/>
    <w:rsid w:val="002E423B"/>
    <w:rsid w:val="002E5699"/>
    <w:rsid w:val="002F1D9A"/>
    <w:rsid w:val="002F1FB2"/>
    <w:rsid w:val="002F7615"/>
    <w:rsid w:val="002F7C1F"/>
    <w:rsid w:val="0030473A"/>
    <w:rsid w:val="003048EE"/>
    <w:rsid w:val="0030785F"/>
    <w:rsid w:val="00312505"/>
    <w:rsid w:val="00314EE7"/>
    <w:rsid w:val="00317BE9"/>
    <w:rsid w:val="00320631"/>
    <w:rsid w:val="00320DB5"/>
    <w:rsid w:val="003229E8"/>
    <w:rsid w:val="00330DBF"/>
    <w:rsid w:val="00332EAC"/>
    <w:rsid w:val="003335AA"/>
    <w:rsid w:val="00334FC2"/>
    <w:rsid w:val="00342101"/>
    <w:rsid w:val="00343183"/>
    <w:rsid w:val="00345E38"/>
    <w:rsid w:val="003466A8"/>
    <w:rsid w:val="0035177F"/>
    <w:rsid w:val="0035534B"/>
    <w:rsid w:val="00357077"/>
    <w:rsid w:val="00363BF9"/>
    <w:rsid w:val="003660FE"/>
    <w:rsid w:val="003662DE"/>
    <w:rsid w:val="00370E6A"/>
    <w:rsid w:val="00376068"/>
    <w:rsid w:val="00376470"/>
    <w:rsid w:val="00376534"/>
    <w:rsid w:val="00377696"/>
    <w:rsid w:val="00380257"/>
    <w:rsid w:val="003820CE"/>
    <w:rsid w:val="00382461"/>
    <w:rsid w:val="00384871"/>
    <w:rsid w:val="0038599A"/>
    <w:rsid w:val="00385CF5"/>
    <w:rsid w:val="00393631"/>
    <w:rsid w:val="00393A4B"/>
    <w:rsid w:val="0039570A"/>
    <w:rsid w:val="00395B25"/>
    <w:rsid w:val="0039704D"/>
    <w:rsid w:val="00397630"/>
    <w:rsid w:val="00397DF8"/>
    <w:rsid w:val="003A2180"/>
    <w:rsid w:val="003A21D3"/>
    <w:rsid w:val="003A44D4"/>
    <w:rsid w:val="003A4C9D"/>
    <w:rsid w:val="003A4EBB"/>
    <w:rsid w:val="003A64E9"/>
    <w:rsid w:val="003A7609"/>
    <w:rsid w:val="003B0F07"/>
    <w:rsid w:val="003B155C"/>
    <w:rsid w:val="003B240A"/>
    <w:rsid w:val="003B42C5"/>
    <w:rsid w:val="003B7C32"/>
    <w:rsid w:val="003C10C2"/>
    <w:rsid w:val="003C20E6"/>
    <w:rsid w:val="003C235D"/>
    <w:rsid w:val="003C2DEB"/>
    <w:rsid w:val="003C306C"/>
    <w:rsid w:val="003C3249"/>
    <w:rsid w:val="003C329D"/>
    <w:rsid w:val="003C3C90"/>
    <w:rsid w:val="003C423B"/>
    <w:rsid w:val="003C5A81"/>
    <w:rsid w:val="003C5D0C"/>
    <w:rsid w:val="003C67A3"/>
    <w:rsid w:val="003C6E19"/>
    <w:rsid w:val="003D0785"/>
    <w:rsid w:val="003D24E0"/>
    <w:rsid w:val="003D48C9"/>
    <w:rsid w:val="003D6E5F"/>
    <w:rsid w:val="003D7086"/>
    <w:rsid w:val="003D778D"/>
    <w:rsid w:val="003D7E6D"/>
    <w:rsid w:val="003E1B99"/>
    <w:rsid w:val="003E25E9"/>
    <w:rsid w:val="003E50DD"/>
    <w:rsid w:val="003E57C9"/>
    <w:rsid w:val="003E5B9D"/>
    <w:rsid w:val="003E619A"/>
    <w:rsid w:val="003E728E"/>
    <w:rsid w:val="003F26BF"/>
    <w:rsid w:val="003F32DF"/>
    <w:rsid w:val="003F38FA"/>
    <w:rsid w:val="003F4121"/>
    <w:rsid w:val="003F645A"/>
    <w:rsid w:val="003F7284"/>
    <w:rsid w:val="003F76F1"/>
    <w:rsid w:val="00403FA4"/>
    <w:rsid w:val="00411E11"/>
    <w:rsid w:val="00411EC2"/>
    <w:rsid w:val="0041673C"/>
    <w:rsid w:val="00417D16"/>
    <w:rsid w:val="00420528"/>
    <w:rsid w:val="00420EEC"/>
    <w:rsid w:val="0042648F"/>
    <w:rsid w:val="00430FD3"/>
    <w:rsid w:val="004311E8"/>
    <w:rsid w:val="004339DF"/>
    <w:rsid w:val="00436366"/>
    <w:rsid w:val="0043710B"/>
    <w:rsid w:val="00440FDA"/>
    <w:rsid w:val="004412E4"/>
    <w:rsid w:val="00442726"/>
    <w:rsid w:val="00442E7A"/>
    <w:rsid w:val="004432BB"/>
    <w:rsid w:val="00443EEB"/>
    <w:rsid w:val="004464B7"/>
    <w:rsid w:val="0044652B"/>
    <w:rsid w:val="00447702"/>
    <w:rsid w:val="00451371"/>
    <w:rsid w:val="004515D7"/>
    <w:rsid w:val="00451EDF"/>
    <w:rsid w:val="00455161"/>
    <w:rsid w:val="004558DF"/>
    <w:rsid w:val="00456A15"/>
    <w:rsid w:val="0046023B"/>
    <w:rsid w:val="00460923"/>
    <w:rsid w:val="00462A74"/>
    <w:rsid w:val="00463BB2"/>
    <w:rsid w:val="004670BB"/>
    <w:rsid w:val="004702E5"/>
    <w:rsid w:val="00470F6A"/>
    <w:rsid w:val="004719FC"/>
    <w:rsid w:val="00472976"/>
    <w:rsid w:val="004734B3"/>
    <w:rsid w:val="00474712"/>
    <w:rsid w:val="00474E86"/>
    <w:rsid w:val="004750E2"/>
    <w:rsid w:val="00476500"/>
    <w:rsid w:val="0048045F"/>
    <w:rsid w:val="00482D57"/>
    <w:rsid w:val="0048410F"/>
    <w:rsid w:val="0049026A"/>
    <w:rsid w:val="00490CC4"/>
    <w:rsid w:val="00493695"/>
    <w:rsid w:val="004A0749"/>
    <w:rsid w:val="004A2093"/>
    <w:rsid w:val="004A21FA"/>
    <w:rsid w:val="004A26BE"/>
    <w:rsid w:val="004A4507"/>
    <w:rsid w:val="004B0A2F"/>
    <w:rsid w:val="004B3F78"/>
    <w:rsid w:val="004B76D3"/>
    <w:rsid w:val="004B79B0"/>
    <w:rsid w:val="004C0B29"/>
    <w:rsid w:val="004C14BD"/>
    <w:rsid w:val="004C5378"/>
    <w:rsid w:val="004C6D6F"/>
    <w:rsid w:val="004C7064"/>
    <w:rsid w:val="004C7BEF"/>
    <w:rsid w:val="004D21C6"/>
    <w:rsid w:val="004D34CE"/>
    <w:rsid w:val="004D7082"/>
    <w:rsid w:val="004D720C"/>
    <w:rsid w:val="004E306E"/>
    <w:rsid w:val="004E50AD"/>
    <w:rsid w:val="004E5206"/>
    <w:rsid w:val="004E5621"/>
    <w:rsid w:val="004E5BCE"/>
    <w:rsid w:val="004E7254"/>
    <w:rsid w:val="004F2CD0"/>
    <w:rsid w:val="004F4570"/>
    <w:rsid w:val="004F5507"/>
    <w:rsid w:val="004F5ED3"/>
    <w:rsid w:val="004F6C5F"/>
    <w:rsid w:val="004F7098"/>
    <w:rsid w:val="00500435"/>
    <w:rsid w:val="00502312"/>
    <w:rsid w:val="00507836"/>
    <w:rsid w:val="00510171"/>
    <w:rsid w:val="005121E1"/>
    <w:rsid w:val="005147D9"/>
    <w:rsid w:val="00514ECE"/>
    <w:rsid w:val="005223A4"/>
    <w:rsid w:val="00523E64"/>
    <w:rsid w:val="00523EA1"/>
    <w:rsid w:val="00526BD9"/>
    <w:rsid w:val="00526EA3"/>
    <w:rsid w:val="005302BD"/>
    <w:rsid w:val="00530616"/>
    <w:rsid w:val="005307DB"/>
    <w:rsid w:val="00530B28"/>
    <w:rsid w:val="00532411"/>
    <w:rsid w:val="00532FD8"/>
    <w:rsid w:val="00533290"/>
    <w:rsid w:val="00533B7B"/>
    <w:rsid w:val="0053575A"/>
    <w:rsid w:val="005366E9"/>
    <w:rsid w:val="0054036A"/>
    <w:rsid w:val="005417F4"/>
    <w:rsid w:val="00541A7B"/>
    <w:rsid w:val="00543408"/>
    <w:rsid w:val="00543BFE"/>
    <w:rsid w:val="0054473F"/>
    <w:rsid w:val="00546F58"/>
    <w:rsid w:val="00547CD9"/>
    <w:rsid w:val="00550E37"/>
    <w:rsid w:val="00552CA8"/>
    <w:rsid w:val="00552CCB"/>
    <w:rsid w:val="005532F0"/>
    <w:rsid w:val="005541ED"/>
    <w:rsid w:val="005576FE"/>
    <w:rsid w:val="00564C99"/>
    <w:rsid w:val="005662BD"/>
    <w:rsid w:val="00567754"/>
    <w:rsid w:val="00567BE0"/>
    <w:rsid w:val="00572E1F"/>
    <w:rsid w:val="00587AA1"/>
    <w:rsid w:val="00591580"/>
    <w:rsid w:val="00591B16"/>
    <w:rsid w:val="005A11E0"/>
    <w:rsid w:val="005A1862"/>
    <w:rsid w:val="005A1FC8"/>
    <w:rsid w:val="005A3CA2"/>
    <w:rsid w:val="005A52A1"/>
    <w:rsid w:val="005A745C"/>
    <w:rsid w:val="005B05A6"/>
    <w:rsid w:val="005B0CCB"/>
    <w:rsid w:val="005B0F25"/>
    <w:rsid w:val="005B4A54"/>
    <w:rsid w:val="005B6D06"/>
    <w:rsid w:val="005B7532"/>
    <w:rsid w:val="005C1C72"/>
    <w:rsid w:val="005C5DFC"/>
    <w:rsid w:val="005D0467"/>
    <w:rsid w:val="005D11F0"/>
    <w:rsid w:val="005D18F6"/>
    <w:rsid w:val="005D442A"/>
    <w:rsid w:val="005D4DA3"/>
    <w:rsid w:val="005E0DF0"/>
    <w:rsid w:val="005E2FF6"/>
    <w:rsid w:val="005E3419"/>
    <w:rsid w:val="005E3FB2"/>
    <w:rsid w:val="005E437C"/>
    <w:rsid w:val="005E479F"/>
    <w:rsid w:val="005E47DE"/>
    <w:rsid w:val="005E509C"/>
    <w:rsid w:val="005E751A"/>
    <w:rsid w:val="005F012D"/>
    <w:rsid w:val="005F0CA6"/>
    <w:rsid w:val="005F10B5"/>
    <w:rsid w:val="005F221B"/>
    <w:rsid w:val="005F250F"/>
    <w:rsid w:val="005F42C5"/>
    <w:rsid w:val="005F48DE"/>
    <w:rsid w:val="005F6B1F"/>
    <w:rsid w:val="005F7024"/>
    <w:rsid w:val="00601D3D"/>
    <w:rsid w:val="0060330F"/>
    <w:rsid w:val="006039BB"/>
    <w:rsid w:val="00604C7B"/>
    <w:rsid w:val="00606A96"/>
    <w:rsid w:val="006071E2"/>
    <w:rsid w:val="00611230"/>
    <w:rsid w:val="006117E4"/>
    <w:rsid w:val="00611D4B"/>
    <w:rsid w:val="00616872"/>
    <w:rsid w:val="00620F3B"/>
    <w:rsid w:val="006238E1"/>
    <w:rsid w:val="00627E17"/>
    <w:rsid w:val="006308E1"/>
    <w:rsid w:val="00630C12"/>
    <w:rsid w:val="00631068"/>
    <w:rsid w:val="006333AF"/>
    <w:rsid w:val="0063582D"/>
    <w:rsid w:val="006374EE"/>
    <w:rsid w:val="00640372"/>
    <w:rsid w:val="00643054"/>
    <w:rsid w:val="006433ED"/>
    <w:rsid w:val="006447AB"/>
    <w:rsid w:val="006451FB"/>
    <w:rsid w:val="00645BD9"/>
    <w:rsid w:val="00646351"/>
    <w:rsid w:val="0065050A"/>
    <w:rsid w:val="006513FE"/>
    <w:rsid w:val="006536E3"/>
    <w:rsid w:val="0065472A"/>
    <w:rsid w:val="00655E54"/>
    <w:rsid w:val="0065631C"/>
    <w:rsid w:val="0065675D"/>
    <w:rsid w:val="0066277C"/>
    <w:rsid w:val="006631BB"/>
    <w:rsid w:val="006643B1"/>
    <w:rsid w:val="00665680"/>
    <w:rsid w:val="006666FF"/>
    <w:rsid w:val="00667CCA"/>
    <w:rsid w:val="00667DFD"/>
    <w:rsid w:val="006704D3"/>
    <w:rsid w:val="00671709"/>
    <w:rsid w:val="00671C81"/>
    <w:rsid w:val="00672EA6"/>
    <w:rsid w:val="0067369F"/>
    <w:rsid w:val="006745D6"/>
    <w:rsid w:val="00674905"/>
    <w:rsid w:val="00674E25"/>
    <w:rsid w:val="0067636E"/>
    <w:rsid w:val="00676F66"/>
    <w:rsid w:val="00681B36"/>
    <w:rsid w:val="00682F3F"/>
    <w:rsid w:val="0068316E"/>
    <w:rsid w:val="00684364"/>
    <w:rsid w:val="0068465B"/>
    <w:rsid w:val="00686621"/>
    <w:rsid w:val="0069476A"/>
    <w:rsid w:val="00695A28"/>
    <w:rsid w:val="0069698D"/>
    <w:rsid w:val="00696B6B"/>
    <w:rsid w:val="006A187B"/>
    <w:rsid w:val="006A5E9E"/>
    <w:rsid w:val="006A702B"/>
    <w:rsid w:val="006A786D"/>
    <w:rsid w:val="006A7C46"/>
    <w:rsid w:val="006A7F74"/>
    <w:rsid w:val="006B1F49"/>
    <w:rsid w:val="006B3419"/>
    <w:rsid w:val="006B5645"/>
    <w:rsid w:val="006B567E"/>
    <w:rsid w:val="006B7BD7"/>
    <w:rsid w:val="006C5C04"/>
    <w:rsid w:val="006D2E98"/>
    <w:rsid w:val="006E1C21"/>
    <w:rsid w:val="006E3489"/>
    <w:rsid w:val="006E5F66"/>
    <w:rsid w:val="006E616F"/>
    <w:rsid w:val="006E6265"/>
    <w:rsid w:val="006E6D01"/>
    <w:rsid w:val="006E747F"/>
    <w:rsid w:val="006F0857"/>
    <w:rsid w:val="006F2E9B"/>
    <w:rsid w:val="006F36A7"/>
    <w:rsid w:val="006F4830"/>
    <w:rsid w:val="006F60E3"/>
    <w:rsid w:val="006F7F18"/>
    <w:rsid w:val="00702BB2"/>
    <w:rsid w:val="007041FF"/>
    <w:rsid w:val="0070432C"/>
    <w:rsid w:val="00705281"/>
    <w:rsid w:val="0070544A"/>
    <w:rsid w:val="00705467"/>
    <w:rsid w:val="007105D4"/>
    <w:rsid w:val="00712E45"/>
    <w:rsid w:val="00714068"/>
    <w:rsid w:val="00714EDA"/>
    <w:rsid w:val="00715971"/>
    <w:rsid w:val="00715E24"/>
    <w:rsid w:val="00720317"/>
    <w:rsid w:val="00721431"/>
    <w:rsid w:val="00721916"/>
    <w:rsid w:val="0072239D"/>
    <w:rsid w:val="00722E92"/>
    <w:rsid w:val="007234AF"/>
    <w:rsid w:val="00723A7F"/>
    <w:rsid w:val="0072473B"/>
    <w:rsid w:val="007311C2"/>
    <w:rsid w:val="00731307"/>
    <w:rsid w:val="007344C2"/>
    <w:rsid w:val="00737EBF"/>
    <w:rsid w:val="007404B5"/>
    <w:rsid w:val="00742138"/>
    <w:rsid w:val="0074389D"/>
    <w:rsid w:val="007451E3"/>
    <w:rsid w:val="00746DD1"/>
    <w:rsid w:val="0074740C"/>
    <w:rsid w:val="0075015F"/>
    <w:rsid w:val="00750A9C"/>
    <w:rsid w:val="00752A95"/>
    <w:rsid w:val="0075595F"/>
    <w:rsid w:val="007564E2"/>
    <w:rsid w:val="00757C03"/>
    <w:rsid w:val="00757ED4"/>
    <w:rsid w:val="00757EDE"/>
    <w:rsid w:val="007607C1"/>
    <w:rsid w:val="00770384"/>
    <w:rsid w:val="00771370"/>
    <w:rsid w:val="00772D3F"/>
    <w:rsid w:val="00772F6C"/>
    <w:rsid w:val="00773CE9"/>
    <w:rsid w:val="00775161"/>
    <w:rsid w:val="00777095"/>
    <w:rsid w:val="00777C8C"/>
    <w:rsid w:val="00781499"/>
    <w:rsid w:val="0078303E"/>
    <w:rsid w:val="007865D8"/>
    <w:rsid w:val="00786DDE"/>
    <w:rsid w:val="00787591"/>
    <w:rsid w:val="00792ABE"/>
    <w:rsid w:val="00795FC7"/>
    <w:rsid w:val="007A0650"/>
    <w:rsid w:val="007A3E59"/>
    <w:rsid w:val="007A4FFD"/>
    <w:rsid w:val="007B0920"/>
    <w:rsid w:val="007B0DCD"/>
    <w:rsid w:val="007B110B"/>
    <w:rsid w:val="007B40CD"/>
    <w:rsid w:val="007B5F2F"/>
    <w:rsid w:val="007B6547"/>
    <w:rsid w:val="007B768D"/>
    <w:rsid w:val="007B769F"/>
    <w:rsid w:val="007C0DB0"/>
    <w:rsid w:val="007C30D5"/>
    <w:rsid w:val="007C3A23"/>
    <w:rsid w:val="007C3B71"/>
    <w:rsid w:val="007C56B2"/>
    <w:rsid w:val="007C6D03"/>
    <w:rsid w:val="007D1D13"/>
    <w:rsid w:val="007D21F7"/>
    <w:rsid w:val="007D35A7"/>
    <w:rsid w:val="007D408B"/>
    <w:rsid w:val="007D532B"/>
    <w:rsid w:val="007D5DF5"/>
    <w:rsid w:val="007E2AA0"/>
    <w:rsid w:val="007E3074"/>
    <w:rsid w:val="007E66C2"/>
    <w:rsid w:val="007E6FC1"/>
    <w:rsid w:val="007F28F2"/>
    <w:rsid w:val="007F37EC"/>
    <w:rsid w:val="007F3B1A"/>
    <w:rsid w:val="007F4522"/>
    <w:rsid w:val="007F57B4"/>
    <w:rsid w:val="007F780A"/>
    <w:rsid w:val="00800632"/>
    <w:rsid w:val="008046EC"/>
    <w:rsid w:val="0080498F"/>
    <w:rsid w:val="00806439"/>
    <w:rsid w:val="00807DA8"/>
    <w:rsid w:val="00810562"/>
    <w:rsid w:val="00811536"/>
    <w:rsid w:val="0081343C"/>
    <w:rsid w:val="008138B1"/>
    <w:rsid w:val="00814387"/>
    <w:rsid w:val="00814FC2"/>
    <w:rsid w:val="00815E67"/>
    <w:rsid w:val="00816328"/>
    <w:rsid w:val="00816E98"/>
    <w:rsid w:val="00817B3A"/>
    <w:rsid w:val="0082011A"/>
    <w:rsid w:val="00820261"/>
    <w:rsid w:val="00820F29"/>
    <w:rsid w:val="00823A63"/>
    <w:rsid w:val="008265FB"/>
    <w:rsid w:val="0083307F"/>
    <w:rsid w:val="00837F30"/>
    <w:rsid w:val="00840292"/>
    <w:rsid w:val="008402D5"/>
    <w:rsid w:val="00844028"/>
    <w:rsid w:val="0084464F"/>
    <w:rsid w:val="00844681"/>
    <w:rsid w:val="0084503F"/>
    <w:rsid w:val="0084596D"/>
    <w:rsid w:val="00850170"/>
    <w:rsid w:val="0085057A"/>
    <w:rsid w:val="00850A81"/>
    <w:rsid w:val="00853FDC"/>
    <w:rsid w:val="00855B9C"/>
    <w:rsid w:val="00857A81"/>
    <w:rsid w:val="0086120E"/>
    <w:rsid w:val="008723BB"/>
    <w:rsid w:val="00873179"/>
    <w:rsid w:val="00873476"/>
    <w:rsid w:val="008739DE"/>
    <w:rsid w:val="0087434D"/>
    <w:rsid w:val="00874B70"/>
    <w:rsid w:val="008758F6"/>
    <w:rsid w:val="0088044B"/>
    <w:rsid w:val="0088098B"/>
    <w:rsid w:val="008815F1"/>
    <w:rsid w:val="00886001"/>
    <w:rsid w:val="00887240"/>
    <w:rsid w:val="0088782C"/>
    <w:rsid w:val="00887CEE"/>
    <w:rsid w:val="008900B6"/>
    <w:rsid w:val="00895349"/>
    <w:rsid w:val="008963EB"/>
    <w:rsid w:val="008963F5"/>
    <w:rsid w:val="008A160E"/>
    <w:rsid w:val="008A1BC0"/>
    <w:rsid w:val="008A1C89"/>
    <w:rsid w:val="008A452D"/>
    <w:rsid w:val="008A4CE0"/>
    <w:rsid w:val="008A50D6"/>
    <w:rsid w:val="008A772E"/>
    <w:rsid w:val="008A77A6"/>
    <w:rsid w:val="008A7F32"/>
    <w:rsid w:val="008B559F"/>
    <w:rsid w:val="008B7214"/>
    <w:rsid w:val="008C7E03"/>
    <w:rsid w:val="008D2524"/>
    <w:rsid w:val="008D498B"/>
    <w:rsid w:val="008E3AE4"/>
    <w:rsid w:val="008E7B24"/>
    <w:rsid w:val="008F3907"/>
    <w:rsid w:val="008F3F36"/>
    <w:rsid w:val="008F4C30"/>
    <w:rsid w:val="008F7242"/>
    <w:rsid w:val="008F76AB"/>
    <w:rsid w:val="0090034A"/>
    <w:rsid w:val="00901F55"/>
    <w:rsid w:val="009025DE"/>
    <w:rsid w:val="0090567A"/>
    <w:rsid w:val="009068FF"/>
    <w:rsid w:val="00910563"/>
    <w:rsid w:val="00910BB9"/>
    <w:rsid w:val="00912E35"/>
    <w:rsid w:val="0091346D"/>
    <w:rsid w:val="00913FC9"/>
    <w:rsid w:val="009168DA"/>
    <w:rsid w:val="0091746B"/>
    <w:rsid w:val="00922983"/>
    <w:rsid w:val="00922C37"/>
    <w:rsid w:val="00922E0D"/>
    <w:rsid w:val="00922EF4"/>
    <w:rsid w:val="00923621"/>
    <w:rsid w:val="009236A5"/>
    <w:rsid w:val="00924531"/>
    <w:rsid w:val="00925BAE"/>
    <w:rsid w:val="00931B6F"/>
    <w:rsid w:val="00934CFF"/>
    <w:rsid w:val="0094040B"/>
    <w:rsid w:val="00942E0B"/>
    <w:rsid w:val="00943165"/>
    <w:rsid w:val="009455CC"/>
    <w:rsid w:val="00947F8A"/>
    <w:rsid w:val="00950499"/>
    <w:rsid w:val="0095062F"/>
    <w:rsid w:val="00951859"/>
    <w:rsid w:val="00951D67"/>
    <w:rsid w:val="009534CD"/>
    <w:rsid w:val="00953644"/>
    <w:rsid w:val="009562E4"/>
    <w:rsid w:val="00956305"/>
    <w:rsid w:val="009568E1"/>
    <w:rsid w:val="00956C59"/>
    <w:rsid w:val="00961105"/>
    <w:rsid w:val="00961CF2"/>
    <w:rsid w:val="009637CC"/>
    <w:rsid w:val="0096543F"/>
    <w:rsid w:val="009669E8"/>
    <w:rsid w:val="00967914"/>
    <w:rsid w:val="00972E11"/>
    <w:rsid w:val="00975D64"/>
    <w:rsid w:val="00976194"/>
    <w:rsid w:val="00980790"/>
    <w:rsid w:val="00980965"/>
    <w:rsid w:val="00983D29"/>
    <w:rsid w:val="00983EC2"/>
    <w:rsid w:val="009929CB"/>
    <w:rsid w:val="00992C48"/>
    <w:rsid w:val="00993533"/>
    <w:rsid w:val="00994EDA"/>
    <w:rsid w:val="00996D63"/>
    <w:rsid w:val="00997B73"/>
    <w:rsid w:val="00997B9E"/>
    <w:rsid w:val="00997CAB"/>
    <w:rsid w:val="009A134B"/>
    <w:rsid w:val="009A3719"/>
    <w:rsid w:val="009A39CE"/>
    <w:rsid w:val="009B3858"/>
    <w:rsid w:val="009B7AFF"/>
    <w:rsid w:val="009C05E6"/>
    <w:rsid w:val="009C2B78"/>
    <w:rsid w:val="009C49C5"/>
    <w:rsid w:val="009D181B"/>
    <w:rsid w:val="009D3DFA"/>
    <w:rsid w:val="009D48DC"/>
    <w:rsid w:val="009D5128"/>
    <w:rsid w:val="009D5D04"/>
    <w:rsid w:val="009E0844"/>
    <w:rsid w:val="009E263C"/>
    <w:rsid w:val="009E4F5A"/>
    <w:rsid w:val="009F038B"/>
    <w:rsid w:val="009F232A"/>
    <w:rsid w:val="009F37F6"/>
    <w:rsid w:val="009F6581"/>
    <w:rsid w:val="00A11937"/>
    <w:rsid w:val="00A11C5F"/>
    <w:rsid w:val="00A12D92"/>
    <w:rsid w:val="00A137FB"/>
    <w:rsid w:val="00A155AC"/>
    <w:rsid w:val="00A16F95"/>
    <w:rsid w:val="00A21280"/>
    <w:rsid w:val="00A24090"/>
    <w:rsid w:val="00A24348"/>
    <w:rsid w:val="00A3173D"/>
    <w:rsid w:val="00A317FB"/>
    <w:rsid w:val="00A31EF1"/>
    <w:rsid w:val="00A32ED7"/>
    <w:rsid w:val="00A33B45"/>
    <w:rsid w:val="00A34C6D"/>
    <w:rsid w:val="00A36151"/>
    <w:rsid w:val="00A40C28"/>
    <w:rsid w:val="00A430CF"/>
    <w:rsid w:val="00A43B75"/>
    <w:rsid w:val="00A464EF"/>
    <w:rsid w:val="00A478F7"/>
    <w:rsid w:val="00A5325C"/>
    <w:rsid w:val="00A5593A"/>
    <w:rsid w:val="00A55BC8"/>
    <w:rsid w:val="00A600C1"/>
    <w:rsid w:val="00A60C0E"/>
    <w:rsid w:val="00A61E5C"/>
    <w:rsid w:val="00A6471A"/>
    <w:rsid w:val="00A6545E"/>
    <w:rsid w:val="00A70BFE"/>
    <w:rsid w:val="00A72A31"/>
    <w:rsid w:val="00A733B6"/>
    <w:rsid w:val="00A76D15"/>
    <w:rsid w:val="00A80572"/>
    <w:rsid w:val="00A82BB8"/>
    <w:rsid w:val="00A844C1"/>
    <w:rsid w:val="00A872C3"/>
    <w:rsid w:val="00A90358"/>
    <w:rsid w:val="00A90A88"/>
    <w:rsid w:val="00A91212"/>
    <w:rsid w:val="00A93C56"/>
    <w:rsid w:val="00AA086B"/>
    <w:rsid w:val="00AA26EB"/>
    <w:rsid w:val="00AA3B97"/>
    <w:rsid w:val="00AA5D4A"/>
    <w:rsid w:val="00AA665C"/>
    <w:rsid w:val="00AA74F1"/>
    <w:rsid w:val="00AB025F"/>
    <w:rsid w:val="00AB08D8"/>
    <w:rsid w:val="00AB5818"/>
    <w:rsid w:val="00AB76A9"/>
    <w:rsid w:val="00AC13DF"/>
    <w:rsid w:val="00AC3F62"/>
    <w:rsid w:val="00AC4F3E"/>
    <w:rsid w:val="00AC7464"/>
    <w:rsid w:val="00AC7A32"/>
    <w:rsid w:val="00AD01F3"/>
    <w:rsid w:val="00AD13BC"/>
    <w:rsid w:val="00AD1B3E"/>
    <w:rsid w:val="00AD38E5"/>
    <w:rsid w:val="00AD46EC"/>
    <w:rsid w:val="00AD4D4A"/>
    <w:rsid w:val="00AD61D2"/>
    <w:rsid w:val="00AE03BA"/>
    <w:rsid w:val="00AE2542"/>
    <w:rsid w:val="00AF1855"/>
    <w:rsid w:val="00B00254"/>
    <w:rsid w:val="00B0046B"/>
    <w:rsid w:val="00B013B9"/>
    <w:rsid w:val="00B03495"/>
    <w:rsid w:val="00B04420"/>
    <w:rsid w:val="00B049FA"/>
    <w:rsid w:val="00B04E35"/>
    <w:rsid w:val="00B0608B"/>
    <w:rsid w:val="00B13317"/>
    <w:rsid w:val="00B13BF1"/>
    <w:rsid w:val="00B14B93"/>
    <w:rsid w:val="00B240D8"/>
    <w:rsid w:val="00B25A1B"/>
    <w:rsid w:val="00B25D25"/>
    <w:rsid w:val="00B310E5"/>
    <w:rsid w:val="00B3157A"/>
    <w:rsid w:val="00B3483D"/>
    <w:rsid w:val="00B34B8F"/>
    <w:rsid w:val="00B3638B"/>
    <w:rsid w:val="00B37B28"/>
    <w:rsid w:val="00B37F3D"/>
    <w:rsid w:val="00B40D1A"/>
    <w:rsid w:val="00B41AB2"/>
    <w:rsid w:val="00B42A85"/>
    <w:rsid w:val="00B4586E"/>
    <w:rsid w:val="00B47EC6"/>
    <w:rsid w:val="00B5054B"/>
    <w:rsid w:val="00B50738"/>
    <w:rsid w:val="00B56ABC"/>
    <w:rsid w:val="00B60E44"/>
    <w:rsid w:val="00B61FF9"/>
    <w:rsid w:val="00B63751"/>
    <w:rsid w:val="00B643F5"/>
    <w:rsid w:val="00B65D3D"/>
    <w:rsid w:val="00B660C5"/>
    <w:rsid w:val="00B66879"/>
    <w:rsid w:val="00B6759A"/>
    <w:rsid w:val="00B719B1"/>
    <w:rsid w:val="00B73796"/>
    <w:rsid w:val="00B74A93"/>
    <w:rsid w:val="00B76F64"/>
    <w:rsid w:val="00B77224"/>
    <w:rsid w:val="00B77FC9"/>
    <w:rsid w:val="00B87965"/>
    <w:rsid w:val="00B90203"/>
    <w:rsid w:val="00B90F4F"/>
    <w:rsid w:val="00B92165"/>
    <w:rsid w:val="00B9229E"/>
    <w:rsid w:val="00B9440D"/>
    <w:rsid w:val="00BA1072"/>
    <w:rsid w:val="00BA177E"/>
    <w:rsid w:val="00BA1995"/>
    <w:rsid w:val="00BA1FFA"/>
    <w:rsid w:val="00BA2886"/>
    <w:rsid w:val="00BA56FA"/>
    <w:rsid w:val="00BA6977"/>
    <w:rsid w:val="00BA71B2"/>
    <w:rsid w:val="00BA7494"/>
    <w:rsid w:val="00BA7CDA"/>
    <w:rsid w:val="00BB046F"/>
    <w:rsid w:val="00BB055E"/>
    <w:rsid w:val="00BB1D20"/>
    <w:rsid w:val="00BB45C2"/>
    <w:rsid w:val="00BB6B31"/>
    <w:rsid w:val="00BC079E"/>
    <w:rsid w:val="00BC0D5D"/>
    <w:rsid w:val="00BC11DF"/>
    <w:rsid w:val="00BC20EA"/>
    <w:rsid w:val="00BC397C"/>
    <w:rsid w:val="00BC4DDC"/>
    <w:rsid w:val="00BC6E8F"/>
    <w:rsid w:val="00BD1B35"/>
    <w:rsid w:val="00BD3301"/>
    <w:rsid w:val="00BD582F"/>
    <w:rsid w:val="00BD6014"/>
    <w:rsid w:val="00BE3072"/>
    <w:rsid w:val="00BE46D4"/>
    <w:rsid w:val="00BE6931"/>
    <w:rsid w:val="00BE78A0"/>
    <w:rsid w:val="00BE7E7B"/>
    <w:rsid w:val="00BF7197"/>
    <w:rsid w:val="00C00B3A"/>
    <w:rsid w:val="00C013C8"/>
    <w:rsid w:val="00C01EEA"/>
    <w:rsid w:val="00C04D4F"/>
    <w:rsid w:val="00C04FDD"/>
    <w:rsid w:val="00C06901"/>
    <w:rsid w:val="00C118AC"/>
    <w:rsid w:val="00C1200F"/>
    <w:rsid w:val="00C13944"/>
    <w:rsid w:val="00C14204"/>
    <w:rsid w:val="00C15064"/>
    <w:rsid w:val="00C17895"/>
    <w:rsid w:val="00C17C7F"/>
    <w:rsid w:val="00C21B5A"/>
    <w:rsid w:val="00C22336"/>
    <w:rsid w:val="00C224CE"/>
    <w:rsid w:val="00C22D89"/>
    <w:rsid w:val="00C25D19"/>
    <w:rsid w:val="00C324F8"/>
    <w:rsid w:val="00C34241"/>
    <w:rsid w:val="00C37C51"/>
    <w:rsid w:val="00C42AAB"/>
    <w:rsid w:val="00C44C0D"/>
    <w:rsid w:val="00C44C75"/>
    <w:rsid w:val="00C51A27"/>
    <w:rsid w:val="00C51B77"/>
    <w:rsid w:val="00C520BD"/>
    <w:rsid w:val="00C52997"/>
    <w:rsid w:val="00C531DD"/>
    <w:rsid w:val="00C534A9"/>
    <w:rsid w:val="00C63EF2"/>
    <w:rsid w:val="00C64BE3"/>
    <w:rsid w:val="00C6674C"/>
    <w:rsid w:val="00C720A8"/>
    <w:rsid w:val="00C746BE"/>
    <w:rsid w:val="00C747D9"/>
    <w:rsid w:val="00C7729D"/>
    <w:rsid w:val="00C822D7"/>
    <w:rsid w:val="00C850FD"/>
    <w:rsid w:val="00C85814"/>
    <w:rsid w:val="00C934E2"/>
    <w:rsid w:val="00C94574"/>
    <w:rsid w:val="00C9703A"/>
    <w:rsid w:val="00C97359"/>
    <w:rsid w:val="00C97B58"/>
    <w:rsid w:val="00CA48B0"/>
    <w:rsid w:val="00CA75C7"/>
    <w:rsid w:val="00CA7829"/>
    <w:rsid w:val="00CB1555"/>
    <w:rsid w:val="00CB1963"/>
    <w:rsid w:val="00CB1E25"/>
    <w:rsid w:val="00CB35CE"/>
    <w:rsid w:val="00CB595B"/>
    <w:rsid w:val="00CB6238"/>
    <w:rsid w:val="00CB67B8"/>
    <w:rsid w:val="00CC0307"/>
    <w:rsid w:val="00CC19EE"/>
    <w:rsid w:val="00CD2AB3"/>
    <w:rsid w:val="00CD5447"/>
    <w:rsid w:val="00CD5A11"/>
    <w:rsid w:val="00CD5D42"/>
    <w:rsid w:val="00CD6DBF"/>
    <w:rsid w:val="00CE02E5"/>
    <w:rsid w:val="00CE187B"/>
    <w:rsid w:val="00CE1A63"/>
    <w:rsid w:val="00CE3877"/>
    <w:rsid w:val="00CE6A7D"/>
    <w:rsid w:val="00CE79F7"/>
    <w:rsid w:val="00CF0833"/>
    <w:rsid w:val="00CF1814"/>
    <w:rsid w:val="00CF2667"/>
    <w:rsid w:val="00CF2E69"/>
    <w:rsid w:val="00CF33B4"/>
    <w:rsid w:val="00D00EAB"/>
    <w:rsid w:val="00D0248E"/>
    <w:rsid w:val="00D039C5"/>
    <w:rsid w:val="00D03C31"/>
    <w:rsid w:val="00D113C6"/>
    <w:rsid w:val="00D12262"/>
    <w:rsid w:val="00D127E7"/>
    <w:rsid w:val="00D13DB3"/>
    <w:rsid w:val="00D14936"/>
    <w:rsid w:val="00D14F70"/>
    <w:rsid w:val="00D15D80"/>
    <w:rsid w:val="00D15DE2"/>
    <w:rsid w:val="00D167CB"/>
    <w:rsid w:val="00D17C5C"/>
    <w:rsid w:val="00D2248B"/>
    <w:rsid w:val="00D23019"/>
    <w:rsid w:val="00D23C7C"/>
    <w:rsid w:val="00D25D94"/>
    <w:rsid w:val="00D267C4"/>
    <w:rsid w:val="00D27344"/>
    <w:rsid w:val="00D27EF6"/>
    <w:rsid w:val="00D31863"/>
    <w:rsid w:val="00D348CE"/>
    <w:rsid w:val="00D40F8E"/>
    <w:rsid w:val="00D4246A"/>
    <w:rsid w:val="00D43448"/>
    <w:rsid w:val="00D43C73"/>
    <w:rsid w:val="00D470C6"/>
    <w:rsid w:val="00D47759"/>
    <w:rsid w:val="00D500F9"/>
    <w:rsid w:val="00D51965"/>
    <w:rsid w:val="00D52B93"/>
    <w:rsid w:val="00D53004"/>
    <w:rsid w:val="00D57D16"/>
    <w:rsid w:val="00D70AB1"/>
    <w:rsid w:val="00D71350"/>
    <w:rsid w:val="00D736CF"/>
    <w:rsid w:val="00D836E6"/>
    <w:rsid w:val="00D872FC"/>
    <w:rsid w:val="00D87BAC"/>
    <w:rsid w:val="00D91349"/>
    <w:rsid w:val="00D921AA"/>
    <w:rsid w:val="00D92957"/>
    <w:rsid w:val="00D9729F"/>
    <w:rsid w:val="00D974EF"/>
    <w:rsid w:val="00D9774E"/>
    <w:rsid w:val="00DA1D58"/>
    <w:rsid w:val="00DA3524"/>
    <w:rsid w:val="00DA6F63"/>
    <w:rsid w:val="00DA74EC"/>
    <w:rsid w:val="00DA7F7F"/>
    <w:rsid w:val="00DB35A9"/>
    <w:rsid w:val="00DB3833"/>
    <w:rsid w:val="00DB3C21"/>
    <w:rsid w:val="00DB41B8"/>
    <w:rsid w:val="00DB6138"/>
    <w:rsid w:val="00DB6AC9"/>
    <w:rsid w:val="00DC33C9"/>
    <w:rsid w:val="00DC3413"/>
    <w:rsid w:val="00DC4EBB"/>
    <w:rsid w:val="00DC530B"/>
    <w:rsid w:val="00DD0A3B"/>
    <w:rsid w:val="00DD3B63"/>
    <w:rsid w:val="00DD76DE"/>
    <w:rsid w:val="00DE275A"/>
    <w:rsid w:val="00DE2D9F"/>
    <w:rsid w:val="00DE6F8C"/>
    <w:rsid w:val="00DE7037"/>
    <w:rsid w:val="00DE723D"/>
    <w:rsid w:val="00DE7D0B"/>
    <w:rsid w:val="00DE7DCF"/>
    <w:rsid w:val="00DF1530"/>
    <w:rsid w:val="00DF29C3"/>
    <w:rsid w:val="00DF2DD8"/>
    <w:rsid w:val="00DF447B"/>
    <w:rsid w:val="00DF5FB3"/>
    <w:rsid w:val="00DF73A2"/>
    <w:rsid w:val="00DF7E01"/>
    <w:rsid w:val="00E000EB"/>
    <w:rsid w:val="00E02E28"/>
    <w:rsid w:val="00E03C35"/>
    <w:rsid w:val="00E04C79"/>
    <w:rsid w:val="00E06047"/>
    <w:rsid w:val="00E069ED"/>
    <w:rsid w:val="00E12609"/>
    <w:rsid w:val="00E142BD"/>
    <w:rsid w:val="00E15278"/>
    <w:rsid w:val="00E20017"/>
    <w:rsid w:val="00E20C7B"/>
    <w:rsid w:val="00E23F4C"/>
    <w:rsid w:val="00E24C6C"/>
    <w:rsid w:val="00E25181"/>
    <w:rsid w:val="00E2562C"/>
    <w:rsid w:val="00E25905"/>
    <w:rsid w:val="00E25BF7"/>
    <w:rsid w:val="00E2776D"/>
    <w:rsid w:val="00E36101"/>
    <w:rsid w:val="00E379DC"/>
    <w:rsid w:val="00E37C24"/>
    <w:rsid w:val="00E37EBB"/>
    <w:rsid w:val="00E44475"/>
    <w:rsid w:val="00E45E88"/>
    <w:rsid w:val="00E46345"/>
    <w:rsid w:val="00E47EEE"/>
    <w:rsid w:val="00E53F89"/>
    <w:rsid w:val="00E543B2"/>
    <w:rsid w:val="00E56F14"/>
    <w:rsid w:val="00E60EE5"/>
    <w:rsid w:val="00E6520F"/>
    <w:rsid w:val="00E65237"/>
    <w:rsid w:val="00E658FF"/>
    <w:rsid w:val="00E71B58"/>
    <w:rsid w:val="00E7429F"/>
    <w:rsid w:val="00E758C6"/>
    <w:rsid w:val="00E777A7"/>
    <w:rsid w:val="00E82F41"/>
    <w:rsid w:val="00E83608"/>
    <w:rsid w:val="00E83ADE"/>
    <w:rsid w:val="00E855F4"/>
    <w:rsid w:val="00E85D51"/>
    <w:rsid w:val="00E8622A"/>
    <w:rsid w:val="00E86688"/>
    <w:rsid w:val="00E8699E"/>
    <w:rsid w:val="00E87710"/>
    <w:rsid w:val="00E9157F"/>
    <w:rsid w:val="00E925E0"/>
    <w:rsid w:val="00E97CC8"/>
    <w:rsid w:val="00EA2F66"/>
    <w:rsid w:val="00EA3DF0"/>
    <w:rsid w:val="00EA45C6"/>
    <w:rsid w:val="00EA5145"/>
    <w:rsid w:val="00EA5223"/>
    <w:rsid w:val="00EB5BF5"/>
    <w:rsid w:val="00EB63CB"/>
    <w:rsid w:val="00EB6D48"/>
    <w:rsid w:val="00EB6F38"/>
    <w:rsid w:val="00EC6164"/>
    <w:rsid w:val="00EC7EC1"/>
    <w:rsid w:val="00ED07E9"/>
    <w:rsid w:val="00ED6D28"/>
    <w:rsid w:val="00ED799A"/>
    <w:rsid w:val="00EE13AA"/>
    <w:rsid w:val="00EE2B34"/>
    <w:rsid w:val="00EE387C"/>
    <w:rsid w:val="00EF05EA"/>
    <w:rsid w:val="00EF0E80"/>
    <w:rsid w:val="00EF1427"/>
    <w:rsid w:val="00EF36D0"/>
    <w:rsid w:val="00EF3C61"/>
    <w:rsid w:val="00EF4CBB"/>
    <w:rsid w:val="00EF53BE"/>
    <w:rsid w:val="00EF5A21"/>
    <w:rsid w:val="00EF692E"/>
    <w:rsid w:val="00F00405"/>
    <w:rsid w:val="00F0213F"/>
    <w:rsid w:val="00F02AC7"/>
    <w:rsid w:val="00F032E7"/>
    <w:rsid w:val="00F03941"/>
    <w:rsid w:val="00F04B03"/>
    <w:rsid w:val="00F064AE"/>
    <w:rsid w:val="00F0672C"/>
    <w:rsid w:val="00F14542"/>
    <w:rsid w:val="00F14DEF"/>
    <w:rsid w:val="00F175CE"/>
    <w:rsid w:val="00F21554"/>
    <w:rsid w:val="00F21570"/>
    <w:rsid w:val="00F245A4"/>
    <w:rsid w:val="00F24AAE"/>
    <w:rsid w:val="00F26F69"/>
    <w:rsid w:val="00F27457"/>
    <w:rsid w:val="00F3012F"/>
    <w:rsid w:val="00F3208D"/>
    <w:rsid w:val="00F323DB"/>
    <w:rsid w:val="00F32FC8"/>
    <w:rsid w:val="00F4392A"/>
    <w:rsid w:val="00F51862"/>
    <w:rsid w:val="00F53C8C"/>
    <w:rsid w:val="00F5528A"/>
    <w:rsid w:val="00F55670"/>
    <w:rsid w:val="00F55B48"/>
    <w:rsid w:val="00F55DCE"/>
    <w:rsid w:val="00F55F8F"/>
    <w:rsid w:val="00F565AB"/>
    <w:rsid w:val="00F578FD"/>
    <w:rsid w:val="00F63198"/>
    <w:rsid w:val="00F65DA0"/>
    <w:rsid w:val="00F667EC"/>
    <w:rsid w:val="00F711DA"/>
    <w:rsid w:val="00F744ED"/>
    <w:rsid w:val="00F769AB"/>
    <w:rsid w:val="00F778EE"/>
    <w:rsid w:val="00F821F1"/>
    <w:rsid w:val="00F8331C"/>
    <w:rsid w:val="00F87670"/>
    <w:rsid w:val="00F900AD"/>
    <w:rsid w:val="00F90693"/>
    <w:rsid w:val="00F91330"/>
    <w:rsid w:val="00F96366"/>
    <w:rsid w:val="00FA228E"/>
    <w:rsid w:val="00FA272F"/>
    <w:rsid w:val="00FA4707"/>
    <w:rsid w:val="00FA600E"/>
    <w:rsid w:val="00FA7988"/>
    <w:rsid w:val="00FB2B25"/>
    <w:rsid w:val="00FB7505"/>
    <w:rsid w:val="00FC0422"/>
    <w:rsid w:val="00FC0D21"/>
    <w:rsid w:val="00FC3CBA"/>
    <w:rsid w:val="00FC3EBF"/>
    <w:rsid w:val="00FC450E"/>
    <w:rsid w:val="00FD0230"/>
    <w:rsid w:val="00FD1371"/>
    <w:rsid w:val="00FD320B"/>
    <w:rsid w:val="00FD7818"/>
    <w:rsid w:val="00FE10B3"/>
    <w:rsid w:val="00FE17C1"/>
    <w:rsid w:val="00FE306B"/>
    <w:rsid w:val="00FE4828"/>
    <w:rsid w:val="00FE7A17"/>
    <w:rsid w:val="00FF3396"/>
    <w:rsid w:val="00FF559D"/>
    <w:rsid w:val="00FF561F"/>
    <w:rsid w:val="00FF6FFB"/>
    <w:rsid w:val="01223B82"/>
    <w:rsid w:val="016F1D40"/>
    <w:rsid w:val="027774CA"/>
    <w:rsid w:val="029256C8"/>
    <w:rsid w:val="03E33DD9"/>
    <w:rsid w:val="04101CCF"/>
    <w:rsid w:val="049D0D29"/>
    <w:rsid w:val="05937A3F"/>
    <w:rsid w:val="096D6B7C"/>
    <w:rsid w:val="0ABC4D53"/>
    <w:rsid w:val="0C4F0763"/>
    <w:rsid w:val="0F84772A"/>
    <w:rsid w:val="0FAD441B"/>
    <w:rsid w:val="0FEC0056"/>
    <w:rsid w:val="132874BC"/>
    <w:rsid w:val="15500EE4"/>
    <w:rsid w:val="16814D35"/>
    <w:rsid w:val="16B34B25"/>
    <w:rsid w:val="170B670F"/>
    <w:rsid w:val="176C72F7"/>
    <w:rsid w:val="17D50F45"/>
    <w:rsid w:val="18973A8F"/>
    <w:rsid w:val="1B932E8C"/>
    <w:rsid w:val="1EBF4FE4"/>
    <w:rsid w:val="21325B1C"/>
    <w:rsid w:val="220A18D5"/>
    <w:rsid w:val="23321EDF"/>
    <w:rsid w:val="242E610A"/>
    <w:rsid w:val="24784CD7"/>
    <w:rsid w:val="25272E87"/>
    <w:rsid w:val="25CF6251"/>
    <w:rsid w:val="272B250C"/>
    <w:rsid w:val="277F01A3"/>
    <w:rsid w:val="294347A1"/>
    <w:rsid w:val="2A3237B1"/>
    <w:rsid w:val="2AE45217"/>
    <w:rsid w:val="2CA945A8"/>
    <w:rsid w:val="2DCF21E3"/>
    <w:rsid w:val="31E242B8"/>
    <w:rsid w:val="346D7BCB"/>
    <w:rsid w:val="348D609E"/>
    <w:rsid w:val="3658101D"/>
    <w:rsid w:val="36795EDE"/>
    <w:rsid w:val="379F65B6"/>
    <w:rsid w:val="37F1535C"/>
    <w:rsid w:val="382B67B9"/>
    <w:rsid w:val="3DE60C20"/>
    <w:rsid w:val="3E98676B"/>
    <w:rsid w:val="3F9127DE"/>
    <w:rsid w:val="40AC3732"/>
    <w:rsid w:val="434E27B7"/>
    <w:rsid w:val="43AA70B0"/>
    <w:rsid w:val="44A43033"/>
    <w:rsid w:val="46D86C30"/>
    <w:rsid w:val="47983BE8"/>
    <w:rsid w:val="47B56610"/>
    <w:rsid w:val="490D675B"/>
    <w:rsid w:val="4B931DE9"/>
    <w:rsid w:val="4F813608"/>
    <w:rsid w:val="50BE55B0"/>
    <w:rsid w:val="513838E3"/>
    <w:rsid w:val="53E75136"/>
    <w:rsid w:val="5420094E"/>
    <w:rsid w:val="55DD5172"/>
    <w:rsid w:val="56322718"/>
    <w:rsid w:val="569C53E7"/>
    <w:rsid w:val="59A61CD2"/>
    <w:rsid w:val="5B1332C5"/>
    <w:rsid w:val="5DAB253E"/>
    <w:rsid w:val="5F9546C2"/>
    <w:rsid w:val="5FB2527F"/>
    <w:rsid w:val="62072434"/>
    <w:rsid w:val="63011BB9"/>
    <w:rsid w:val="65085550"/>
    <w:rsid w:val="659D5BDB"/>
    <w:rsid w:val="67667244"/>
    <w:rsid w:val="6B0C2D7F"/>
    <w:rsid w:val="6BC40E47"/>
    <w:rsid w:val="6C41462D"/>
    <w:rsid w:val="6EA2144D"/>
    <w:rsid w:val="6EC90D29"/>
    <w:rsid w:val="715916C6"/>
    <w:rsid w:val="724A1C37"/>
    <w:rsid w:val="73EA28E2"/>
    <w:rsid w:val="747B6B41"/>
    <w:rsid w:val="77CC40D6"/>
    <w:rsid w:val="78274DEF"/>
    <w:rsid w:val="78A432B2"/>
    <w:rsid w:val="791871CF"/>
    <w:rsid w:val="794E7636"/>
    <w:rsid w:val="7AB15ECE"/>
    <w:rsid w:val="7F47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062ED41"/>
  <w15:docId w15:val="{66926E50-85B3-411D-B536-35D430AB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annotation text" w:qFormat="1"/>
    <w:lsdException w:name="header" w:uiPriority="99" w:qFormat="1"/>
    <w:lsdException w:name="footer" w:uiPriority="99"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lsdException w:name="Body Text Indent" w:qFormat="1"/>
    <w:lsdException w:name="Subtitle" w:qFormat="1"/>
    <w:lsdException w:name="Date" w:qFormat="1"/>
    <w:lsdException w:name="Body Text Indent 2" w:qFormat="1"/>
    <w:lsdException w:name="Hyperlink" w:uiPriority="99" w:qFormat="1"/>
    <w:lsdException w:name="FollowedHyperlink" w:qFormat="1"/>
    <w:lsdException w:name="Strong" w:qFormat="1"/>
    <w:lsdException w:name="Emphasis" w:qFormat="1"/>
    <w:lsdException w:name="Document Map" w:uiPriority="99" w:unhideWhenUsed="1" w:qFormat="1"/>
    <w:lsdException w:name="Plain Text"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keepLines/>
      <w:snapToGrid w:val="0"/>
      <w:spacing w:line="360" w:lineRule="auto"/>
      <w:ind w:firstLine="541"/>
      <w:outlineLvl w:val="0"/>
    </w:pPr>
    <w:rPr>
      <w:rFonts w:ascii="宋体" w:hAnsi="宋体"/>
      <w:b/>
      <w:color w:val="000000"/>
      <w:sz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hAnsi="Calibri"/>
      <w:kern w:val="0"/>
      <w:sz w:val="18"/>
      <w:szCs w:val="18"/>
    </w:rPr>
  </w:style>
  <w:style w:type="paragraph" w:styleId="a5">
    <w:name w:val="annotation text"/>
    <w:basedOn w:val="a"/>
    <w:link w:val="11"/>
    <w:qFormat/>
    <w:pPr>
      <w:jc w:val="left"/>
    </w:pPr>
  </w:style>
  <w:style w:type="paragraph" w:styleId="a6">
    <w:name w:val="Body Text Indent"/>
    <w:basedOn w:val="a"/>
    <w:link w:val="a7"/>
    <w:qFormat/>
    <w:pPr>
      <w:autoSpaceDE w:val="0"/>
      <w:autoSpaceDN w:val="0"/>
      <w:adjustRightInd w:val="0"/>
      <w:spacing w:line="360" w:lineRule="auto"/>
      <w:ind w:firstLineChars="199" w:firstLine="478"/>
    </w:pPr>
    <w:rPr>
      <w:rFonts w:ascii="宋体" w:hAnsi="宋体"/>
      <w:kern w:val="0"/>
      <w:sz w:val="24"/>
      <w:szCs w:val="21"/>
    </w:rPr>
  </w:style>
  <w:style w:type="paragraph" w:styleId="a8">
    <w:name w:val="Plain Text"/>
    <w:basedOn w:val="a"/>
    <w:link w:val="a9"/>
    <w:qFormat/>
    <w:rPr>
      <w:rFonts w:ascii="宋体" w:hAnsi="Courier New"/>
      <w:szCs w:val="21"/>
    </w:rPr>
  </w:style>
  <w:style w:type="paragraph" w:styleId="aa">
    <w:name w:val="Date"/>
    <w:basedOn w:val="a"/>
    <w:next w:val="a"/>
    <w:qFormat/>
    <w:pPr>
      <w:ind w:leftChars="2500" w:left="100"/>
    </w:pPr>
    <w:rPr>
      <w:rFonts w:ascii="宋体" w:hAnsi="宋体"/>
      <w:sz w:val="24"/>
    </w:rPr>
  </w:style>
  <w:style w:type="paragraph" w:styleId="20">
    <w:name w:val="Body Text Indent 2"/>
    <w:basedOn w:val="a"/>
    <w:link w:val="21"/>
    <w:qFormat/>
    <w:pPr>
      <w:spacing w:before="60" w:after="60"/>
      <w:ind w:left="479"/>
    </w:pPr>
    <w:rPr>
      <w:rFonts w:ascii="宋体"/>
      <w:sz w:val="24"/>
    </w:rPr>
  </w:style>
  <w:style w:type="paragraph" w:styleId="ab">
    <w:name w:val="Balloon Text"/>
    <w:basedOn w:val="a"/>
    <w:link w:val="ac"/>
    <w:uiPriority w:val="99"/>
    <w:semiHidden/>
    <w:qFormat/>
    <w:rPr>
      <w:sz w:val="18"/>
      <w:szCs w:val="18"/>
    </w:rPr>
  </w:style>
  <w:style w:type="paragraph" w:styleId="ad">
    <w:name w:val="footer"/>
    <w:basedOn w:val="a"/>
    <w:link w:val="ae"/>
    <w:uiPriority w:val="99"/>
    <w:qFormat/>
    <w:pPr>
      <w:tabs>
        <w:tab w:val="center" w:pos="4153"/>
        <w:tab w:val="right" w:pos="8306"/>
      </w:tabs>
      <w:snapToGrid w:val="0"/>
      <w:jc w:val="left"/>
    </w:pPr>
    <w:rPr>
      <w:sz w:val="18"/>
      <w:szCs w:val="18"/>
    </w:rPr>
  </w:style>
  <w:style w:type="paragraph" w:styleId="af">
    <w:name w:val="header"/>
    <w:basedOn w:val="a"/>
    <w:link w:val="af0"/>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
    <w:next w:val="a"/>
    <w:uiPriority w:val="39"/>
    <w:unhideWhenUsed/>
    <w:qFormat/>
    <w:pPr>
      <w:tabs>
        <w:tab w:val="right" w:leader="hyphen" w:pos="8296"/>
      </w:tabs>
      <w:spacing w:line="360" w:lineRule="auto"/>
    </w:pPr>
    <w:rPr>
      <w:rFonts w:ascii="宋体" w:hAnsi="宋体"/>
      <w:sz w:val="24"/>
      <w:szCs w:val="24"/>
    </w:rPr>
  </w:style>
  <w:style w:type="paragraph" w:styleId="af1">
    <w:name w:val="annotation subject"/>
    <w:basedOn w:val="a5"/>
    <w:next w:val="a5"/>
    <w:link w:val="af2"/>
    <w:uiPriority w:val="99"/>
    <w:semiHidden/>
    <w:qFormat/>
    <w:rPr>
      <w:b/>
      <w:bCs/>
    </w:rPr>
  </w:style>
  <w:style w:type="character" w:styleId="af3">
    <w:name w:val="page number"/>
    <w:basedOn w:val="a0"/>
    <w:qFormat/>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semiHidden/>
    <w:qFormat/>
    <w:rPr>
      <w:sz w:val="21"/>
      <w:szCs w:val="21"/>
    </w:rPr>
  </w:style>
  <w:style w:type="character" w:customStyle="1" w:styleId="af0">
    <w:name w:val="页眉 字符"/>
    <w:link w:val="af"/>
    <w:uiPriority w:val="99"/>
    <w:qFormat/>
    <w:rPr>
      <w:kern w:val="2"/>
      <w:sz w:val="18"/>
      <w:szCs w:val="18"/>
    </w:rPr>
  </w:style>
  <w:style w:type="character" w:customStyle="1" w:styleId="DeltaViewInsertion">
    <w:name w:val="DeltaView Insertion"/>
    <w:qFormat/>
    <w:rPr>
      <w:color w:val="0000FF"/>
      <w:spacing w:val="0"/>
      <w:u w:val="double"/>
    </w:rPr>
  </w:style>
  <w:style w:type="character" w:customStyle="1" w:styleId="21">
    <w:name w:val="正文文本缩进 2 字符"/>
    <w:link w:val="20"/>
    <w:qFormat/>
    <w:rPr>
      <w:rFonts w:ascii="宋体"/>
      <w:kern w:val="2"/>
      <w:sz w:val="24"/>
    </w:rPr>
  </w:style>
  <w:style w:type="character" w:customStyle="1" w:styleId="a9">
    <w:name w:val="纯文本 字符"/>
    <w:link w:val="a8"/>
    <w:qFormat/>
    <w:rPr>
      <w:rFonts w:ascii="宋体" w:hAnsi="Courier New" w:cs="Courier New"/>
      <w:kern w:val="2"/>
      <w:sz w:val="21"/>
      <w:szCs w:val="21"/>
    </w:rPr>
  </w:style>
  <w:style w:type="character" w:customStyle="1" w:styleId="e-arialb101">
    <w:name w:val="e-arialb101"/>
    <w:qFormat/>
    <w:rPr>
      <w:rFonts w:ascii="Arial" w:hAnsi="Arial" w:cs="Arial" w:hint="default"/>
      <w:color w:val="000000"/>
      <w:sz w:val="14"/>
      <w:szCs w:val="14"/>
    </w:rPr>
  </w:style>
  <w:style w:type="character" w:customStyle="1" w:styleId="10">
    <w:name w:val="标题 1 字符"/>
    <w:link w:val="1"/>
    <w:uiPriority w:val="9"/>
    <w:qFormat/>
    <w:rPr>
      <w:rFonts w:ascii="宋体" w:hAnsi="宋体"/>
      <w:b/>
      <w:color w:val="000000"/>
      <w:kern w:val="2"/>
      <w:sz w:val="24"/>
    </w:rPr>
  </w:style>
  <w:style w:type="character" w:customStyle="1" w:styleId="af2">
    <w:name w:val="批注主题 字符"/>
    <w:link w:val="af1"/>
    <w:uiPriority w:val="99"/>
    <w:semiHidden/>
    <w:qFormat/>
    <w:rPr>
      <w:b/>
      <w:bCs/>
      <w:kern w:val="2"/>
      <w:sz w:val="21"/>
    </w:rPr>
  </w:style>
  <w:style w:type="character" w:customStyle="1" w:styleId="a4">
    <w:name w:val="文档结构图 字符"/>
    <w:link w:val="a3"/>
    <w:uiPriority w:val="99"/>
    <w:qFormat/>
    <w:rPr>
      <w:rFonts w:ascii="宋体" w:hAnsi="Calibri"/>
      <w:sz w:val="18"/>
      <w:szCs w:val="18"/>
    </w:rPr>
  </w:style>
  <w:style w:type="character" w:customStyle="1" w:styleId="ac">
    <w:name w:val="批注框文本 字符"/>
    <w:link w:val="ab"/>
    <w:uiPriority w:val="99"/>
    <w:semiHidden/>
    <w:qFormat/>
    <w:rPr>
      <w:kern w:val="2"/>
      <w:sz w:val="18"/>
      <w:szCs w:val="18"/>
    </w:rPr>
  </w:style>
  <w:style w:type="character" w:customStyle="1" w:styleId="11">
    <w:name w:val="批注文字 字符1"/>
    <w:link w:val="a5"/>
    <w:qFormat/>
    <w:rPr>
      <w:kern w:val="2"/>
      <w:sz w:val="21"/>
    </w:rPr>
  </w:style>
  <w:style w:type="character" w:customStyle="1" w:styleId="a7">
    <w:name w:val="正文文本缩进 字符"/>
    <w:link w:val="a6"/>
    <w:qFormat/>
    <w:rPr>
      <w:rFonts w:ascii="宋体" w:hAnsi="宋体" w:cs="Arial"/>
      <w:sz w:val="24"/>
      <w:szCs w:val="21"/>
    </w:rPr>
  </w:style>
  <w:style w:type="character" w:customStyle="1" w:styleId="apple-style-span">
    <w:name w:val="apple-style-span"/>
    <w:qFormat/>
  </w:style>
  <w:style w:type="character" w:customStyle="1" w:styleId="ae">
    <w:name w:val="页脚 字符"/>
    <w:link w:val="ad"/>
    <w:uiPriority w:val="99"/>
    <w:qFormat/>
    <w:rPr>
      <w:kern w:val="2"/>
      <w:sz w:val="18"/>
      <w:szCs w:val="18"/>
    </w:rPr>
  </w:style>
  <w:style w:type="paragraph" w:customStyle="1" w:styleId="13">
    <w:name w:val="修订1"/>
    <w:uiPriority w:val="99"/>
    <w:semiHidden/>
    <w:qFormat/>
    <w:rPr>
      <w:rFonts w:ascii="Calibri" w:hAnsi="Calibri"/>
      <w:kern w:val="2"/>
      <w:sz w:val="21"/>
      <w:szCs w:val="22"/>
    </w:rPr>
  </w:style>
  <w:style w:type="paragraph" w:customStyle="1" w:styleId="NormalJustified">
    <w:name w:val="Normal (Justified)"/>
    <w:basedOn w:val="a"/>
    <w:semiHidden/>
    <w:qFormat/>
    <w:pPr>
      <w:widowControl/>
      <w:snapToGrid w:val="0"/>
    </w:pPr>
    <w:rPr>
      <w:kern w:val="28"/>
      <w:sz w:val="24"/>
    </w:rPr>
  </w:style>
  <w:style w:type="paragraph" w:customStyle="1" w:styleId="CharCharCharCharCharCharCharCharCharCharCharCharChar1CharCharCharChar">
    <w:name w:val="Char Char Char Char Char Char Char Char Char Char Char Char Char1 Char Char Char Char"/>
    <w:basedOn w:val="a"/>
    <w:qFormat/>
    <w:rPr>
      <w:rFonts w:ascii="Tahoma" w:hAnsi="Tahoma"/>
      <w:sz w:val="24"/>
      <w:szCs w:val="24"/>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Char">
    <w:name w:val="Char"/>
    <w:basedOn w:val="a"/>
    <w:qFormat/>
    <w:pPr>
      <w:widowControl/>
      <w:spacing w:after="160" w:line="240" w:lineRule="exact"/>
      <w:jc w:val="left"/>
    </w:pPr>
  </w:style>
  <w:style w:type="paragraph" w:customStyle="1" w:styleId="CharCharChar">
    <w:name w:val="Char Char Char"/>
    <w:basedOn w:val="a"/>
    <w:qFormat/>
    <w:rPr>
      <w:szCs w:val="24"/>
    </w:rPr>
  </w:style>
  <w:style w:type="paragraph" w:customStyle="1" w:styleId="CharCharCharCharCharCharChar">
    <w:name w:val="Char Char Char Char Char Char Char"/>
    <w:basedOn w:val="a"/>
    <w:qFormat/>
    <w:pPr>
      <w:tabs>
        <w:tab w:val="left" w:pos="360"/>
      </w:tabs>
      <w:adjustRightInd w:val="0"/>
      <w:textAlignment w:val="baseline"/>
    </w:pPr>
    <w:rPr>
      <w:sz w:val="24"/>
    </w:rPr>
  </w:style>
  <w:style w:type="paragraph" w:customStyle="1" w:styleId="CM16">
    <w:name w:val="CM16"/>
    <w:basedOn w:val="Default"/>
    <w:next w:val="Default"/>
    <w:qFormat/>
    <w:pPr>
      <w:spacing w:line="471" w:lineRule="atLeast"/>
    </w:pPr>
    <w:rPr>
      <w:rFonts w:ascii="黑体" w:eastAsia="黑体" w:hAnsi="Times New Roman" w:cs="Times New Roman"/>
      <w:color w:val="auto"/>
    </w:rPr>
  </w:style>
  <w:style w:type="paragraph" w:customStyle="1" w:styleId="CharCharChar1CharCharCharChar">
    <w:name w:val="Char Char Char1 Char Char Char Char"/>
    <w:basedOn w:val="a"/>
    <w:qFormat/>
    <w:pPr>
      <w:tabs>
        <w:tab w:val="left" w:pos="360"/>
      </w:tabs>
    </w:pPr>
    <w:rPr>
      <w:sz w:val="24"/>
      <w:szCs w:val="24"/>
    </w:rPr>
  </w:style>
  <w:style w:type="paragraph" w:customStyle="1" w:styleId="4CharCharCharChar">
    <w:name w:val="4 Char Char Char Char"/>
    <w:basedOn w:val="a"/>
    <w:qFormat/>
    <w:rPr>
      <w:rFonts w:ascii="Tahoma" w:hAnsi="Tahoma"/>
      <w:sz w:val="24"/>
    </w:rPr>
  </w:style>
  <w:style w:type="paragraph" w:customStyle="1" w:styleId="CharCharCharCharCharChar1CharCharChar">
    <w:name w:val="Char Char Char Char Char Char1 Char Char Char"/>
    <w:basedOn w:val="a"/>
    <w:qFormat/>
    <w:pPr>
      <w:autoSpaceDE w:val="0"/>
      <w:autoSpaceDN w:val="0"/>
      <w:adjustRightInd w:val="0"/>
      <w:jc w:val="left"/>
      <w:textAlignment w:val="baseline"/>
    </w:pPr>
  </w:style>
  <w:style w:type="character" w:customStyle="1" w:styleId="af7">
    <w:name w:val="批注文字 字符"/>
    <w:qFormat/>
    <w:rPr>
      <w:rFonts w:ascii="Times New Roman" w:eastAsia="宋体" w:hAnsi="Times New Roman" w:cs="Times New Roman"/>
      <w:szCs w:val="24"/>
    </w:rPr>
  </w:style>
  <w:style w:type="paragraph" w:customStyle="1" w:styleId="22">
    <w:name w:val="修订2"/>
    <w:hidden/>
    <w:uiPriority w:val="99"/>
    <w:semiHidden/>
    <w:qFormat/>
    <w:rPr>
      <w:kern w:val="2"/>
      <w:sz w:val="21"/>
    </w:rPr>
  </w:style>
  <w:style w:type="paragraph" w:customStyle="1" w:styleId="30">
    <w:name w:val="修订3"/>
    <w:hidden/>
    <w:uiPriority w:val="99"/>
    <w:semiHidden/>
    <w:qFormat/>
    <w:rPr>
      <w:kern w:val="2"/>
      <w:sz w:val="21"/>
    </w:rPr>
  </w:style>
  <w:style w:type="paragraph" w:customStyle="1" w:styleId="4">
    <w:name w:val="修订4"/>
    <w:hidden/>
    <w:uiPriority w:val="99"/>
    <w:semiHidden/>
    <w:qFormat/>
    <w:rPr>
      <w:kern w:val="2"/>
      <w:sz w:val="21"/>
    </w:rPr>
  </w:style>
  <w:style w:type="paragraph" w:customStyle="1" w:styleId="5">
    <w:name w:val="修订5"/>
    <w:hidden/>
    <w:uiPriority w:val="99"/>
    <w:unhideWhenUsed/>
    <w:qFormat/>
    <w:rPr>
      <w:kern w:val="2"/>
      <w:sz w:val="21"/>
    </w:rPr>
  </w:style>
  <w:style w:type="paragraph" w:customStyle="1" w:styleId="6">
    <w:name w:val="修订6"/>
    <w:hidden/>
    <w:uiPriority w:val="99"/>
    <w:semiHidden/>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56EC2-D308-4076-811D-4C6CB4691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50</Pages>
  <Words>5413</Words>
  <Characters>30860</Characters>
  <Application>Microsoft Office Word</Application>
  <DocSecurity>0</DocSecurity>
  <Lines>257</Lines>
  <Paragraphs>72</Paragraphs>
  <ScaleCrop>false</ScaleCrop>
  <Company>HP</Company>
  <LinksUpToDate>false</LinksUpToDate>
  <CharactersWithSpaces>36201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刘斓</dc:creator>
  <cp:lastModifiedBy>黄梦莹</cp:lastModifiedBy>
  <cp:revision>130</cp:revision>
  <cp:lastPrinted>2026-01-27T07:34:00Z</cp:lastPrinted>
  <dcterms:created xsi:type="dcterms:W3CDTF">2025-09-18T05:49:00Z</dcterms:created>
  <dcterms:modified xsi:type="dcterms:W3CDTF">2026-05-06T08:19:00Z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3AB988E02D2D43BA87FF1CC395E7CC60</vt:lpwstr>
  </property>
  <property fmtid="{D5CDD505-2E9C-101B-9397-08002B2CF9AE}" pid="4" name="KSOTemplateDocerSaveRecord">
    <vt:lpwstr>eyJoZGlkIjoiMmIyN2Q5NmMyNGMyNTc5NmRjN2UyM2JlMjU4NGYwNDEiLCJ1c2VySWQiOiIyNDY3NzMwMTMifQ==</vt:lpwstr>
  </property>
</Properties>
</file>