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EACE3" w14:textId="77777777" w:rsidR="005A59EB" w:rsidRDefault="005A59EB">
      <w:pPr>
        <w:adjustRightInd w:val="0"/>
        <w:snapToGrid w:val="0"/>
        <w:jc w:val="center"/>
        <w:rPr>
          <w:rFonts w:ascii="彩虹粗仿宋" w:eastAsia="彩虹粗仿宋" w:hAnsi="宋体" w:cs="Arial"/>
          <w:sz w:val="24"/>
        </w:rPr>
      </w:pPr>
    </w:p>
    <w:p w14:paraId="3EB74C9F" w14:textId="77777777" w:rsidR="005A59EB" w:rsidRDefault="005A59EB">
      <w:pPr>
        <w:adjustRightInd w:val="0"/>
        <w:snapToGrid w:val="0"/>
        <w:jc w:val="center"/>
        <w:rPr>
          <w:rFonts w:ascii="彩虹粗仿宋" w:eastAsia="彩虹粗仿宋" w:hAnsi="宋体" w:cs="Arial"/>
          <w:sz w:val="24"/>
        </w:rPr>
      </w:pPr>
    </w:p>
    <w:p w14:paraId="1F7B476D" w14:textId="77777777" w:rsidR="005A59EB" w:rsidRDefault="005A59EB">
      <w:pPr>
        <w:adjustRightInd w:val="0"/>
        <w:snapToGrid w:val="0"/>
        <w:jc w:val="center"/>
        <w:rPr>
          <w:rFonts w:ascii="彩虹粗仿宋" w:eastAsia="彩虹粗仿宋" w:hAnsi="宋体" w:cs="Arial"/>
          <w:sz w:val="24"/>
        </w:rPr>
      </w:pPr>
    </w:p>
    <w:p w14:paraId="576FD499" w14:textId="77777777" w:rsidR="005A59EB" w:rsidRDefault="005A59EB">
      <w:pPr>
        <w:adjustRightInd w:val="0"/>
        <w:snapToGrid w:val="0"/>
        <w:jc w:val="center"/>
        <w:rPr>
          <w:rFonts w:ascii="彩虹粗仿宋" w:eastAsia="彩虹粗仿宋" w:hAnsi="宋体" w:cs="Arial"/>
          <w:sz w:val="24"/>
        </w:rPr>
      </w:pPr>
    </w:p>
    <w:p w14:paraId="783BCDAA" w14:textId="77777777" w:rsidR="005A59EB" w:rsidRDefault="005A59EB">
      <w:pPr>
        <w:adjustRightInd w:val="0"/>
        <w:snapToGrid w:val="0"/>
        <w:jc w:val="center"/>
        <w:rPr>
          <w:rFonts w:ascii="彩虹粗仿宋" w:eastAsia="彩虹粗仿宋" w:hAnsi="宋体" w:cs="Arial"/>
          <w:sz w:val="24"/>
        </w:rPr>
      </w:pPr>
    </w:p>
    <w:p w14:paraId="294DFC07" w14:textId="77777777" w:rsidR="005A59EB" w:rsidRDefault="005A59EB">
      <w:pPr>
        <w:adjustRightInd w:val="0"/>
        <w:snapToGrid w:val="0"/>
        <w:jc w:val="center"/>
        <w:rPr>
          <w:rFonts w:ascii="彩虹粗仿宋" w:eastAsia="彩虹粗仿宋" w:hAnsi="宋体" w:cs="Arial"/>
          <w:sz w:val="24"/>
        </w:rPr>
      </w:pPr>
    </w:p>
    <w:p w14:paraId="2FCA6964" w14:textId="77777777" w:rsidR="005A59EB" w:rsidRDefault="005A59EB">
      <w:pPr>
        <w:adjustRightInd w:val="0"/>
        <w:snapToGrid w:val="0"/>
        <w:jc w:val="center"/>
        <w:rPr>
          <w:rFonts w:ascii="彩虹粗仿宋" w:eastAsia="彩虹粗仿宋" w:hAnsi="宋体" w:cs="Arial"/>
          <w:sz w:val="24"/>
        </w:rPr>
      </w:pPr>
    </w:p>
    <w:p w14:paraId="0339FACC" w14:textId="77777777" w:rsidR="005A59EB" w:rsidRDefault="005A59EB">
      <w:pPr>
        <w:adjustRightInd w:val="0"/>
        <w:snapToGrid w:val="0"/>
        <w:jc w:val="center"/>
        <w:rPr>
          <w:rFonts w:ascii="彩虹粗仿宋" w:eastAsia="彩虹粗仿宋" w:hAnsi="宋体" w:cs="Arial"/>
          <w:sz w:val="24"/>
        </w:rPr>
      </w:pPr>
    </w:p>
    <w:p w14:paraId="625712F0" w14:textId="77777777" w:rsidR="005A59EB" w:rsidRDefault="005A59EB">
      <w:pPr>
        <w:adjustRightInd w:val="0"/>
        <w:snapToGrid w:val="0"/>
        <w:jc w:val="center"/>
        <w:rPr>
          <w:rFonts w:ascii="彩虹粗仿宋" w:eastAsia="彩虹粗仿宋" w:hAnsi="宋体" w:cs="Arial"/>
          <w:sz w:val="24"/>
        </w:rPr>
      </w:pPr>
    </w:p>
    <w:p w14:paraId="417E6F2F" w14:textId="77777777" w:rsidR="005A59EB" w:rsidRDefault="005A59EB">
      <w:pPr>
        <w:adjustRightInd w:val="0"/>
        <w:snapToGrid w:val="0"/>
        <w:jc w:val="center"/>
        <w:rPr>
          <w:rFonts w:ascii="彩虹粗仿宋" w:eastAsia="彩虹粗仿宋" w:hAnsi="宋体" w:cs="Arial"/>
          <w:sz w:val="24"/>
        </w:rPr>
      </w:pPr>
    </w:p>
    <w:p w14:paraId="7BE6ED40" w14:textId="77777777" w:rsidR="005A59EB" w:rsidRDefault="005A59EB">
      <w:pPr>
        <w:adjustRightInd w:val="0"/>
        <w:snapToGrid w:val="0"/>
        <w:rPr>
          <w:rFonts w:ascii="彩虹粗仿宋" w:eastAsia="彩虹粗仿宋" w:hAnsi="宋体" w:cs="Arial"/>
          <w:sz w:val="24"/>
        </w:rPr>
      </w:pPr>
    </w:p>
    <w:p w14:paraId="6528BDB6" w14:textId="77777777" w:rsidR="005A59EB" w:rsidRDefault="005A59EB">
      <w:pPr>
        <w:adjustRightInd w:val="0"/>
        <w:snapToGrid w:val="0"/>
        <w:jc w:val="center"/>
        <w:rPr>
          <w:rFonts w:ascii="彩虹粗仿宋" w:eastAsia="彩虹粗仿宋" w:hAnsi="宋体" w:cs="Arial"/>
          <w:sz w:val="24"/>
        </w:rPr>
      </w:pPr>
    </w:p>
    <w:p w14:paraId="4AA7B42E" w14:textId="77777777" w:rsidR="005A59EB" w:rsidRDefault="00C555D5">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大成元信合利</w:t>
      </w:r>
      <w:r>
        <w:rPr>
          <w:rFonts w:ascii="彩虹粗仿宋" w:eastAsia="彩虹粗仿宋" w:hAnsi="宋体" w:cs="Arial" w:hint="eastAsia"/>
          <w:b/>
          <w:sz w:val="44"/>
        </w:rPr>
        <w:t>6</w:t>
      </w:r>
      <w:r>
        <w:rPr>
          <w:rFonts w:ascii="彩虹粗仿宋" w:eastAsia="彩虹粗仿宋" w:hAnsi="宋体" w:cs="Arial" w:hint="eastAsia"/>
          <w:b/>
          <w:sz w:val="44"/>
        </w:rPr>
        <w:t>个月持有期债券型</w:t>
      </w:r>
    </w:p>
    <w:p w14:paraId="6702ECEB" w14:textId="77777777" w:rsidR="005A59EB" w:rsidRDefault="00C555D5">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证券投资基金托管协议</w:t>
      </w:r>
    </w:p>
    <w:p w14:paraId="4132C1C1" w14:textId="77777777" w:rsidR="005A59EB" w:rsidRDefault="005A59EB">
      <w:pPr>
        <w:adjustRightInd w:val="0"/>
        <w:snapToGrid w:val="0"/>
        <w:jc w:val="center"/>
        <w:rPr>
          <w:rFonts w:ascii="彩虹粗仿宋" w:eastAsia="彩虹粗仿宋" w:hAnsi="宋体" w:cs="Arial"/>
          <w:sz w:val="24"/>
        </w:rPr>
      </w:pPr>
    </w:p>
    <w:p w14:paraId="533FF1CA" w14:textId="77777777" w:rsidR="005A59EB" w:rsidRDefault="005A59EB">
      <w:pPr>
        <w:adjustRightInd w:val="0"/>
        <w:snapToGrid w:val="0"/>
        <w:jc w:val="center"/>
        <w:rPr>
          <w:rFonts w:ascii="彩虹粗仿宋" w:eastAsia="彩虹粗仿宋" w:hAnsi="宋体" w:cs="Arial"/>
          <w:sz w:val="24"/>
        </w:rPr>
      </w:pPr>
    </w:p>
    <w:p w14:paraId="572BA2B4" w14:textId="77777777" w:rsidR="005A59EB" w:rsidRDefault="005A59EB">
      <w:pPr>
        <w:adjustRightInd w:val="0"/>
        <w:snapToGrid w:val="0"/>
        <w:jc w:val="center"/>
        <w:rPr>
          <w:rFonts w:ascii="彩虹粗仿宋" w:eastAsia="彩虹粗仿宋" w:hAnsi="宋体" w:cs="Arial"/>
          <w:sz w:val="24"/>
        </w:rPr>
      </w:pPr>
    </w:p>
    <w:p w14:paraId="400DC8CE" w14:textId="77777777" w:rsidR="005A59EB" w:rsidRDefault="005A59EB">
      <w:pPr>
        <w:adjustRightInd w:val="0"/>
        <w:snapToGrid w:val="0"/>
        <w:jc w:val="center"/>
        <w:rPr>
          <w:rFonts w:ascii="彩虹粗仿宋" w:eastAsia="彩虹粗仿宋" w:hAnsi="宋体" w:cs="Arial"/>
          <w:sz w:val="24"/>
        </w:rPr>
      </w:pPr>
    </w:p>
    <w:p w14:paraId="6BDD5283" w14:textId="77777777" w:rsidR="005A59EB" w:rsidRDefault="005A59EB">
      <w:pPr>
        <w:adjustRightInd w:val="0"/>
        <w:snapToGrid w:val="0"/>
        <w:jc w:val="center"/>
        <w:rPr>
          <w:rFonts w:ascii="彩虹粗仿宋" w:eastAsia="彩虹粗仿宋" w:hAnsi="宋体" w:cs="Arial"/>
          <w:sz w:val="24"/>
        </w:rPr>
      </w:pPr>
    </w:p>
    <w:p w14:paraId="24B356F7" w14:textId="77777777" w:rsidR="005A59EB" w:rsidRDefault="005A59EB">
      <w:pPr>
        <w:adjustRightInd w:val="0"/>
        <w:snapToGrid w:val="0"/>
        <w:jc w:val="center"/>
        <w:rPr>
          <w:rFonts w:ascii="彩虹粗仿宋" w:eastAsia="彩虹粗仿宋" w:hAnsi="宋体" w:cs="Arial"/>
          <w:sz w:val="24"/>
        </w:rPr>
      </w:pPr>
    </w:p>
    <w:p w14:paraId="0F1C0073" w14:textId="77777777" w:rsidR="005A59EB" w:rsidRDefault="00C555D5">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基金管理人：大成基金管理有限公司</w:t>
      </w:r>
    </w:p>
    <w:p w14:paraId="4049F087" w14:textId="77777777" w:rsidR="005A59EB" w:rsidRDefault="00C555D5">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基金托管人：中信银行股份有限公司</w:t>
      </w:r>
    </w:p>
    <w:p w14:paraId="6F9D4016" w14:textId="77777777" w:rsidR="005A59EB" w:rsidRDefault="005A59EB">
      <w:pPr>
        <w:adjustRightInd w:val="0"/>
        <w:snapToGrid w:val="0"/>
        <w:jc w:val="center"/>
        <w:rPr>
          <w:rFonts w:ascii="彩虹粗仿宋" w:eastAsia="彩虹粗仿宋" w:hAnsi="宋体" w:cs="Arial"/>
          <w:sz w:val="24"/>
        </w:rPr>
      </w:pPr>
    </w:p>
    <w:p w14:paraId="7EB06C0C" w14:textId="77777777" w:rsidR="005A59EB" w:rsidRDefault="005A59EB">
      <w:pPr>
        <w:adjustRightInd w:val="0"/>
        <w:snapToGrid w:val="0"/>
        <w:jc w:val="center"/>
        <w:rPr>
          <w:rFonts w:ascii="彩虹粗仿宋" w:eastAsia="彩虹粗仿宋" w:hAnsi="宋体" w:cs="Arial"/>
          <w:sz w:val="24"/>
        </w:rPr>
      </w:pPr>
    </w:p>
    <w:p w14:paraId="512E0377" w14:textId="77777777" w:rsidR="005A59EB" w:rsidRDefault="005A59EB">
      <w:pPr>
        <w:adjustRightInd w:val="0"/>
        <w:snapToGrid w:val="0"/>
        <w:jc w:val="center"/>
        <w:rPr>
          <w:rFonts w:ascii="彩虹粗仿宋" w:eastAsia="彩虹粗仿宋" w:hAnsi="宋体" w:cs="Arial"/>
          <w:sz w:val="24"/>
        </w:rPr>
      </w:pPr>
    </w:p>
    <w:p w14:paraId="6D47D6DA" w14:textId="77777777" w:rsidR="005A59EB" w:rsidRDefault="005A59EB">
      <w:pPr>
        <w:adjustRightInd w:val="0"/>
        <w:snapToGrid w:val="0"/>
        <w:jc w:val="center"/>
        <w:rPr>
          <w:rFonts w:ascii="彩虹粗仿宋" w:eastAsia="彩虹粗仿宋" w:hAnsi="宋体" w:cs="Arial"/>
          <w:sz w:val="24"/>
        </w:rPr>
      </w:pPr>
    </w:p>
    <w:p w14:paraId="780A553D" w14:textId="77777777" w:rsidR="005A59EB" w:rsidRDefault="005A59EB">
      <w:pPr>
        <w:adjustRightInd w:val="0"/>
        <w:snapToGrid w:val="0"/>
        <w:jc w:val="center"/>
        <w:rPr>
          <w:rFonts w:ascii="彩虹粗仿宋" w:eastAsia="彩虹粗仿宋" w:hAnsi="宋体" w:cs="Arial"/>
          <w:sz w:val="24"/>
        </w:rPr>
      </w:pPr>
    </w:p>
    <w:p w14:paraId="3F7502AA" w14:textId="77777777" w:rsidR="005A59EB" w:rsidRDefault="005A59EB">
      <w:pPr>
        <w:adjustRightInd w:val="0"/>
        <w:snapToGrid w:val="0"/>
        <w:jc w:val="center"/>
        <w:rPr>
          <w:rFonts w:ascii="彩虹粗仿宋" w:eastAsia="彩虹粗仿宋" w:hAnsi="宋体" w:cs="Arial"/>
          <w:sz w:val="24"/>
        </w:rPr>
      </w:pPr>
    </w:p>
    <w:p w14:paraId="06F41731" w14:textId="77777777" w:rsidR="005A59EB" w:rsidRDefault="005A59EB">
      <w:pPr>
        <w:adjustRightInd w:val="0"/>
        <w:snapToGrid w:val="0"/>
        <w:jc w:val="center"/>
        <w:rPr>
          <w:rFonts w:ascii="彩虹粗仿宋" w:eastAsia="彩虹粗仿宋" w:hAnsi="宋体" w:cs="Arial"/>
          <w:sz w:val="24"/>
        </w:rPr>
      </w:pPr>
    </w:p>
    <w:p w14:paraId="5D2A67B3" w14:textId="77777777" w:rsidR="005A59EB" w:rsidRDefault="005A59EB">
      <w:pPr>
        <w:adjustRightInd w:val="0"/>
        <w:snapToGrid w:val="0"/>
        <w:jc w:val="center"/>
        <w:rPr>
          <w:rFonts w:ascii="彩虹粗仿宋" w:eastAsia="彩虹粗仿宋" w:hAnsi="宋体" w:cs="Arial"/>
          <w:bCs/>
          <w:sz w:val="24"/>
        </w:rPr>
      </w:pPr>
    </w:p>
    <w:p w14:paraId="3ED92102" w14:textId="77777777" w:rsidR="005A59EB" w:rsidRDefault="005A59EB">
      <w:pPr>
        <w:adjustRightInd w:val="0"/>
        <w:snapToGrid w:val="0"/>
        <w:jc w:val="center"/>
        <w:rPr>
          <w:rFonts w:ascii="彩虹粗仿宋" w:eastAsia="彩虹粗仿宋" w:hAnsi="宋体" w:cs="Arial"/>
          <w:bCs/>
          <w:sz w:val="24"/>
        </w:rPr>
      </w:pPr>
    </w:p>
    <w:p w14:paraId="2AD4218B" w14:textId="77777777" w:rsidR="005A59EB" w:rsidRDefault="005A59EB">
      <w:pPr>
        <w:adjustRightInd w:val="0"/>
        <w:snapToGrid w:val="0"/>
        <w:rPr>
          <w:rFonts w:ascii="彩虹粗仿宋" w:eastAsia="彩虹粗仿宋" w:hAnsi="宋体" w:cs="Arial"/>
          <w:bCs/>
          <w:sz w:val="24"/>
        </w:rPr>
      </w:pPr>
    </w:p>
    <w:p w14:paraId="6EBC1227" w14:textId="77777777" w:rsidR="005A59EB" w:rsidRDefault="00C555D5">
      <w:pPr>
        <w:widowControl/>
        <w:jc w:val="left"/>
        <w:rPr>
          <w:rFonts w:asciiTheme="minorEastAsia" w:eastAsiaTheme="minorEastAsia" w:hAnsiTheme="minorEastAsia"/>
          <w:b/>
          <w:bCs/>
          <w:sz w:val="30"/>
        </w:rPr>
      </w:pPr>
      <w:r>
        <w:rPr>
          <w:rFonts w:asciiTheme="minorEastAsia" w:eastAsiaTheme="minorEastAsia" w:hAnsiTheme="minorEastAsia"/>
          <w:b/>
          <w:bCs/>
          <w:sz w:val="30"/>
        </w:rPr>
        <w:br w:type="page"/>
      </w:r>
    </w:p>
    <w:p w14:paraId="2717A6D7" w14:textId="77777777" w:rsidR="005A59EB" w:rsidRDefault="00C555D5">
      <w:pPr>
        <w:jc w:val="center"/>
        <w:rPr>
          <w:rFonts w:asciiTheme="minorEastAsia" w:eastAsiaTheme="minorEastAsia" w:hAnsiTheme="minorEastAsia"/>
          <w:b/>
          <w:bCs/>
          <w:sz w:val="30"/>
        </w:rPr>
      </w:pPr>
      <w:r>
        <w:rPr>
          <w:rFonts w:asciiTheme="minorEastAsia" w:eastAsiaTheme="minorEastAsia" w:hAnsiTheme="minorEastAsia" w:hint="eastAsia"/>
          <w:b/>
          <w:bCs/>
          <w:sz w:val="30"/>
        </w:rPr>
        <w:lastRenderedPageBreak/>
        <w:t>目录</w:t>
      </w:r>
    </w:p>
    <w:p w14:paraId="51685BAC" w14:textId="77D45E98" w:rsidR="005A59EB" w:rsidRDefault="00C555D5">
      <w:pPr>
        <w:pStyle w:val="23"/>
        <w:tabs>
          <w:tab w:val="right" w:leader="dot" w:pos="8494"/>
        </w:tabs>
        <w:spacing w:line="360" w:lineRule="auto"/>
        <w:rPr>
          <w:rFonts w:asciiTheme="minorEastAsia" w:eastAsiaTheme="minorEastAsia" w:hAnsiTheme="minorEastAsia"/>
          <w:noProof/>
          <w:sz w:val="24"/>
        </w:rPr>
      </w:pPr>
      <w:r>
        <w:rPr>
          <w:rFonts w:asciiTheme="minorEastAsia" w:eastAsiaTheme="minorEastAsia" w:hAnsiTheme="minorEastAsia" w:hint="eastAsia"/>
          <w:sz w:val="28"/>
        </w:rPr>
        <w:fldChar w:fldCharType="begin"/>
      </w:r>
      <w:r>
        <w:rPr>
          <w:rFonts w:asciiTheme="minorEastAsia" w:eastAsiaTheme="minorEastAsia" w:hAnsiTheme="minorEastAsia"/>
          <w:sz w:val="28"/>
        </w:rPr>
        <w:instrText xml:space="preserve"> TOC \o "1-2" \h \z </w:instrText>
      </w:r>
      <w:r>
        <w:rPr>
          <w:rFonts w:asciiTheme="minorEastAsia" w:eastAsiaTheme="minorEastAsia" w:hAnsiTheme="minorEastAsia" w:hint="eastAsia"/>
          <w:sz w:val="28"/>
        </w:rPr>
        <w:fldChar w:fldCharType="separate"/>
      </w:r>
      <w:hyperlink w:anchor="_Toc124325885" w:history="1">
        <w:r>
          <w:rPr>
            <w:rStyle w:val="af8"/>
            <w:rFonts w:asciiTheme="minorEastAsia" w:eastAsiaTheme="minorEastAsia" w:hAnsiTheme="minorEastAsia" w:hint="eastAsia"/>
            <w:noProof/>
            <w:sz w:val="24"/>
          </w:rPr>
          <w:t>一、基金托管协议当事人</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_Toc124325885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3</w:t>
        </w:r>
        <w:r>
          <w:rPr>
            <w:rFonts w:asciiTheme="minorEastAsia" w:eastAsiaTheme="minorEastAsia" w:hAnsiTheme="minorEastAsia" w:hint="eastAsia"/>
            <w:noProof/>
            <w:sz w:val="24"/>
          </w:rPr>
          <w:fldChar w:fldCharType="end"/>
        </w:r>
      </w:hyperlink>
    </w:p>
    <w:p w14:paraId="2B91BFF6" w14:textId="2BC404A1"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86" w:history="1">
        <w:r>
          <w:rPr>
            <w:rStyle w:val="af8"/>
            <w:rFonts w:asciiTheme="minorEastAsia" w:eastAsiaTheme="minorEastAsia" w:hAnsiTheme="minorEastAsia" w:hint="eastAsia"/>
            <w:noProof/>
            <w:sz w:val="24"/>
          </w:rPr>
          <w:t>二、基金托管协议的依据、目的和原则</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_Toc124325886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5</w:t>
        </w:r>
        <w:r>
          <w:rPr>
            <w:rFonts w:asciiTheme="minorEastAsia" w:eastAsiaTheme="minorEastAsia" w:hAnsiTheme="minorEastAsia" w:hint="eastAsia"/>
            <w:noProof/>
            <w:sz w:val="24"/>
          </w:rPr>
          <w:fldChar w:fldCharType="end"/>
        </w:r>
      </w:hyperlink>
    </w:p>
    <w:p w14:paraId="117DF81E" w14:textId="37641E42"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87" w:history="1">
        <w:r>
          <w:rPr>
            <w:rStyle w:val="af8"/>
            <w:rFonts w:asciiTheme="minorEastAsia" w:eastAsiaTheme="minorEastAsia" w:hAnsiTheme="minorEastAsia" w:hint="eastAsia"/>
            <w:noProof/>
            <w:sz w:val="24"/>
          </w:rPr>
          <w:t>三、基金托管人对基金管理人的业务监督和核查</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_Toc124325887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6</w:t>
        </w:r>
        <w:r>
          <w:rPr>
            <w:rFonts w:asciiTheme="minorEastAsia" w:eastAsiaTheme="minorEastAsia" w:hAnsiTheme="minorEastAsia" w:hint="eastAsia"/>
            <w:noProof/>
            <w:sz w:val="24"/>
          </w:rPr>
          <w:fldChar w:fldCharType="end"/>
        </w:r>
      </w:hyperlink>
    </w:p>
    <w:p w14:paraId="28A44FC5" w14:textId="52110767"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88" w:history="1">
        <w:r>
          <w:rPr>
            <w:rStyle w:val="af8"/>
            <w:rFonts w:asciiTheme="minorEastAsia" w:eastAsiaTheme="minorEastAsia" w:hAnsiTheme="minorEastAsia" w:hint="eastAsia"/>
            <w:noProof/>
            <w:sz w:val="24"/>
          </w:rPr>
          <w:t>四、基金管理人对</w:t>
        </w:r>
        <w:r>
          <w:rPr>
            <w:rStyle w:val="af8"/>
            <w:rFonts w:asciiTheme="minorEastAsia" w:eastAsiaTheme="minorEastAsia" w:hAnsiTheme="minorEastAsia" w:hint="eastAsia"/>
            <w:noProof/>
            <w:sz w:val="24"/>
          </w:rPr>
          <w:t>基金托管人的业务核查</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_Toc124325888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13</w:t>
        </w:r>
        <w:r>
          <w:rPr>
            <w:rFonts w:asciiTheme="minorEastAsia" w:eastAsiaTheme="minorEastAsia" w:hAnsiTheme="minorEastAsia" w:hint="eastAsia"/>
            <w:noProof/>
            <w:sz w:val="24"/>
          </w:rPr>
          <w:fldChar w:fldCharType="end"/>
        </w:r>
      </w:hyperlink>
    </w:p>
    <w:p w14:paraId="42950D3C" w14:textId="1F8F5D3D"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89" w:history="1">
        <w:r>
          <w:rPr>
            <w:rStyle w:val="af8"/>
            <w:rFonts w:asciiTheme="minorEastAsia" w:eastAsiaTheme="minorEastAsia" w:hAnsiTheme="minorEastAsia" w:hint="eastAsia"/>
            <w:noProof/>
            <w:sz w:val="24"/>
          </w:rPr>
          <w:t>五、基金财产的保管</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_Toc124325889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14</w:t>
        </w:r>
        <w:r>
          <w:rPr>
            <w:rFonts w:asciiTheme="minorEastAsia" w:eastAsiaTheme="minorEastAsia" w:hAnsiTheme="minorEastAsia" w:hint="eastAsia"/>
            <w:noProof/>
            <w:sz w:val="24"/>
          </w:rPr>
          <w:fldChar w:fldCharType="end"/>
        </w:r>
      </w:hyperlink>
    </w:p>
    <w:p w14:paraId="6B299A60" w14:textId="32AD2EE7"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0" w:history="1">
        <w:r>
          <w:rPr>
            <w:rStyle w:val="af8"/>
            <w:rFonts w:asciiTheme="minorEastAsia" w:eastAsiaTheme="minorEastAsia" w:hAnsiTheme="minorEastAsia" w:hint="eastAsia"/>
            <w:noProof/>
            <w:sz w:val="24"/>
          </w:rPr>
          <w:t>六、指令的发送、确认及执行</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_Toc124325890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17</w:t>
        </w:r>
        <w:r>
          <w:rPr>
            <w:rFonts w:asciiTheme="minorEastAsia" w:eastAsiaTheme="minorEastAsia" w:hAnsiTheme="minorEastAsia" w:hint="eastAsia"/>
            <w:noProof/>
            <w:sz w:val="24"/>
          </w:rPr>
          <w:fldChar w:fldCharType="end"/>
        </w:r>
      </w:hyperlink>
    </w:p>
    <w:p w14:paraId="36143E13" w14:textId="73136E61"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1" w:history="1">
        <w:r>
          <w:rPr>
            <w:rStyle w:val="af8"/>
            <w:rFonts w:asciiTheme="minorEastAsia" w:eastAsiaTheme="minorEastAsia" w:hAnsiTheme="minorEastAsia" w:hint="eastAsia"/>
            <w:noProof/>
            <w:sz w:val="24"/>
          </w:rPr>
          <w:t>七、交易及清算交收安排</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_Toc124325891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21</w:t>
        </w:r>
        <w:r>
          <w:rPr>
            <w:rFonts w:asciiTheme="minorEastAsia" w:eastAsiaTheme="minorEastAsia" w:hAnsiTheme="minorEastAsia" w:hint="eastAsia"/>
            <w:noProof/>
            <w:sz w:val="24"/>
          </w:rPr>
          <w:fldChar w:fldCharType="end"/>
        </w:r>
      </w:hyperlink>
    </w:p>
    <w:p w14:paraId="419E39A4" w14:textId="60B1D93D"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2" w:history="1">
        <w:r>
          <w:rPr>
            <w:rStyle w:val="af8"/>
            <w:rFonts w:asciiTheme="minorEastAsia" w:eastAsiaTheme="minorEastAsia" w:hAnsiTheme="minorEastAsia" w:hint="eastAsia"/>
            <w:noProof/>
            <w:sz w:val="24"/>
          </w:rPr>
          <w:t>八、基金资产净值计算和会计核算</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_Toc124325892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25</w:t>
        </w:r>
        <w:r>
          <w:rPr>
            <w:rFonts w:asciiTheme="minorEastAsia" w:eastAsiaTheme="minorEastAsia" w:hAnsiTheme="minorEastAsia" w:hint="eastAsia"/>
            <w:noProof/>
            <w:sz w:val="24"/>
          </w:rPr>
          <w:fldChar w:fldCharType="end"/>
        </w:r>
      </w:hyperlink>
    </w:p>
    <w:p w14:paraId="6E162124" w14:textId="280761C1"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3" w:history="1">
        <w:r>
          <w:rPr>
            <w:rStyle w:val="af8"/>
            <w:rFonts w:asciiTheme="minorEastAsia" w:eastAsiaTheme="minorEastAsia" w:hAnsiTheme="minorEastAsia" w:hint="eastAsia"/>
            <w:noProof/>
            <w:sz w:val="24"/>
          </w:rPr>
          <w:t>九、基金收益分配</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w:instrText>
        </w:r>
        <w:r>
          <w:rPr>
            <w:rFonts w:asciiTheme="minorEastAsia" w:eastAsiaTheme="minorEastAsia" w:hAnsiTheme="minorEastAsia"/>
            <w:noProof/>
            <w:sz w:val="24"/>
          </w:rPr>
          <w:instrText xml:space="preserve">GEREF _Toc124325893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33</w:t>
        </w:r>
        <w:r>
          <w:rPr>
            <w:rFonts w:asciiTheme="minorEastAsia" w:eastAsiaTheme="minorEastAsia" w:hAnsiTheme="minorEastAsia" w:hint="eastAsia"/>
            <w:noProof/>
            <w:sz w:val="24"/>
          </w:rPr>
          <w:fldChar w:fldCharType="end"/>
        </w:r>
      </w:hyperlink>
    </w:p>
    <w:p w14:paraId="620256BD" w14:textId="404CEEC4"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4" w:history="1">
        <w:r>
          <w:rPr>
            <w:rStyle w:val="af8"/>
            <w:rFonts w:asciiTheme="minorEastAsia" w:eastAsiaTheme="minorEastAsia" w:hAnsiTheme="minorEastAsia" w:hint="eastAsia"/>
            <w:noProof/>
            <w:sz w:val="24"/>
          </w:rPr>
          <w:t>十、基金信息披露</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_Toc124325894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35</w:t>
        </w:r>
        <w:r>
          <w:rPr>
            <w:rFonts w:asciiTheme="minorEastAsia" w:eastAsiaTheme="minorEastAsia" w:hAnsiTheme="minorEastAsia" w:hint="eastAsia"/>
            <w:noProof/>
            <w:sz w:val="24"/>
          </w:rPr>
          <w:fldChar w:fldCharType="end"/>
        </w:r>
      </w:hyperlink>
    </w:p>
    <w:p w14:paraId="0EC689D3" w14:textId="0A30BC1B"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5" w:history="1">
        <w:r>
          <w:rPr>
            <w:rStyle w:val="af8"/>
            <w:rFonts w:asciiTheme="minorEastAsia" w:eastAsiaTheme="minorEastAsia" w:hAnsiTheme="minorEastAsia" w:hint="eastAsia"/>
            <w:noProof/>
            <w:sz w:val="24"/>
          </w:rPr>
          <w:t>十一、基金费用</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_Toc124325895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37</w:t>
        </w:r>
        <w:r>
          <w:rPr>
            <w:rFonts w:asciiTheme="minorEastAsia" w:eastAsiaTheme="minorEastAsia" w:hAnsiTheme="minorEastAsia" w:hint="eastAsia"/>
            <w:noProof/>
            <w:sz w:val="24"/>
          </w:rPr>
          <w:fldChar w:fldCharType="end"/>
        </w:r>
      </w:hyperlink>
    </w:p>
    <w:p w14:paraId="71A20C1C" w14:textId="23ED1C1F"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6" w:history="1">
        <w:r>
          <w:rPr>
            <w:rStyle w:val="af8"/>
            <w:rFonts w:asciiTheme="minorEastAsia" w:eastAsiaTheme="minorEastAsia" w:hAnsiTheme="minorEastAsia" w:hint="eastAsia"/>
            <w:noProof/>
            <w:sz w:val="24"/>
          </w:rPr>
          <w:t>十二、基金份额持有人名册的保管</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_Toc124325896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40</w:t>
        </w:r>
        <w:r>
          <w:rPr>
            <w:rFonts w:asciiTheme="minorEastAsia" w:eastAsiaTheme="minorEastAsia" w:hAnsiTheme="minorEastAsia" w:hint="eastAsia"/>
            <w:noProof/>
            <w:sz w:val="24"/>
          </w:rPr>
          <w:fldChar w:fldCharType="end"/>
        </w:r>
      </w:hyperlink>
    </w:p>
    <w:p w14:paraId="70B791AB" w14:textId="1B2F6ED6"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7" w:history="1">
        <w:r>
          <w:rPr>
            <w:rStyle w:val="af8"/>
            <w:rFonts w:asciiTheme="minorEastAsia" w:eastAsiaTheme="minorEastAsia" w:hAnsiTheme="minorEastAsia" w:hint="eastAsia"/>
            <w:noProof/>
            <w:sz w:val="24"/>
          </w:rPr>
          <w:t>十三、基金有关文件档案的保存</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_Toc124325897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41</w:t>
        </w:r>
        <w:r>
          <w:rPr>
            <w:rFonts w:asciiTheme="minorEastAsia" w:eastAsiaTheme="minorEastAsia" w:hAnsiTheme="minorEastAsia" w:hint="eastAsia"/>
            <w:noProof/>
            <w:sz w:val="24"/>
          </w:rPr>
          <w:fldChar w:fldCharType="end"/>
        </w:r>
      </w:hyperlink>
    </w:p>
    <w:p w14:paraId="4D5C44EE" w14:textId="671D699D"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8" w:history="1">
        <w:r>
          <w:rPr>
            <w:rStyle w:val="af8"/>
            <w:rFonts w:asciiTheme="minorEastAsia" w:eastAsiaTheme="minorEastAsia" w:hAnsiTheme="minorEastAsia" w:hint="eastAsia"/>
            <w:noProof/>
            <w:sz w:val="24"/>
          </w:rPr>
          <w:t>十四、基金管理人和基金托管人的更换</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_Toc124325898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42</w:t>
        </w:r>
        <w:r>
          <w:rPr>
            <w:rFonts w:asciiTheme="minorEastAsia" w:eastAsiaTheme="minorEastAsia" w:hAnsiTheme="minorEastAsia" w:hint="eastAsia"/>
            <w:noProof/>
            <w:sz w:val="24"/>
          </w:rPr>
          <w:fldChar w:fldCharType="end"/>
        </w:r>
      </w:hyperlink>
    </w:p>
    <w:p w14:paraId="67CD4962" w14:textId="539BC18A"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899" w:history="1">
        <w:r>
          <w:rPr>
            <w:rStyle w:val="af8"/>
            <w:rFonts w:asciiTheme="minorEastAsia" w:eastAsiaTheme="minorEastAsia" w:hAnsiTheme="minorEastAsia" w:hint="eastAsia"/>
            <w:noProof/>
            <w:sz w:val="24"/>
          </w:rPr>
          <w:t>十五、禁止行为</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w:instrText>
        </w:r>
        <w:r>
          <w:rPr>
            <w:rFonts w:asciiTheme="minorEastAsia" w:eastAsiaTheme="minorEastAsia" w:hAnsiTheme="minorEastAsia"/>
            <w:noProof/>
            <w:sz w:val="24"/>
          </w:rPr>
          <w:instrText xml:space="preserve">AGEREF _Toc124325899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45</w:t>
        </w:r>
        <w:r>
          <w:rPr>
            <w:rFonts w:asciiTheme="minorEastAsia" w:eastAsiaTheme="minorEastAsia" w:hAnsiTheme="minorEastAsia" w:hint="eastAsia"/>
            <w:noProof/>
            <w:sz w:val="24"/>
          </w:rPr>
          <w:fldChar w:fldCharType="end"/>
        </w:r>
      </w:hyperlink>
    </w:p>
    <w:p w14:paraId="49851628" w14:textId="68ACD33D"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900" w:history="1">
        <w:r>
          <w:rPr>
            <w:rStyle w:val="af8"/>
            <w:rFonts w:asciiTheme="minorEastAsia" w:eastAsiaTheme="minorEastAsia" w:hAnsiTheme="minorEastAsia" w:hint="eastAsia"/>
            <w:noProof/>
            <w:sz w:val="24"/>
          </w:rPr>
          <w:t>十六、托管协议的变更、终止与基金财产的清算</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_Toc124325900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47</w:t>
        </w:r>
        <w:r>
          <w:rPr>
            <w:rFonts w:asciiTheme="minorEastAsia" w:eastAsiaTheme="minorEastAsia" w:hAnsiTheme="minorEastAsia" w:hint="eastAsia"/>
            <w:noProof/>
            <w:sz w:val="24"/>
          </w:rPr>
          <w:fldChar w:fldCharType="end"/>
        </w:r>
      </w:hyperlink>
    </w:p>
    <w:p w14:paraId="11AFE968" w14:textId="1FDC8E24"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901" w:history="1">
        <w:r>
          <w:rPr>
            <w:rStyle w:val="af8"/>
            <w:rFonts w:asciiTheme="minorEastAsia" w:eastAsiaTheme="minorEastAsia" w:hAnsiTheme="minorEastAsia" w:hint="eastAsia"/>
            <w:noProof/>
            <w:sz w:val="24"/>
          </w:rPr>
          <w:t>十七、违约责任</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_Toc124325901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49</w:t>
        </w:r>
        <w:r>
          <w:rPr>
            <w:rFonts w:asciiTheme="minorEastAsia" w:eastAsiaTheme="minorEastAsia" w:hAnsiTheme="minorEastAsia" w:hint="eastAsia"/>
            <w:noProof/>
            <w:sz w:val="24"/>
          </w:rPr>
          <w:fldChar w:fldCharType="end"/>
        </w:r>
      </w:hyperlink>
    </w:p>
    <w:p w14:paraId="2499EB56" w14:textId="0C9FAA7A"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902" w:history="1">
        <w:r>
          <w:rPr>
            <w:rStyle w:val="af8"/>
            <w:rFonts w:asciiTheme="minorEastAsia" w:eastAsiaTheme="minorEastAsia" w:hAnsiTheme="minorEastAsia" w:hint="eastAsia"/>
            <w:noProof/>
            <w:sz w:val="24"/>
          </w:rPr>
          <w:t>十八、争议解决方式</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_Toc124325902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50</w:t>
        </w:r>
        <w:r>
          <w:rPr>
            <w:rFonts w:asciiTheme="minorEastAsia" w:eastAsiaTheme="minorEastAsia" w:hAnsiTheme="minorEastAsia" w:hint="eastAsia"/>
            <w:noProof/>
            <w:sz w:val="24"/>
          </w:rPr>
          <w:fldChar w:fldCharType="end"/>
        </w:r>
      </w:hyperlink>
    </w:p>
    <w:p w14:paraId="3FE610B1" w14:textId="25AE455B"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903" w:history="1">
        <w:r>
          <w:rPr>
            <w:rStyle w:val="af8"/>
            <w:rFonts w:asciiTheme="minorEastAsia" w:eastAsiaTheme="minorEastAsia" w:hAnsiTheme="minorEastAsia" w:hint="eastAsia"/>
            <w:noProof/>
            <w:sz w:val="24"/>
          </w:rPr>
          <w:t>十九、托管协议的效力</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_Toc124325903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51</w:t>
        </w:r>
        <w:r>
          <w:rPr>
            <w:rFonts w:asciiTheme="minorEastAsia" w:eastAsiaTheme="minorEastAsia" w:hAnsiTheme="minorEastAsia" w:hint="eastAsia"/>
            <w:noProof/>
            <w:sz w:val="24"/>
          </w:rPr>
          <w:fldChar w:fldCharType="end"/>
        </w:r>
      </w:hyperlink>
    </w:p>
    <w:p w14:paraId="781B36F5" w14:textId="5A67E3F6"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904" w:history="1">
        <w:r>
          <w:rPr>
            <w:rStyle w:val="af8"/>
            <w:rFonts w:asciiTheme="minorEastAsia" w:eastAsiaTheme="minorEastAsia" w:hAnsiTheme="minorEastAsia" w:hint="eastAsia"/>
            <w:noProof/>
            <w:sz w:val="24"/>
          </w:rPr>
          <w:t>二十、其他事项</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_Toc124325904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52</w:t>
        </w:r>
        <w:r>
          <w:rPr>
            <w:rFonts w:asciiTheme="minorEastAsia" w:eastAsiaTheme="minorEastAsia" w:hAnsiTheme="minorEastAsia" w:hint="eastAsia"/>
            <w:noProof/>
            <w:sz w:val="24"/>
          </w:rPr>
          <w:fldChar w:fldCharType="end"/>
        </w:r>
      </w:hyperlink>
    </w:p>
    <w:p w14:paraId="47183AFB" w14:textId="50FF9606" w:rsidR="005A59EB" w:rsidRDefault="00C555D5">
      <w:pPr>
        <w:pStyle w:val="23"/>
        <w:tabs>
          <w:tab w:val="right" w:leader="dot" w:pos="8494"/>
        </w:tabs>
        <w:spacing w:line="360" w:lineRule="auto"/>
        <w:rPr>
          <w:rFonts w:asciiTheme="minorEastAsia" w:eastAsiaTheme="minorEastAsia" w:hAnsiTheme="minorEastAsia"/>
          <w:noProof/>
          <w:sz w:val="24"/>
        </w:rPr>
      </w:pPr>
      <w:hyperlink w:anchor="_Toc124325905" w:history="1">
        <w:r>
          <w:rPr>
            <w:rStyle w:val="af8"/>
            <w:rFonts w:asciiTheme="minorEastAsia" w:eastAsiaTheme="minorEastAsia" w:hAnsiTheme="minorEastAsia" w:hint="eastAsia"/>
            <w:noProof/>
            <w:sz w:val="24"/>
          </w:rPr>
          <w:t>二十一、托管协议的签订</w:t>
        </w:r>
        <w:r>
          <w:rPr>
            <w:rFonts w:asciiTheme="minorEastAsia" w:eastAsiaTheme="minorEastAsia" w:hAnsiTheme="minorEastAsia"/>
            <w:noProof/>
            <w:sz w:val="24"/>
          </w:rPr>
          <w:tab/>
        </w:r>
        <w:r>
          <w:rPr>
            <w:rFonts w:asciiTheme="minorEastAsia" w:eastAsiaTheme="minorEastAsia" w:hAnsiTheme="minorEastAsia" w:hint="eastAsia"/>
            <w:noProof/>
            <w:sz w:val="24"/>
          </w:rPr>
          <w:fldChar w:fldCharType="begin"/>
        </w:r>
        <w:r>
          <w:rPr>
            <w:rFonts w:asciiTheme="minorEastAsia" w:eastAsiaTheme="minorEastAsia" w:hAnsiTheme="minorEastAsia"/>
            <w:noProof/>
            <w:sz w:val="24"/>
          </w:rPr>
          <w:instrText xml:space="preserve"> PAGEREF _Toc124325905 \h </w:instrText>
        </w:r>
        <w:r>
          <w:rPr>
            <w:rFonts w:asciiTheme="minorEastAsia" w:eastAsiaTheme="minorEastAsia" w:hAnsiTheme="minorEastAsia" w:hint="eastAsia"/>
            <w:noProof/>
            <w:sz w:val="24"/>
          </w:rPr>
        </w:r>
        <w:r>
          <w:rPr>
            <w:rFonts w:asciiTheme="minorEastAsia" w:eastAsiaTheme="minorEastAsia" w:hAnsiTheme="minorEastAsia" w:hint="eastAsia"/>
            <w:noProof/>
            <w:sz w:val="24"/>
          </w:rPr>
          <w:fldChar w:fldCharType="separate"/>
        </w:r>
        <w:r w:rsidR="00DC4178">
          <w:rPr>
            <w:rFonts w:asciiTheme="minorEastAsia" w:eastAsiaTheme="minorEastAsia" w:hAnsiTheme="minorEastAsia"/>
            <w:noProof/>
            <w:sz w:val="24"/>
          </w:rPr>
          <w:t>53</w:t>
        </w:r>
        <w:r>
          <w:rPr>
            <w:rFonts w:asciiTheme="minorEastAsia" w:eastAsiaTheme="minorEastAsia" w:hAnsiTheme="minorEastAsia" w:hint="eastAsia"/>
            <w:noProof/>
            <w:sz w:val="24"/>
          </w:rPr>
          <w:fldChar w:fldCharType="end"/>
        </w:r>
      </w:hyperlink>
    </w:p>
    <w:p w14:paraId="079B9145" w14:textId="77777777" w:rsidR="005A59EB" w:rsidRDefault="00C555D5">
      <w:pPr>
        <w:rPr>
          <w:rFonts w:ascii="彩虹粗仿宋" w:eastAsia="彩虹粗仿宋"/>
          <w:sz w:val="24"/>
        </w:rPr>
      </w:pPr>
      <w:r>
        <w:rPr>
          <w:rFonts w:asciiTheme="minorEastAsia" w:eastAsiaTheme="minorEastAsia" w:hAnsiTheme="minorEastAsia" w:hint="eastAsia"/>
          <w:sz w:val="28"/>
        </w:rPr>
        <w:fldChar w:fldCharType="end"/>
      </w:r>
    </w:p>
    <w:p w14:paraId="7620AE9F" w14:textId="77777777" w:rsidR="005A59EB" w:rsidRDefault="00C555D5">
      <w:pPr>
        <w:widowControl/>
        <w:jc w:val="left"/>
        <w:rPr>
          <w:rFonts w:ascii="彩虹粗仿宋" w:eastAsia="彩虹粗仿宋" w:hAnsi="宋体" w:cs="Arial"/>
          <w:kern w:val="0"/>
          <w:sz w:val="24"/>
        </w:rPr>
      </w:pPr>
      <w:r>
        <w:rPr>
          <w:rFonts w:ascii="彩虹粗仿宋" w:eastAsia="彩虹粗仿宋" w:hAnsi="宋体" w:cs="Arial"/>
          <w:kern w:val="0"/>
          <w:sz w:val="24"/>
        </w:rPr>
        <w:br w:type="page"/>
      </w:r>
    </w:p>
    <w:p w14:paraId="259A6BD5" w14:textId="77777777" w:rsidR="005A59EB" w:rsidRDefault="005A59EB">
      <w:pPr>
        <w:widowControl/>
        <w:adjustRightInd w:val="0"/>
        <w:snapToGrid w:val="0"/>
        <w:ind w:firstLineChars="200" w:firstLine="480"/>
        <w:rPr>
          <w:rFonts w:ascii="彩虹粗仿宋" w:eastAsia="彩虹粗仿宋" w:hAnsi="宋体" w:cs="Arial"/>
          <w:kern w:val="0"/>
          <w:sz w:val="24"/>
        </w:rPr>
        <w:sectPr w:rsidR="005A59EB">
          <w:footerReference w:type="default" r:id="rId7"/>
          <w:pgSz w:w="11906" w:h="16838"/>
          <w:pgMar w:top="1418" w:right="1701" w:bottom="1418" w:left="1701" w:header="851" w:footer="992" w:gutter="0"/>
          <w:pgNumType w:start="0"/>
          <w:cols w:space="425"/>
          <w:titlePg/>
          <w:docGrid w:type="lines" w:linePitch="312"/>
        </w:sectPr>
      </w:pPr>
    </w:p>
    <w:p w14:paraId="20995541" w14:textId="77777777" w:rsidR="005A59EB" w:rsidRDefault="00C555D5">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lastRenderedPageBreak/>
        <w:t>鉴于</w:t>
      </w:r>
      <w:r>
        <w:rPr>
          <w:rFonts w:asciiTheme="minorEastAsia" w:eastAsiaTheme="minorEastAsia" w:hAnsiTheme="minorEastAsia" w:cs="Arial" w:hint="eastAsia"/>
          <w:sz w:val="24"/>
        </w:rPr>
        <w:t>大成基金管理有限公司</w:t>
      </w:r>
      <w:r>
        <w:rPr>
          <w:rFonts w:asciiTheme="minorEastAsia" w:eastAsiaTheme="minorEastAsia" w:hAnsiTheme="minorEastAsia" w:cs="Arial" w:hint="eastAsia"/>
          <w:kern w:val="0"/>
          <w:sz w:val="24"/>
        </w:rPr>
        <w:t>系一家依照中国法律合法成立并有效存续的有限责任公司，按照相关法律法规的规定具备担任基金管理人的资格和能力，拟募集发行</w:t>
      </w:r>
      <w:r>
        <w:rPr>
          <w:rFonts w:asciiTheme="minorEastAsia" w:eastAsiaTheme="minorEastAsia" w:hAnsiTheme="minorEastAsia" w:cs="Arial" w:hint="eastAsia"/>
          <w:sz w:val="24"/>
        </w:rPr>
        <w:t>大成元信合利</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个月持有期债券型证券投资基金（以下简称“本基金”或“基金”）</w:t>
      </w:r>
      <w:r>
        <w:rPr>
          <w:rFonts w:asciiTheme="minorEastAsia" w:eastAsiaTheme="minorEastAsia" w:hAnsiTheme="minorEastAsia" w:cs="Arial" w:hint="eastAsia"/>
          <w:kern w:val="0"/>
          <w:sz w:val="24"/>
        </w:rPr>
        <w:t>；</w:t>
      </w:r>
    </w:p>
    <w:p w14:paraId="356874DB" w14:textId="77777777" w:rsidR="005A59EB" w:rsidRDefault="00C555D5">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鉴于中信银行股份有限公司系一家依照中国法律合法成立并有效存续的银行，按照相关法律法规的规定具备担任基金托管人的资格和能力；</w:t>
      </w:r>
    </w:p>
    <w:p w14:paraId="0357D206" w14:textId="77777777" w:rsidR="005A59EB" w:rsidRDefault="00C555D5">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鉴于大成基金管理有限公司拟担任</w:t>
      </w:r>
      <w:r>
        <w:rPr>
          <w:rFonts w:asciiTheme="minorEastAsia" w:eastAsiaTheme="minorEastAsia" w:hAnsiTheme="minorEastAsia" w:cs="Arial" w:hint="eastAsia"/>
          <w:sz w:val="24"/>
        </w:rPr>
        <w:t>大成元信合利</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个月持有期债券型证券投资基金</w:t>
      </w:r>
      <w:r>
        <w:rPr>
          <w:rFonts w:asciiTheme="minorEastAsia" w:eastAsiaTheme="minorEastAsia" w:hAnsiTheme="minorEastAsia" w:cs="Arial" w:hint="eastAsia"/>
          <w:kern w:val="0"/>
          <w:sz w:val="24"/>
        </w:rPr>
        <w:t>的基金管理人，中信银行股份有限公司拟担任</w:t>
      </w:r>
      <w:r>
        <w:rPr>
          <w:rFonts w:asciiTheme="minorEastAsia" w:eastAsiaTheme="minorEastAsia" w:hAnsiTheme="minorEastAsia" w:cs="Arial" w:hint="eastAsia"/>
          <w:sz w:val="24"/>
        </w:rPr>
        <w:t>大成元信合利</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个月持有期债券型证券投资基金</w:t>
      </w:r>
      <w:r>
        <w:rPr>
          <w:rFonts w:asciiTheme="minorEastAsia" w:eastAsiaTheme="minorEastAsia" w:hAnsiTheme="minorEastAsia" w:cs="Arial" w:hint="eastAsia"/>
          <w:kern w:val="0"/>
          <w:sz w:val="24"/>
        </w:rPr>
        <w:t>的基金托管人；</w:t>
      </w:r>
    </w:p>
    <w:p w14:paraId="5B20E933" w14:textId="77777777" w:rsidR="005A59EB" w:rsidRDefault="00C555D5">
      <w:pPr>
        <w:widowControl/>
        <w:adjustRightInd w:val="0"/>
        <w:snapToGrid w:val="0"/>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为明确</w:t>
      </w:r>
      <w:r>
        <w:rPr>
          <w:rFonts w:asciiTheme="minorEastAsia" w:eastAsiaTheme="minorEastAsia" w:hAnsiTheme="minorEastAsia" w:cs="Arial" w:hint="eastAsia"/>
          <w:sz w:val="24"/>
        </w:rPr>
        <w:t>大成元信合利</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个月持有期债券型证券投资基金</w:t>
      </w:r>
      <w:r>
        <w:rPr>
          <w:rFonts w:asciiTheme="minorEastAsia" w:eastAsiaTheme="minorEastAsia" w:hAnsiTheme="minorEastAsia" w:cs="Arial" w:hint="eastAsia"/>
          <w:kern w:val="0"/>
          <w:sz w:val="24"/>
        </w:rPr>
        <w:t>的基金管理人和基金托管人之间的权利义务关系，特制订本托管协议；</w:t>
      </w:r>
    </w:p>
    <w:p w14:paraId="189F2C23" w14:textId="77777777" w:rsidR="005A59EB" w:rsidRDefault="00C555D5">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Pr>
          <w:rFonts w:asciiTheme="minorEastAsia" w:eastAsiaTheme="minorEastAsia" w:hAnsiTheme="minorEastAsia" w:cs="Arial" w:hint="eastAsia"/>
          <w:kern w:val="0"/>
          <w:sz w:val="24"/>
          <w:lang w:val="en-GB"/>
        </w:rPr>
        <w:t>除非另有约定，《</w:t>
      </w:r>
      <w:r>
        <w:rPr>
          <w:rFonts w:asciiTheme="minorEastAsia" w:eastAsiaTheme="minorEastAsia" w:hAnsiTheme="minorEastAsia" w:cs="Arial" w:hint="eastAsia"/>
          <w:sz w:val="24"/>
        </w:rPr>
        <w:t>大成元信合利</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个月持有期债券型证券投资基金</w:t>
      </w:r>
      <w:r>
        <w:rPr>
          <w:rFonts w:asciiTheme="minorEastAsia" w:eastAsiaTheme="minorEastAsia" w:hAnsiTheme="minorEastAsia" w:cs="Arial" w:hint="eastAsia"/>
          <w:kern w:val="0"/>
          <w:sz w:val="24"/>
          <w:lang w:val="en-GB"/>
        </w:rPr>
        <w:t>基金合同》</w:t>
      </w:r>
      <w:r>
        <w:rPr>
          <w:rFonts w:asciiTheme="minorEastAsia" w:eastAsiaTheme="minorEastAsia" w:hAnsiTheme="minorEastAsia" w:cs="Arial" w:hint="eastAsia"/>
          <w:kern w:val="0"/>
          <w:sz w:val="24"/>
          <w:lang w:val="en-GB"/>
        </w:rPr>
        <w:t>(</w:t>
      </w:r>
      <w:r>
        <w:rPr>
          <w:rFonts w:asciiTheme="minorEastAsia" w:eastAsiaTheme="minorEastAsia" w:hAnsiTheme="minorEastAsia" w:cs="Arial" w:hint="eastAsia"/>
          <w:kern w:val="0"/>
          <w:sz w:val="24"/>
          <w:lang w:val="en-GB"/>
        </w:rPr>
        <w:t>以下简称“基金合同”或“《基金合同》</w:t>
      </w:r>
      <w:r>
        <w:rPr>
          <w:rFonts w:asciiTheme="minorEastAsia" w:eastAsiaTheme="minorEastAsia" w:hAnsiTheme="minorEastAsia" w:cs="Arial" w:hint="eastAsia"/>
          <w:kern w:val="0"/>
          <w:sz w:val="24"/>
          <w:lang w:val="en-GB"/>
        </w:rPr>
        <w:t>”</w:t>
      </w:r>
      <w:r>
        <w:rPr>
          <w:rFonts w:asciiTheme="minorEastAsia" w:eastAsiaTheme="minorEastAsia" w:hAnsiTheme="minorEastAsia" w:cs="Arial" w:hint="eastAsia"/>
          <w:kern w:val="0"/>
          <w:sz w:val="24"/>
          <w:lang w:val="en-GB"/>
        </w:rPr>
        <w:t>)</w:t>
      </w:r>
      <w:r>
        <w:rPr>
          <w:rFonts w:asciiTheme="minorEastAsia" w:eastAsiaTheme="minorEastAsia" w:hAnsiTheme="minorEastAsia" w:cs="Arial" w:hint="eastAsia"/>
          <w:kern w:val="0"/>
          <w:sz w:val="24"/>
          <w:lang w:val="en-GB"/>
        </w:rPr>
        <w:t>中定义的术语在用于本托管协议时应具有相同的含义；若有抵触应以《基金合同》为准，并依其</w:t>
      </w:r>
      <w:r>
        <w:rPr>
          <w:rFonts w:asciiTheme="minorEastAsia" w:eastAsiaTheme="minorEastAsia" w:hAnsiTheme="minorEastAsia" w:cs="Arial" w:hint="eastAsia"/>
          <w:kern w:val="0"/>
          <w:sz w:val="24"/>
        </w:rPr>
        <w:t>条款</w:t>
      </w:r>
      <w:r>
        <w:rPr>
          <w:rFonts w:asciiTheme="minorEastAsia" w:eastAsiaTheme="minorEastAsia" w:hAnsiTheme="minorEastAsia" w:cs="Arial" w:hint="eastAsia"/>
          <w:kern w:val="0"/>
          <w:sz w:val="24"/>
          <w:lang w:val="en-GB"/>
        </w:rPr>
        <w:t>解释。</w:t>
      </w:r>
    </w:p>
    <w:p w14:paraId="2D6CEFB1" w14:textId="77777777" w:rsidR="005A59EB" w:rsidRDefault="00C555D5">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Pr>
          <w:rFonts w:asciiTheme="minorEastAsia" w:eastAsiaTheme="minorEastAsia" w:hAnsiTheme="minorEastAsia" w:cs="Arial" w:hint="eastAsia"/>
          <w:kern w:val="0"/>
          <w:sz w:val="24"/>
          <w:lang w:val="en-GB"/>
        </w:rPr>
        <w:t>若本基金实施侧袋机制的，侧袋机制实施期间的相关安排见基金合同和招募说明书的规定。</w:t>
      </w:r>
    </w:p>
    <w:p w14:paraId="47341CE3" w14:textId="77777777" w:rsidR="005A59EB" w:rsidRDefault="005A59EB">
      <w:pPr>
        <w:rPr>
          <w:rFonts w:ascii="彩虹粗仿宋" w:eastAsia="彩虹粗仿宋"/>
          <w:sz w:val="24"/>
          <w:lang w:val="en-GB"/>
        </w:rPr>
      </w:pPr>
    </w:p>
    <w:p w14:paraId="35450429" w14:textId="77777777" w:rsidR="005A59EB" w:rsidRDefault="005A59EB">
      <w:pPr>
        <w:rPr>
          <w:rFonts w:ascii="彩虹粗仿宋" w:eastAsia="彩虹粗仿宋"/>
          <w:sz w:val="24"/>
          <w:lang w:val="en-GB"/>
        </w:rPr>
      </w:pPr>
    </w:p>
    <w:p w14:paraId="33BD6E9D" w14:textId="77777777" w:rsidR="005A59EB" w:rsidRDefault="005A59EB">
      <w:pPr>
        <w:rPr>
          <w:rFonts w:ascii="彩虹粗仿宋" w:eastAsia="彩虹粗仿宋"/>
          <w:sz w:val="24"/>
          <w:lang w:val="en-GB"/>
        </w:rPr>
      </w:pPr>
    </w:p>
    <w:p w14:paraId="05494F16" w14:textId="77777777" w:rsidR="005A59EB" w:rsidRDefault="005A59EB">
      <w:pPr>
        <w:rPr>
          <w:rFonts w:ascii="彩虹粗仿宋" w:eastAsia="彩虹粗仿宋"/>
          <w:sz w:val="24"/>
          <w:lang w:val="en-GB"/>
        </w:rPr>
      </w:pPr>
    </w:p>
    <w:p w14:paraId="686BAE7F" w14:textId="77777777" w:rsidR="005A59EB" w:rsidRDefault="005A59EB">
      <w:pPr>
        <w:rPr>
          <w:rFonts w:ascii="彩虹粗仿宋" w:eastAsia="彩虹粗仿宋"/>
          <w:sz w:val="24"/>
          <w:lang w:val="en-GB"/>
        </w:rPr>
      </w:pPr>
    </w:p>
    <w:p w14:paraId="06121E20" w14:textId="77777777" w:rsidR="005A59EB" w:rsidRDefault="005A59EB">
      <w:pPr>
        <w:rPr>
          <w:rFonts w:ascii="彩虹粗仿宋" w:eastAsia="彩虹粗仿宋"/>
          <w:sz w:val="24"/>
          <w:lang w:val="en-GB"/>
        </w:rPr>
      </w:pPr>
    </w:p>
    <w:p w14:paraId="001A58E4" w14:textId="77777777" w:rsidR="005A59EB" w:rsidRDefault="005A59EB">
      <w:pPr>
        <w:rPr>
          <w:rFonts w:ascii="彩虹粗仿宋" w:eastAsia="彩虹粗仿宋"/>
          <w:sz w:val="24"/>
          <w:lang w:val="en-GB"/>
        </w:rPr>
      </w:pPr>
    </w:p>
    <w:p w14:paraId="0DD0DD33" w14:textId="77777777" w:rsidR="005A59EB" w:rsidRDefault="005A59EB">
      <w:pPr>
        <w:rPr>
          <w:rFonts w:ascii="彩虹粗仿宋" w:eastAsia="彩虹粗仿宋"/>
          <w:sz w:val="24"/>
          <w:lang w:val="en-GB"/>
        </w:rPr>
      </w:pPr>
    </w:p>
    <w:p w14:paraId="20C2B41D" w14:textId="77777777" w:rsidR="005A59EB" w:rsidRDefault="005A59EB">
      <w:pPr>
        <w:rPr>
          <w:rFonts w:ascii="彩虹粗仿宋" w:eastAsia="彩虹粗仿宋"/>
          <w:sz w:val="24"/>
          <w:lang w:val="en-GB"/>
        </w:rPr>
      </w:pPr>
    </w:p>
    <w:p w14:paraId="6884826C" w14:textId="77777777" w:rsidR="005A59EB" w:rsidRDefault="005A59EB">
      <w:pPr>
        <w:rPr>
          <w:rFonts w:ascii="彩虹粗仿宋" w:eastAsia="彩虹粗仿宋"/>
          <w:sz w:val="24"/>
          <w:lang w:val="en-GB"/>
        </w:rPr>
      </w:pPr>
    </w:p>
    <w:p w14:paraId="15CC0E77" w14:textId="77777777" w:rsidR="005A59EB" w:rsidRDefault="00C555D5">
      <w:pPr>
        <w:widowControl/>
        <w:jc w:val="left"/>
        <w:rPr>
          <w:rFonts w:ascii="彩虹粗仿宋" w:eastAsia="彩虹粗仿宋" w:hAnsi="Arial"/>
          <w:b/>
          <w:sz w:val="32"/>
          <w:szCs w:val="20"/>
        </w:rPr>
      </w:pPr>
      <w:bookmarkStart w:id="0" w:name="_Toc124325885"/>
      <w:r>
        <w:br w:type="page"/>
      </w:r>
    </w:p>
    <w:p w14:paraId="29D894D4" w14:textId="77777777" w:rsidR="005A59EB" w:rsidRDefault="00C555D5">
      <w:pPr>
        <w:pStyle w:val="1"/>
        <w:spacing w:line="416" w:lineRule="auto"/>
        <w:ind w:firstLine="0"/>
      </w:pPr>
      <w:r>
        <w:rPr>
          <w:rFonts w:hint="eastAsia"/>
        </w:rPr>
        <w:lastRenderedPageBreak/>
        <w:t>一、基金托管协议当事人</w:t>
      </w:r>
      <w:bookmarkEnd w:id="0"/>
    </w:p>
    <w:p w14:paraId="74D25BF5" w14:textId="77777777" w:rsidR="005A59EB" w:rsidRDefault="00C555D5">
      <w:pPr>
        <w:pStyle w:val="2"/>
      </w:pPr>
      <w:r>
        <w:rPr>
          <w:rFonts w:hint="eastAsia"/>
        </w:rPr>
        <w:t>（一）基金管理人</w:t>
      </w:r>
    </w:p>
    <w:p w14:paraId="451EC92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名称：大成基金管理有限公司</w:t>
      </w:r>
    </w:p>
    <w:p w14:paraId="4916CC0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住所：广东省深圳市南山区海德三道</w:t>
      </w:r>
      <w:r>
        <w:rPr>
          <w:rFonts w:asciiTheme="minorEastAsia" w:eastAsiaTheme="minorEastAsia" w:hAnsiTheme="minorEastAsia" w:cs="Arial" w:hint="eastAsia"/>
          <w:sz w:val="24"/>
        </w:rPr>
        <w:t>1236</w:t>
      </w:r>
      <w:r>
        <w:rPr>
          <w:rFonts w:asciiTheme="minorEastAsia" w:eastAsiaTheme="minorEastAsia" w:hAnsiTheme="minorEastAsia" w:cs="Arial" w:hint="eastAsia"/>
          <w:sz w:val="24"/>
        </w:rPr>
        <w:t>号大成基金总部大厦</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层、</w:t>
      </w:r>
      <w:r>
        <w:rPr>
          <w:rFonts w:asciiTheme="minorEastAsia" w:eastAsiaTheme="minorEastAsia" w:hAnsiTheme="minorEastAsia" w:cs="Arial" w:hint="eastAsia"/>
          <w:sz w:val="24"/>
        </w:rPr>
        <w:t>27-33</w:t>
      </w:r>
      <w:r>
        <w:rPr>
          <w:rFonts w:asciiTheme="minorEastAsia" w:eastAsiaTheme="minorEastAsia" w:hAnsiTheme="minorEastAsia" w:cs="Arial" w:hint="eastAsia"/>
          <w:sz w:val="24"/>
        </w:rPr>
        <w:t>层</w:t>
      </w:r>
    </w:p>
    <w:p w14:paraId="0A9E2EF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办公地址：广东省深圳市南山区海德三道</w:t>
      </w:r>
      <w:r>
        <w:rPr>
          <w:rFonts w:asciiTheme="minorEastAsia" w:eastAsiaTheme="minorEastAsia" w:hAnsiTheme="minorEastAsia" w:cs="Arial" w:hint="eastAsia"/>
          <w:sz w:val="24"/>
        </w:rPr>
        <w:t>1236</w:t>
      </w:r>
      <w:r>
        <w:rPr>
          <w:rFonts w:asciiTheme="minorEastAsia" w:eastAsiaTheme="minorEastAsia" w:hAnsiTheme="minorEastAsia" w:cs="Arial" w:hint="eastAsia"/>
          <w:sz w:val="24"/>
        </w:rPr>
        <w:t>号大成基金总部大厦</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层、</w:t>
      </w:r>
      <w:r>
        <w:rPr>
          <w:rFonts w:asciiTheme="minorEastAsia" w:eastAsiaTheme="minorEastAsia" w:hAnsiTheme="minorEastAsia" w:cs="Arial" w:hint="eastAsia"/>
          <w:sz w:val="24"/>
        </w:rPr>
        <w:t>27-33</w:t>
      </w:r>
      <w:r>
        <w:rPr>
          <w:rFonts w:asciiTheme="minorEastAsia" w:eastAsiaTheme="minorEastAsia" w:hAnsiTheme="minorEastAsia" w:cs="Arial" w:hint="eastAsia"/>
          <w:sz w:val="24"/>
        </w:rPr>
        <w:t>层</w:t>
      </w:r>
    </w:p>
    <w:p w14:paraId="717C8E5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法定代表人：吴庆斌</w:t>
      </w:r>
    </w:p>
    <w:p w14:paraId="526CE2C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设立日期：</w:t>
      </w:r>
      <w:r>
        <w:rPr>
          <w:rFonts w:asciiTheme="minorEastAsia" w:eastAsiaTheme="minorEastAsia" w:hAnsiTheme="minorEastAsia" w:cs="Arial" w:hint="eastAsia"/>
          <w:sz w:val="24"/>
        </w:rPr>
        <w:t>1999</w:t>
      </w:r>
      <w:r>
        <w:rPr>
          <w:rFonts w:asciiTheme="minorEastAsia" w:eastAsiaTheme="minorEastAsia" w:hAnsiTheme="minorEastAsia" w:cs="Arial" w:hint="eastAsia"/>
          <w:sz w:val="24"/>
        </w:rPr>
        <w:t>年</w:t>
      </w:r>
      <w:r>
        <w:rPr>
          <w:rFonts w:asciiTheme="minorEastAsia" w:eastAsiaTheme="minorEastAsia" w:hAnsiTheme="minorEastAsia" w:cs="Arial" w:hint="eastAsia"/>
          <w:sz w:val="24"/>
        </w:rPr>
        <w:t>4</w:t>
      </w:r>
      <w:r>
        <w:rPr>
          <w:rFonts w:asciiTheme="minorEastAsia" w:eastAsiaTheme="minorEastAsia" w:hAnsiTheme="minorEastAsia" w:cs="Arial" w:hint="eastAsia"/>
          <w:sz w:val="24"/>
        </w:rPr>
        <w:t>月</w:t>
      </w:r>
      <w:r>
        <w:rPr>
          <w:rFonts w:asciiTheme="minorEastAsia" w:eastAsiaTheme="minorEastAsia" w:hAnsiTheme="minorEastAsia" w:cs="Arial" w:hint="eastAsia"/>
          <w:sz w:val="24"/>
        </w:rPr>
        <w:t>12</w:t>
      </w:r>
      <w:r>
        <w:rPr>
          <w:rFonts w:asciiTheme="minorEastAsia" w:eastAsiaTheme="minorEastAsia" w:hAnsiTheme="minorEastAsia" w:cs="Arial" w:hint="eastAsia"/>
          <w:sz w:val="24"/>
        </w:rPr>
        <w:t>日</w:t>
      </w:r>
    </w:p>
    <w:p w14:paraId="36444029"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批准设立机关及批准设立文号：中国证券监督管理委员会，中国证监会证监基金字〔</w:t>
      </w:r>
      <w:r>
        <w:rPr>
          <w:rFonts w:asciiTheme="minorEastAsia" w:eastAsiaTheme="minorEastAsia" w:hAnsiTheme="minorEastAsia" w:cs="Arial" w:hint="eastAsia"/>
          <w:sz w:val="24"/>
        </w:rPr>
        <w:t>1999</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10</w:t>
      </w:r>
      <w:r>
        <w:rPr>
          <w:rFonts w:asciiTheme="minorEastAsia" w:eastAsiaTheme="minorEastAsia" w:hAnsiTheme="minorEastAsia" w:cs="Arial" w:hint="eastAsia"/>
          <w:sz w:val="24"/>
        </w:rPr>
        <w:t>号</w:t>
      </w:r>
    </w:p>
    <w:p w14:paraId="735E3F4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组织形式：有限责任公司</w:t>
      </w:r>
    </w:p>
    <w:p w14:paraId="01ADA31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注册资本：贰亿元人民币</w:t>
      </w:r>
    </w:p>
    <w:p w14:paraId="7D557FC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存续期限：持续经营</w:t>
      </w:r>
    </w:p>
    <w:p w14:paraId="54146690"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联系电话：</w:t>
      </w:r>
      <w:r>
        <w:rPr>
          <w:rFonts w:asciiTheme="minorEastAsia" w:eastAsiaTheme="minorEastAsia" w:hAnsiTheme="minorEastAsia" w:cs="Arial"/>
          <w:sz w:val="24"/>
        </w:rPr>
        <w:t>0755-83183388</w:t>
      </w:r>
    </w:p>
    <w:p w14:paraId="2DAF8EB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经营范围：基金管理业务、发起设立基金及中国证券监督管理委员会批准的其他业务</w:t>
      </w:r>
    </w:p>
    <w:p w14:paraId="430395C4" w14:textId="77777777" w:rsidR="005A59EB" w:rsidRDefault="00C555D5">
      <w:pPr>
        <w:pStyle w:val="2"/>
      </w:pPr>
      <w:r>
        <w:rPr>
          <w:rFonts w:hint="eastAsia"/>
        </w:rPr>
        <w:t>（二）基金托管人</w:t>
      </w:r>
    </w:p>
    <w:p w14:paraId="7B956760"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名称：中信银行股份有限公司</w:t>
      </w:r>
    </w:p>
    <w:p w14:paraId="38EA4C38"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住所：北京市朝阳区光华路</w:t>
      </w:r>
      <w:r>
        <w:rPr>
          <w:rFonts w:asciiTheme="minorEastAsia" w:eastAsiaTheme="minorEastAsia" w:hAnsiTheme="minorEastAsia" w:cs="Arial" w:hint="eastAsia"/>
          <w:sz w:val="24"/>
        </w:rPr>
        <w:t xml:space="preserve"> 10 </w:t>
      </w:r>
      <w:r>
        <w:rPr>
          <w:rFonts w:asciiTheme="minorEastAsia" w:eastAsiaTheme="minorEastAsia" w:hAnsiTheme="minorEastAsia" w:cs="Arial" w:hint="eastAsia"/>
          <w:sz w:val="24"/>
        </w:rPr>
        <w:t>号院</w:t>
      </w:r>
      <w:r>
        <w:rPr>
          <w:rFonts w:asciiTheme="minorEastAsia" w:eastAsiaTheme="minorEastAsia" w:hAnsiTheme="minorEastAsia" w:cs="Arial" w:hint="eastAsia"/>
          <w:sz w:val="24"/>
        </w:rPr>
        <w:t xml:space="preserve"> 1 </w:t>
      </w:r>
      <w:r>
        <w:rPr>
          <w:rFonts w:asciiTheme="minorEastAsia" w:eastAsiaTheme="minorEastAsia" w:hAnsiTheme="minorEastAsia" w:cs="Arial" w:hint="eastAsia"/>
          <w:sz w:val="24"/>
        </w:rPr>
        <w:t>号楼</w:t>
      </w:r>
      <w:r>
        <w:rPr>
          <w:rFonts w:asciiTheme="minorEastAsia" w:eastAsiaTheme="minorEastAsia" w:hAnsiTheme="minorEastAsia" w:cs="Arial" w:hint="eastAsia"/>
          <w:sz w:val="24"/>
        </w:rPr>
        <w:t xml:space="preserve"> 6-30 </w:t>
      </w:r>
      <w:r>
        <w:rPr>
          <w:rFonts w:asciiTheme="minorEastAsia" w:eastAsiaTheme="minorEastAsia" w:hAnsiTheme="minorEastAsia" w:cs="Arial" w:hint="eastAsia"/>
          <w:sz w:val="24"/>
        </w:rPr>
        <w:t>层、</w:t>
      </w:r>
      <w:r>
        <w:rPr>
          <w:rFonts w:asciiTheme="minorEastAsia" w:eastAsiaTheme="minorEastAsia" w:hAnsiTheme="minorEastAsia" w:cs="Arial" w:hint="eastAsia"/>
          <w:sz w:val="24"/>
        </w:rPr>
        <w:t xml:space="preserve">32-42 </w:t>
      </w:r>
      <w:r>
        <w:rPr>
          <w:rFonts w:asciiTheme="minorEastAsia" w:eastAsiaTheme="minorEastAsia" w:hAnsiTheme="minorEastAsia" w:cs="Arial" w:hint="eastAsia"/>
          <w:sz w:val="24"/>
        </w:rPr>
        <w:t>层</w:t>
      </w:r>
    </w:p>
    <w:p w14:paraId="3E022798"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法定代表人：方合英</w:t>
      </w:r>
    </w:p>
    <w:p w14:paraId="65600099"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成立时间：</w:t>
      </w:r>
      <w:r>
        <w:rPr>
          <w:rFonts w:asciiTheme="minorEastAsia" w:eastAsiaTheme="minorEastAsia" w:hAnsiTheme="minorEastAsia" w:cs="Arial" w:hint="eastAsia"/>
          <w:sz w:val="24"/>
        </w:rPr>
        <w:t xml:space="preserve">1987 </w:t>
      </w:r>
      <w:r>
        <w:rPr>
          <w:rFonts w:asciiTheme="minorEastAsia" w:eastAsiaTheme="minorEastAsia" w:hAnsiTheme="minorEastAsia" w:cs="Arial" w:hint="eastAsia"/>
          <w:sz w:val="24"/>
        </w:rPr>
        <w:t>年</w:t>
      </w:r>
      <w:r>
        <w:rPr>
          <w:rFonts w:asciiTheme="minorEastAsia" w:eastAsiaTheme="minorEastAsia" w:hAnsiTheme="minorEastAsia" w:cs="Arial" w:hint="eastAsia"/>
          <w:sz w:val="24"/>
        </w:rPr>
        <w:t xml:space="preserve"> 4 </w:t>
      </w:r>
      <w:r>
        <w:rPr>
          <w:rFonts w:asciiTheme="minorEastAsia" w:eastAsiaTheme="minorEastAsia" w:hAnsiTheme="minorEastAsia" w:cs="Arial" w:hint="eastAsia"/>
          <w:sz w:val="24"/>
        </w:rPr>
        <w:t>月</w:t>
      </w:r>
      <w:r>
        <w:rPr>
          <w:rFonts w:asciiTheme="minorEastAsia" w:eastAsiaTheme="minorEastAsia" w:hAnsiTheme="minorEastAsia" w:cs="Arial" w:hint="eastAsia"/>
          <w:sz w:val="24"/>
        </w:rPr>
        <w:t xml:space="preserve"> 20 </w:t>
      </w:r>
      <w:r>
        <w:rPr>
          <w:rFonts w:asciiTheme="minorEastAsia" w:eastAsiaTheme="minorEastAsia" w:hAnsiTheme="minorEastAsia" w:cs="Arial" w:hint="eastAsia"/>
          <w:sz w:val="24"/>
        </w:rPr>
        <w:t>日</w:t>
      </w:r>
    </w:p>
    <w:p w14:paraId="62A44FCD"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批准设立文号：中华人民共和国国务院办公厅国办函</w:t>
      </w:r>
      <w:r>
        <w:rPr>
          <w:rFonts w:asciiTheme="minorEastAsia" w:eastAsiaTheme="minorEastAsia" w:hAnsiTheme="minorEastAsia" w:cs="Arial" w:hint="eastAsia"/>
          <w:sz w:val="24"/>
        </w:rPr>
        <w:t xml:space="preserve">[1987]14 </w:t>
      </w:r>
      <w:r>
        <w:rPr>
          <w:rFonts w:asciiTheme="minorEastAsia" w:eastAsiaTheme="minorEastAsia" w:hAnsiTheme="minorEastAsia" w:cs="Arial" w:hint="eastAsia"/>
          <w:sz w:val="24"/>
        </w:rPr>
        <w:t>号</w:t>
      </w:r>
    </w:p>
    <w:p w14:paraId="008419D1"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基金托管业务批准文号：中国证监会证监基金字</w:t>
      </w:r>
      <w:r>
        <w:rPr>
          <w:rFonts w:asciiTheme="minorEastAsia" w:eastAsiaTheme="minorEastAsia" w:hAnsiTheme="minorEastAsia" w:cs="Arial" w:hint="eastAsia"/>
          <w:sz w:val="24"/>
        </w:rPr>
        <w:t xml:space="preserve">[2004]125 </w:t>
      </w:r>
      <w:r>
        <w:rPr>
          <w:rFonts w:asciiTheme="minorEastAsia" w:eastAsiaTheme="minorEastAsia" w:hAnsiTheme="minorEastAsia" w:cs="Arial" w:hint="eastAsia"/>
          <w:sz w:val="24"/>
        </w:rPr>
        <w:t>号</w:t>
      </w:r>
    </w:p>
    <w:p w14:paraId="2906E45A"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组织形式：股份有限公司</w:t>
      </w:r>
    </w:p>
    <w:p w14:paraId="2CC6285A"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注册资本：</w:t>
      </w:r>
      <w:r>
        <w:rPr>
          <w:rFonts w:asciiTheme="minorEastAsia" w:eastAsiaTheme="minorEastAsia" w:hAnsiTheme="minorEastAsia" w:cs="Arial" w:hint="eastAsia"/>
          <w:sz w:val="24"/>
        </w:rPr>
        <w:t>556.45</w:t>
      </w:r>
      <w:r>
        <w:rPr>
          <w:rFonts w:asciiTheme="minorEastAsia" w:eastAsiaTheme="minorEastAsia" w:hAnsiTheme="minorEastAsia" w:cs="Arial" w:hint="eastAsia"/>
          <w:sz w:val="24"/>
        </w:rPr>
        <w:t>亿元</w:t>
      </w:r>
    </w:p>
    <w:p w14:paraId="428F9BB7"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存续期间：持续经营</w:t>
      </w:r>
    </w:p>
    <w:p w14:paraId="5115DCED" w14:textId="77777777" w:rsidR="005A59EB" w:rsidRDefault="00C555D5">
      <w:pPr>
        <w:tabs>
          <w:tab w:val="left" w:pos="540"/>
        </w:tabs>
        <w:adjustRightInd w:val="0"/>
        <w:snapToGrid w:val="0"/>
        <w:spacing w:line="360" w:lineRule="auto"/>
        <w:ind w:firstLineChars="200" w:firstLine="480"/>
        <w:rPr>
          <w:rFonts w:asciiTheme="minorEastAsia" w:eastAsiaTheme="minorEastAsia" w:hAnsiTheme="minorEastAsia"/>
          <w:sz w:val="24"/>
        </w:rPr>
      </w:pPr>
      <w:r>
        <w:rPr>
          <w:rFonts w:ascii="宋体" w:hAnsi="宋体" w:cs="宋体"/>
          <w:sz w:val="24"/>
        </w:rPr>
        <w:t>经营范围：保险兼业代理业务；吸收公众存款；发放短期、中期和长期贷款；办理国内外结算；办理票据承兑与贴现；发行金融债券；代理发行、代理兑付、承</w:t>
      </w:r>
      <w:r>
        <w:rPr>
          <w:rFonts w:ascii="宋体" w:hAnsi="宋体" w:cs="宋体"/>
          <w:sz w:val="24"/>
        </w:rPr>
        <w:lastRenderedPageBreak/>
        <w:t>销政府债券；买卖政府债券、金融债券；从事同业拆借；买卖、代理买卖外汇；从事银行卡业务；提供信用证服务及担保；代理收付款项；提供保管箱服务；结汇、售汇业务；代理开放式基</w:t>
      </w:r>
      <w:r>
        <w:rPr>
          <w:rFonts w:ascii="宋体" w:hAnsi="宋体" w:cs="宋体"/>
          <w:sz w:val="24"/>
        </w:rPr>
        <w:t>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p>
    <w:p w14:paraId="14AFDE36" w14:textId="77777777" w:rsidR="005A59EB" w:rsidRDefault="00C555D5">
      <w:bookmarkStart w:id="1" w:name="_Toc124325886"/>
      <w:r>
        <w:rPr>
          <w:rFonts w:hint="eastAsia"/>
        </w:rPr>
        <w:br w:type="page"/>
      </w:r>
    </w:p>
    <w:p w14:paraId="4EC94EF5" w14:textId="77777777" w:rsidR="005A59EB" w:rsidRDefault="00C555D5">
      <w:pPr>
        <w:pStyle w:val="1"/>
        <w:spacing w:line="416" w:lineRule="auto"/>
        <w:ind w:firstLine="0"/>
      </w:pPr>
      <w:r>
        <w:rPr>
          <w:rFonts w:hint="eastAsia"/>
        </w:rPr>
        <w:lastRenderedPageBreak/>
        <w:t>二、基金托管协议的依据、目的和原则</w:t>
      </w:r>
      <w:bookmarkEnd w:id="1"/>
    </w:p>
    <w:p w14:paraId="1BE6E532" w14:textId="77777777" w:rsidR="005A59EB" w:rsidRDefault="00C555D5">
      <w:pPr>
        <w:pStyle w:val="2"/>
      </w:pPr>
      <w:r>
        <w:rPr>
          <w:rFonts w:hint="eastAsia"/>
        </w:rPr>
        <w:t>（一）订立托管协议的依据</w:t>
      </w:r>
    </w:p>
    <w:p w14:paraId="03F380FD"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w:t>
      </w:r>
      <w:r>
        <w:rPr>
          <w:rFonts w:ascii="宋体" w:hAnsi="宋体" w:cs="Arial" w:hint="eastAsia"/>
          <w:sz w:val="24"/>
        </w:rPr>
        <w:t>(</w:t>
      </w:r>
      <w:r>
        <w:rPr>
          <w:rFonts w:ascii="宋体" w:hAnsi="宋体" w:cs="Arial" w:hint="eastAsia"/>
          <w:sz w:val="24"/>
        </w:rPr>
        <w:t>以下简称“《基金法》”</w:t>
      </w:r>
      <w:r>
        <w:rPr>
          <w:rFonts w:ascii="宋体" w:hAnsi="宋体" w:cs="Arial" w:hint="eastAsia"/>
          <w:sz w:val="24"/>
        </w:rPr>
        <w:t>)</w:t>
      </w:r>
      <w:r>
        <w:rPr>
          <w:rFonts w:ascii="宋体" w:hAnsi="宋体" w:cs="Arial" w:hint="eastAsia"/>
          <w:sz w:val="24"/>
        </w:rPr>
        <w:t>、《公开募集证券投资基金运作管理办法》</w:t>
      </w:r>
      <w:r>
        <w:rPr>
          <w:rFonts w:ascii="宋体" w:hAnsi="宋体" w:cs="Arial" w:hint="eastAsia"/>
          <w:sz w:val="24"/>
        </w:rPr>
        <w:t>(</w:t>
      </w:r>
      <w:r>
        <w:rPr>
          <w:rFonts w:ascii="宋体" w:hAnsi="宋体" w:cs="Arial" w:hint="eastAsia"/>
          <w:sz w:val="24"/>
        </w:rPr>
        <w:t>以下简称“《运作办法》”</w:t>
      </w:r>
      <w:r>
        <w:rPr>
          <w:rFonts w:ascii="宋体" w:hAnsi="宋体" w:cs="Arial" w:hint="eastAsia"/>
          <w:sz w:val="24"/>
        </w:rPr>
        <w:t>)</w:t>
      </w:r>
      <w:r>
        <w:rPr>
          <w:rFonts w:ascii="宋体" w:hAnsi="宋体" w:cs="Arial" w:hint="eastAsia"/>
          <w:sz w:val="24"/>
        </w:rPr>
        <w:t>、《公开募集证券投资基金信息披露管理办法》</w:t>
      </w:r>
      <w:r>
        <w:rPr>
          <w:rFonts w:ascii="宋体" w:hAnsi="宋体" w:cs="Arial" w:hint="eastAsia"/>
          <w:sz w:val="24"/>
        </w:rPr>
        <w:t>(</w:t>
      </w:r>
      <w:r>
        <w:rPr>
          <w:rFonts w:ascii="宋体" w:hAnsi="宋体" w:cs="Arial" w:hint="eastAsia"/>
          <w:sz w:val="24"/>
        </w:rPr>
        <w:t>以下简称“《信息披露办法》”</w:t>
      </w:r>
      <w:r>
        <w:rPr>
          <w:rFonts w:ascii="宋体" w:hAnsi="宋体" w:cs="Arial" w:hint="eastAsia"/>
          <w:sz w:val="24"/>
        </w:rPr>
        <w:t>)</w:t>
      </w:r>
      <w:r>
        <w:rPr>
          <w:rFonts w:ascii="宋体" w:hAnsi="宋体" w:cs="Arial" w:hint="eastAsia"/>
          <w:sz w:val="24"/>
        </w:rPr>
        <w:t>、《公开募集开放式证券投资基金流动性风险管理规定》（以下简称“《流动性风险管理规定》”）等有关法律法规、《基金合同》及其他有关规定制订。</w:t>
      </w:r>
    </w:p>
    <w:p w14:paraId="2FA82AE0" w14:textId="77777777" w:rsidR="005A59EB" w:rsidRDefault="00C555D5">
      <w:pPr>
        <w:pStyle w:val="2"/>
      </w:pPr>
      <w:r>
        <w:rPr>
          <w:rFonts w:hint="eastAsia"/>
        </w:rPr>
        <w:t>（二）订立托管协议的目的</w:t>
      </w:r>
    </w:p>
    <w:p w14:paraId="6181995B" w14:textId="77777777" w:rsidR="005A59EB" w:rsidRDefault="00C555D5">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3E52AEC" w14:textId="77777777" w:rsidR="005A59EB" w:rsidRDefault="00C555D5">
      <w:pPr>
        <w:pStyle w:val="2"/>
      </w:pPr>
      <w:r>
        <w:rPr>
          <w:rFonts w:hint="eastAsia"/>
        </w:rPr>
        <w:t>（三）订立托管协议的原则</w:t>
      </w:r>
    </w:p>
    <w:p w14:paraId="49AC8B08" w14:textId="77777777" w:rsidR="005A59EB" w:rsidRDefault="00C555D5">
      <w:pPr>
        <w:adjustRightInd w:val="0"/>
        <w:snapToGrid w:val="0"/>
        <w:spacing w:line="360" w:lineRule="auto"/>
        <w:ind w:firstLineChars="200" w:firstLine="480"/>
      </w:pPr>
      <w:r>
        <w:rPr>
          <w:rFonts w:ascii="宋体" w:hAnsi="宋体" w:cs="Arial" w:hint="eastAsia"/>
          <w:sz w:val="24"/>
        </w:rPr>
        <w:t>基金管理人和基金托管人本着平等自愿、诚实信用、充分保护基金份额持有人合法权益的原则，经协商一致，签订本协议。</w:t>
      </w:r>
    </w:p>
    <w:p w14:paraId="7B5E8FF0" w14:textId="77777777" w:rsidR="005A59EB" w:rsidRDefault="00C555D5">
      <w:pPr>
        <w:pStyle w:val="2"/>
      </w:pPr>
      <w:r>
        <w:rPr>
          <w:rFonts w:hint="eastAsia"/>
        </w:rPr>
        <w:t>（四）本基金信息披露事项以法律法规规定及基金合同“第十八部分</w:t>
      </w:r>
      <w:r>
        <w:rPr>
          <w:rFonts w:hint="eastAsia"/>
        </w:rPr>
        <w:t xml:space="preserve"> </w:t>
      </w:r>
      <w:r>
        <w:rPr>
          <w:rFonts w:hint="eastAsia"/>
        </w:rPr>
        <w:t>基金的信息披露”约定的内容为准。</w:t>
      </w:r>
    </w:p>
    <w:p w14:paraId="75C4E8D0" w14:textId="77777777" w:rsidR="005A59EB" w:rsidRDefault="005A59EB">
      <w:pPr>
        <w:rPr>
          <w:rFonts w:ascii="彩虹粗仿宋" w:eastAsia="彩虹粗仿宋"/>
          <w:sz w:val="24"/>
        </w:rPr>
      </w:pPr>
    </w:p>
    <w:p w14:paraId="72401FEC" w14:textId="77777777" w:rsidR="005A59EB" w:rsidRDefault="00C555D5">
      <w:bookmarkStart w:id="2" w:name="_Toc124325887"/>
      <w:r>
        <w:rPr>
          <w:rFonts w:hint="eastAsia"/>
        </w:rPr>
        <w:br w:type="page"/>
      </w:r>
    </w:p>
    <w:p w14:paraId="1E2472DE" w14:textId="77777777" w:rsidR="005A59EB" w:rsidRDefault="00C555D5">
      <w:pPr>
        <w:pStyle w:val="1"/>
        <w:spacing w:line="416" w:lineRule="auto"/>
        <w:ind w:firstLine="0"/>
      </w:pPr>
      <w:r>
        <w:rPr>
          <w:rFonts w:hint="eastAsia"/>
        </w:rPr>
        <w:lastRenderedPageBreak/>
        <w:t>三、基金托管人对基金管理人的业务监督和核查</w:t>
      </w:r>
      <w:bookmarkEnd w:id="2"/>
    </w:p>
    <w:p w14:paraId="0730E8AE" w14:textId="77777777" w:rsidR="005A59EB" w:rsidRDefault="00C555D5">
      <w:pPr>
        <w:pStyle w:val="2"/>
        <w:rPr>
          <w:rFonts w:ascii="宋体" w:eastAsia="宋体" w:hAnsi="宋体" w:cs="宋体"/>
        </w:rPr>
      </w:pPr>
      <w:bookmarkStart w:id="3" w:name="_Hlk177558813"/>
      <w:r>
        <w:rPr>
          <w:rFonts w:hint="eastAsia"/>
        </w:rPr>
        <w:t>（一）</w:t>
      </w:r>
      <w:r>
        <w:rPr>
          <w:rFonts w:ascii="宋体" w:eastAsia="宋体" w:hAnsi="宋体" w:cs="宋体"/>
        </w:rPr>
        <w:t>基金托管人对基金管理人的投资行为行使监督权</w:t>
      </w:r>
    </w:p>
    <w:p w14:paraId="77577980" w14:textId="77777777" w:rsidR="005A59EB" w:rsidRDefault="00C555D5">
      <w:pPr>
        <w:spacing w:line="360" w:lineRule="auto"/>
        <w:ind w:firstLineChars="200" w:firstLine="480"/>
        <w:rPr>
          <w:bCs/>
          <w:sz w:val="24"/>
        </w:rPr>
      </w:pPr>
      <w:r>
        <w:rPr>
          <w:rFonts w:ascii="宋体" w:hAnsi="宋体" w:cs="宋体" w:hint="eastAsia"/>
          <w:bCs/>
          <w:sz w:val="24"/>
        </w:rPr>
        <w:t>1</w:t>
      </w:r>
      <w:r>
        <w:rPr>
          <w:rFonts w:ascii="宋体" w:hAnsi="宋体" w:cs="宋体" w:hint="eastAsia"/>
          <w:bCs/>
          <w:sz w:val="24"/>
        </w:rPr>
        <w:t>、</w:t>
      </w:r>
      <w:r>
        <w:rPr>
          <w:rFonts w:ascii="宋体" w:hAnsi="宋体" w:cs="宋体"/>
          <w:bCs/>
          <w:sz w:val="24"/>
        </w:rPr>
        <w:t>基金托管人根据有关法律法规的规定和基金合同的约定，对下述基金投</w:t>
      </w:r>
      <w:r>
        <w:rPr>
          <w:rFonts w:ascii="宋体" w:hAnsi="宋体" w:cs="宋体"/>
          <w:bCs/>
          <w:sz w:val="24"/>
        </w:rPr>
        <w:t xml:space="preserve"> </w:t>
      </w:r>
      <w:r>
        <w:rPr>
          <w:rFonts w:ascii="宋体" w:hAnsi="宋体" w:cs="宋体"/>
          <w:bCs/>
          <w:sz w:val="24"/>
        </w:rPr>
        <w:t>资范围、投资对象进行监督。本基金将投资于以下金融工具：</w:t>
      </w:r>
    </w:p>
    <w:p w14:paraId="606EC466" w14:textId="77777777" w:rsidR="005A59EB" w:rsidRDefault="00C555D5">
      <w:pPr>
        <w:spacing w:line="360" w:lineRule="auto"/>
        <w:ind w:firstLine="480"/>
        <w:rPr>
          <w:bCs/>
          <w:sz w:val="24"/>
        </w:rPr>
      </w:pPr>
      <w:bookmarkStart w:id="4" w:name="_Hlk54444147"/>
      <w:r>
        <w:rPr>
          <w:rFonts w:hint="eastAsia"/>
          <w:bCs/>
          <w:sz w:val="24"/>
        </w:rPr>
        <w:t>本基金的投资范围为具有良好流动性的金融工具，包括国内依法发行上市的股票（包括主板、科创板、创业板及其他中国证监会允许基金投资的股票）、存托凭证、港股通标的股票、债券（包括国债、央行票据、地方政府债、金融债券、企业债券、公司债券、中期票据、短期融资券、超短期融资券、次级债券、政府支持机构债、政府支持债券、可转换债券（含可分离交易可转债）、可交换债券及其他经中国证监会允许投资的债券）、资产支持证券、债券回购、银行存款（包括协议存款、定期存款、通知存款及其他银行存款）、同业存单、现金等货币市场工具、国债期货、信用</w:t>
      </w:r>
      <w:r>
        <w:rPr>
          <w:rFonts w:hint="eastAsia"/>
          <w:bCs/>
          <w:sz w:val="24"/>
        </w:rPr>
        <w:t>衍生品、经中国证监会依法核准或注册的公开募集证券投资基金（包括股票型</w:t>
      </w:r>
      <w:r>
        <w:rPr>
          <w:rFonts w:hint="eastAsia"/>
          <w:bCs/>
          <w:sz w:val="24"/>
        </w:rPr>
        <w:t>ETF</w:t>
      </w:r>
      <w:r>
        <w:rPr>
          <w:rFonts w:hint="eastAsia"/>
          <w:bCs/>
          <w:sz w:val="24"/>
        </w:rPr>
        <w:t>、公开募集不动产投资信托基金（以下简称“公募</w:t>
      </w:r>
      <w:r>
        <w:rPr>
          <w:rFonts w:hint="eastAsia"/>
          <w:bCs/>
          <w:sz w:val="24"/>
        </w:rPr>
        <w:t>REITs</w:t>
      </w:r>
      <w:r>
        <w:rPr>
          <w:rFonts w:hint="eastAsia"/>
          <w:bCs/>
          <w:sz w:val="24"/>
        </w:rPr>
        <w:t>”）、本基金管理人旗下的股票型基金及计入权益类资产的混合型基金，不包括</w:t>
      </w:r>
      <w:r>
        <w:rPr>
          <w:rFonts w:hint="eastAsia"/>
          <w:bCs/>
          <w:sz w:val="24"/>
        </w:rPr>
        <w:t>QDII</w:t>
      </w:r>
      <w:r>
        <w:rPr>
          <w:rFonts w:hint="eastAsia"/>
          <w:bCs/>
          <w:sz w:val="24"/>
        </w:rPr>
        <w:t>基金、香港互认基金、基金中基金、其他可投资公募基金的非基金中基金、货币市场基金、同一基金经理管理的其他基金、非本基金管理人管理的基金（股票型</w:t>
      </w:r>
      <w:r>
        <w:rPr>
          <w:rFonts w:hint="eastAsia"/>
          <w:bCs/>
          <w:sz w:val="24"/>
        </w:rPr>
        <w:t>ETF</w:t>
      </w:r>
      <w:r>
        <w:rPr>
          <w:rFonts w:hint="eastAsia"/>
          <w:bCs/>
          <w:sz w:val="24"/>
        </w:rPr>
        <w:t>和公募</w:t>
      </w:r>
      <w:r>
        <w:rPr>
          <w:rFonts w:hint="eastAsia"/>
          <w:bCs/>
          <w:sz w:val="24"/>
        </w:rPr>
        <w:t>REITs</w:t>
      </w:r>
      <w:r>
        <w:rPr>
          <w:rFonts w:hint="eastAsia"/>
          <w:bCs/>
          <w:sz w:val="24"/>
        </w:rPr>
        <w:t>除外）），以及法律法规或中国证监会允许基金投资的其他金融工具，但须符合中国证监会的相关规定。</w:t>
      </w:r>
    </w:p>
    <w:p w14:paraId="2AC8F1E8" w14:textId="77777777" w:rsidR="005A59EB" w:rsidRDefault="00C555D5">
      <w:pPr>
        <w:spacing w:line="360" w:lineRule="auto"/>
        <w:ind w:firstLine="480"/>
        <w:rPr>
          <w:bCs/>
          <w:sz w:val="24"/>
        </w:rPr>
      </w:pPr>
      <w:r>
        <w:rPr>
          <w:rFonts w:hint="eastAsia"/>
          <w:bCs/>
          <w:sz w:val="24"/>
        </w:rPr>
        <w:t>如法律法规或监管机构以后允许基金投资其他品种，基金</w:t>
      </w:r>
      <w:r>
        <w:rPr>
          <w:rFonts w:hint="eastAsia"/>
          <w:bCs/>
          <w:sz w:val="24"/>
        </w:rPr>
        <w:t>管理人在履行适当程序后，可以将其纳入投资范围。</w:t>
      </w:r>
    </w:p>
    <w:p w14:paraId="39ADF9B7" w14:textId="77777777" w:rsidR="005A59EB" w:rsidRDefault="00C555D5">
      <w:pPr>
        <w:spacing w:line="360" w:lineRule="auto"/>
        <w:ind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，本基金投资于股票、存托凭证、股票型基金、计入权益类资产的混合型基金等权益类资产及可转换债券、可交换债券资产的比例合计为基金资产的</w:t>
      </w:r>
      <w:r>
        <w:rPr>
          <w:rFonts w:hint="eastAsia"/>
          <w:bCs/>
          <w:sz w:val="24"/>
        </w:rPr>
        <w:t>5%-20%</w:t>
      </w:r>
      <w:r>
        <w:rPr>
          <w:rFonts w:hint="eastAsia"/>
          <w:bCs/>
          <w:sz w:val="24"/>
        </w:rPr>
        <w:t>；其中投资于境内股票资产（含</w:t>
      </w:r>
      <w:r>
        <w:rPr>
          <w:rFonts w:hint="eastAsia"/>
          <w:bCs/>
          <w:sz w:val="24"/>
        </w:rPr>
        <w:t>A</w:t>
      </w:r>
      <w:r>
        <w:rPr>
          <w:rFonts w:hint="eastAsia"/>
          <w:bCs/>
          <w:sz w:val="24"/>
        </w:rPr>
        <w:t>股股票型</w:t>
      </w:r>
      <w:r>
        <w:rPr>
          <w:rFonts w:hint="eastAsia"/>
          <w:bCs/>
          <w:sz w:val="24"/>
        </w:rPr>
        <w:t>ETF</w:t>
      </w:r>
      <w:r>
        <w:rPr>
          <w:rFonts w:hint="eastAsia"/>
          <w:bCs/>
          <w:sz w:val="24"/>
        </w:rPr>
        <w:t>）的比例不低于基金资产的</w:t>
      </w:r>
      <w:r>
        <w:rPr>
          <w:rFonts w:hint="eastAsia"/>
          <w:bCs/>
          <w:sz w:val="24"/>
        </w:rPr>
        <w:t>5%</w:t>
      </w:r>
      <w:r>
        <w:rPr>
          <w:rFonts w:hint="eastAsia"/>
          <w:bCs/>
          <w:sz w:val="24"/>
        </w:rPr>
        <w:t>，投资于港股通标的股票占本基金股票资产的比例为</w:t>
      </w:r>
      <w:r>
        <w:rPr>
          <w:rFonts w:hint="eastAsia"/>
          <w:bCs/>
          <w:sz w:val="24"/>
        </w:rPr>
        <w:t>0%-50%</w:t>
      </w:r>
      <w:r>
        <w:rPr>
          <w:rFonts w:hint="eastAsia"/>
          <w:bCs/>
          <w:sz w:val="24"/>
        </w:rPr>
        <w:t>；本基金持有其他基金，其市值不超过基金资产净值的</w:t>
      </w:r>
      <w:r>
        <w:rPr>
          <w:rFonts w:hint="eastAsia"/>
          <w:bCs/>
          <w:sz w:val="24"/>
        </w:rPr>
        <w:t>10%</w:t>
      </w:r>
      <w:r>
        <w:rPr>
          <w:rFonts w:hint="eastAsia"/>
          <w:bCs/>
          <w:sz w:val="24"/>
        </w:rPr>
        <w:t>。</w:t>
      </w:r>
    </w:p>
    <w:p w14:paraId="2C23067B" w14:textId="77777777" w:rsidR="005A59EB" w:rsidRDefault="00C555D5">
      <w:pPr>
        <w:spacing w:line="360" w:lineRule="auto"/>
        <w:ind w:firstLine="480"/>
        <w:rPr>
          <w:bCs/>
          <w:sz w:val="24"/>
        </w:rPr>
      </w:pPr>
      <w:r>
        <w:rPr>
          <w:rFonts w:hint="eastAsia"/>
          <w:bCs/>
          <w:sz w:val="24"/>
        </w:rPr>
        <w:t>本基金每个交易日日终在扣除国债期货合约需缴纳的交易保证金后，持有</w:t>
      </w:r>
      <w:r>
        <w:rPr>
          <w:rFonts w:hint="eastAsia"/>
          <w:bCs/>
          <w:sz w:val="24"/>
        </w:rPr>
        <w:t>现金（不包括结算备付金、存出保证金、应收申购款等）或者到期日在一年以内的政府债券不低于基金资产净值的</w:t>
      </w:r>
      <w:r>
        <w:rPr>
          <w:rFonts w:hint="eastAsia"/>
          <w:bCs/>
          <w:sz w:val="24"/>
        </w:rPr>
        <w:t>5%</w:t>
      </w:r>
      <w:r>
        <w:rPr>
          <w:rFonts w:hint="eastAsia"/>
          <w:bCs/>
          <w:sz w:val="24"/>
        </w:rPr>
        <w:t>。其中，本基金所指的计入权益类资产的混合型</w:t>
      </w:r>
      <w:r>
        <w:rPr>
          <w:rFonts w:hint="eastAsia"/>
          <w:bCs/>
          <w:sz w:val="24"/>
        </w:rPr>
        <w:lastRenderedPageBreak/>
        <w:t>基金为至少满足以下一条标准的混合型基金：（</w:t>
      </w:r>
      <w:r>
        <w:rPr>
          <w:rFonts w:hint="eastAsia"/>
          <w:bCs/>
          <w:sz w:val="24"/>
        </w:rPr>
        <w:t>1</w:t>
      </w:r>
      <w:r>
        <w:rPr>
          <w:rFonts w:hint="eastAsia"/>
          <w:bCs/>
          <w:sz w:val="24"/>
        </w:rPr>
        <w:t>）基金合同约定的股票及存托凭证资产占基金资产的比例不低于</w:t>
      </w:r>
      <w:r>
        <w:rPr>
          <w:rFonts w:hint="eastAsia"/>
          <w:bCs/>
          <w:sz w:val="24"/>
        </w:rPr>
        <w:t>60%</w:t>
      </w:r>
      <w:r>
        <w:rPr>
          <w:rFonts w:hint="eastAsia"/>
          <w:bCs/>
          <w:sz w:val="24"/>
        </w:rPr>
        <w:t>；（</w:t>
      </w:r>
      <w:r>
        <w:rPr>
          <w:rFonts w:hint="eastAsia"/>
          <w:bCs/>
          <w:sz w:val="24"/>
        </w:rPr>
        <w:t>2</w:t>
      </w:r>
      <w:r>
        <w:rPr>
          <w:rFonts w:hint="eastAsia"/>
          <w:bCs/>
          <w:sz w:val="24"/>
        </w:rPr>
        <w:t>）基金最近</w:t>
      </w:r>
      <w:r>
        <w:rPr>
          <w:rFonts w:hint="eastAsia"/>
          <w:bCs/>
          <w:sz w:val="24"/>
        </w:rPr>
        <w:t>4</w:t>
      </w:r>
      <w:r>
        <w:rPr>
          <w:rFonts w:hint="eastAsia"/>
          <w:bCs/>
          <w:sz w:val="24"/>
        </w:rPr>
        <w:t>期季度报告中披露的股票及存托凭证资产占基金资产的比例均不低于</w:t>
      </w:r>
      <w:r>
        <w:rPr>
          <w:rFonts w:hint="eastAsia"/>
          <w:bCs/>
          <w:sz w:val="24"/>
        </w:rPr>
        <w:t>60%</w:t>
      </w:r>
      <w:r>
        <w:rPr>
          <w:rFonts w:hint="eastAsia"/>
          <w:bCs/>
          <w:sz w:val="24"/>
        </w:rPr>
        <w:t>。国债期货的投资比例依照法律法规或监管机构的规定执行。</w:t>
      </w:r>
    </w:p>
    <w:p w14:paraId="0DCDDCD6" w14:textId="77777777" w:rsidR="005A59EB" w:rsidRDefault="00C555D5">
      <w:pPr>
        <w:spacing w:line="360" w:lineRule="auto"/>
        <w:ind w:firstLineChars="200" w:firstLine="480"/>
        <w:rPr>
          <w:bCs/>
          <w:sz w:val="24"/>
        </w:rPr>
      </w:pPr>
      <w:r>
        <w:rPr>
          <w:rFonts w:hint="eastAsia"/>
          <w:bCs/>
          <w:sz w:val="24"/>
        </w:rPr>
        <w:t>如果法律法规或中国证监会变更投资品种的投资比例限制</w:t>
      </w:r>
      <w:r>
        <w:rPr>
          <w:rFonts w:hint="eastAsia"/>
          <w:bCs/>
          <w:sz w:val="24"/>
        </w:rPr>
        <w:t>,</w:t>
      </w:r>
      <w:r>
        <w:rPr>
          <w:rFonts w:hint="eastAsia"/>
          <w:bCs/>
          <w:sz w:val="24"/>
        </w:rPr>
        <w:t>基金管理人在履行适当程序后，可以调整上述投资品种的投资比例。</w:t>
      </w:r>
    </w:p>
    <w:p w14:paraId="2D9DB3C4" w14:textId="77777777" w:rsidR="005A59EB" w:rsidRDefault="00C555D5">
      <w:pPr>
        <w:pStyle w:val="2"/>
      </w:pPr>
      <w:r>
        <w:rPr>
          <w:rFonts w:hint="eastAsia"/>
        </w:rPr>
        <w:t>（二）</w:t>
      </w:r>
      <w:r>
        <w:rPr>
          <w:rFonts w:hint="eastAsia"/>
        </w:rPr>
        <w:t>基金托管人根据有关法律法规的规定及《基金合同》、本协议的约定，对基金投资比例进行监督。基金托管人按下述比例和调整期限进行监督：</w:t>
      </w:r>
    </w:p>
    <w:p w14:paraId="16063E9F" w14:textId="77777777" w:rsidR="005A59EB" w:rsidRDefault="00C555D5">
      <w:pPr>
        <w:spacing w:line="360" w:lineRule="auto"/>
        <w:ind w:firstLineChars="200" w:firstLine="480"/>
        <w:rPr>
          <w:bCs/>
          <w:sz w:val="24"/>
        </w:rPr>
      </w:pPr>
      <w:bookmarkStart w:id="5" w:name="OLE_LINK87"/>
      <w:bookmarkStart w:id="6" w:name="OLE_LINK86"/>
      <w:r>
        <w:rPr>
          <w:rFonts w:hint="eastAsia"/>
          <w:bCs/>
          <w:sz w:val="24"/>
        </w:rPr>
        <w:t>（</w:t>
      </w:r>
      <w:r>
        <w:rPr>
          <w:bCs/>
          <w:sz w:val="24"/>
        </w:rPr>
        <w:t>1</w:t>
      </w:r>
      <w:r>
        <w:rPr>
          <w:rFonts w:hint="eastAsia"/>
          <w:bCs/>
          <w:sz w:val="24"/>
        </w:rPr>
        <w:t>）本基金投资于债券资产的比例不低于基金资产的</w:t>
      </w:r>
      <w:r>
        <w:rPr>
          <w:rFonts w:hint="eastAsia"/>
          <w:bCs/>
          <w:sz w:val="24"/>
        </w:rPr>
        <w:t>80%</w:t>
      </w:r>
      <w:r>
        <w:rPr>
          <w:rFonts w:hint="eastAsia"/>
          <w:bCs/>
          <w:sz w:val="24"/>
        </w:rPr>
        <w:t>，本基金投资于股票、存托凭证、股票型基金、计入权益类资产的混合型基金等权益类资产及可转换债券、可交换债券资产的比例合计为基金资产的</w:t>
      </w:r>
      <w:r>
        <w:rPr>
          <w:rFonts w:hint="eastAsia"/>
          <w:bCs/>
          <w:sz w:val="24"/>
        </w:rPr>
        <w:t>5%-20%</w:t>
      </w:r>
      <w:r>
        <w:rPr>
          <w:rFonts w:hint="eastAsia"/>
          <w:bCs/>
          <w:sz w:val="24"/>
        </w:rPr>
        <w:t>；其中投资于境内股票资产（含</w:t>
      </w:r>
      <w:r>
        <w:rPr>
          <w:rFonts w:hint="eastAsia"/>
          <w:bCs/>
          <w:sz w:val="24"/>
        </w:rPr>
        <w:t>A</w:t>
      </w:r>
      <w:r>
        <w:rPr>
          <w:rFonts w:hint="eastAsia"/>
          <w:bCs/>
          <w:sz w:val="24"/>
        </w:rPr>
        <w:t>股股票型</w:t>
      </w:r>
      <w:r>
        <w:rPr>
          <w:rFonts w:hint="eastAsia"/>
          <w:bCs/>
          <w:sz w:val="24"/>
        </w:rPr>
        <w:t>ETF</w:t>
      </w:r>
      <w:r>
        <w:rPr>
          <w:rFonts w:hint="eastAsia"/>
          <w:bCs/>
          <w:sz w:val="24"/>
        </w:rPr>
        <w:t>）的比例不低于基金资产的</w:t>
      </w:r>
      <w:r>
        <w:rPr>
          <w:rFonts w:hint="eastAsia"/>
          <w:bCs/>
          <w:sz w:val="24"/>
        </w:rPr>
        <w:t>5%</w:t>
      </w:r>
      <w:r>
        <w:rPr>
          <w:rFonts w:hint="eastAsia"/>
          <w:bCs/>
          <w:sz w:val="24"/>
        </w:rPr>
        <w:t>，投资于港股通标的股票占本基金股票资产的比例为</w:t>
      </w:r>
      <w:r>
        <w:rPr>
          <w:rFonts w:hint="eastAsia"/>
          <w:bCs/>
          <w:sz w:val="24"/>
        </w:rPr>
        <w:t>0%-50%</w:t>
      </w:r>
      <w:r>
        <w:rPr>
          <w:rFonts w:hint="eastAsia"/>
          <w:bCs/>
          <w:sz w:val="24"/>
        </w:rPr>
        <w:t>；投资于证券投资基金的比例不超过基金资产净值的</w:t>
      </w:r>
      <w:r>
        <w:rPr>
          <w:rFonts w:hint="eastAsia"/>
          <w:bCs/>
          <w:sz w:val="24"/>
        </w:rPr>
        <w:t>10%</w:t>
      </w:r>
      <w:r>
        <w:rPr>
          <w:rFonts w:hint="eastAsia"/>
          <w:bCs/>
          <w:sz w:val="24"/>
        </w:rPr>
        <w:t>；</w:t>
      </w:r>
    </w:p>
    <w:p w14:paraId="089D1A21" w14:textId="77777777" w:rsidR="005A59EB" w:rsidRDefault="00C555D5">
      <w:pPr>
        <w:spacing w:line="360" w:lineRule="auto"/>
        <w:ind w:firstLineChars="200" w:firstLine="480"/>
        <w:rPr>
          <w:bCs/>
          <w:sz w:val="24"/>
        </w:rPr>
      </w:pPr>
      <w:r>
        <w:rPr>
          <w:rFonts w:hint="eastAsia"/>
          <w:bCs/>
          <w:sz w:val="24"/>
        </w:rPr>
        <w:t>（</w:t>
      </w:r>
      <w:r>
        <w:rPr>
          <w:bCs/>
          <w:sz w:val="24"/>
        </w:rPr>
        <w:t>2</w:t>
      </w:r>
      <w:r>
        <w:rPr>
          <w:rFonts w:hint="eastAsia"/>
          <w:bCs/>
          <w:sz w:val="24"/>
        </w:rPr>
        <w:t>）本基金每个交易日日终在扣除国债期货合约需缴纳的交易保证金后，保持不低于基金资产净值</w:t>
      </w:r>
      <w:r>
        <w:rPr>
          <w:bCs/>
          <w:sz w:val="24"/>
        </w:rPr>
        <w:t>5</w:t>
      </w:r>
      <w:r>
        <w:rPr>
          <w:rFonts w:hint="eastAsia"/>
          <w:bCs/>
          <w:sz w:val="24"/>
        </w:rPr>
        <w:t>％的现金或者到期日在一年以内的政府债券，其中现金不包括结算备付金、存出保证金、应收申购款等；</w:t>
      </w:r>
    </w:p>
    <w:p w14:paraId="0E001897" w14:textId="77777777" w:rsidR="005A59EB" w:rsidRDefault="00C555D5">
      <w:pPr>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）本基金持有一家公司发行的证券（同一家公司在内地和香港同时上市的</w:t>
      </w:r>
      <w:r>
        <w:rPr>
          <w:bCs/>
          <w:sz w:val="24"/>
        </w:rPr>
        <w:t>A+H</w:t>
      </w:r>
      <w:r>
        <w:rPr>
          <w:rFonts w:hint="eastAsia"/>
          <w:bCs/>
          <w:sz w:val="24"/>
        </w:rPr>
        <w:t>股合计计算，不含本基金所投资的基金份额），其市值不超过基金资产净值的</w:t>
      </w:r>
      <w:r>
        <w:rPr>
          <w:bCs/>
          <w:sz w:val="24"/>
        </w:rPr>
        <w:t>10</w:t>
      </w:r>
      <w:r>
        <w:rPr>
          <w:rFonts w:hint="eastAsia"/>
          <w:bCs/>
          <w:sz w:val="24"/>
        </w:rPr>
        <w:t>％；</w:t>
      </w:r>
    </w:p>
    <w:p w14:paraId="34BC1FF7" w14:textId="77777777" w:rsidR="005A59EB" w:rsidRDefault="00C555D5">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）本基金管理人管理的全部基金持有一家公司发行的证券（同一家公司在内地和香港同时上市的</w:t>
      </w:r>
      <w:r>
        <w:rPr>
          <w:bCs/>
          <w:sz w:val="24"/>
        </w:rPr>
        <w:t>A+H</w:t>
      </w:r>
      <w:r>
        <w:rPr>
          <w:rFonts w:hint="eastAsia"/>
          <w:bCs/>
          <w:sz w:val="24"/>
        </w:rPr>
        <w:t>股合计计算，不含本基金所投资的基金份额），不超过该证券的</w:t>
      </w:r>
      <w:r>
        <w:rPr>
          <w:bCs/>
          <w:sz w:val="24"/>
        </w:rPr>
        <w:t>10</w:t>
      </w:r>
      <w:r>
        <w:rPr>
          <w:rFonts w:hint="eastAsia"/>
          <w:bCs/>
          <w:sz w:val="24"/>
        </w:rPr>
        <w:t>％；</w:t>
      </w:r>
    </w:p>
    <w:p w14:paraId="302308AB" w14:textId="77777777" w:rsidR="005A59EB" w:rsidRDefault="00C555D5">
      <w:pPr>
        <w:spacing w:line="360" w:lineRule="auto"/>
        <w:ind w:firstLineChars="200" w:firstLine="480"/>
        <w:rPr>
          <w:bCs/>
          <w:sz w:val="24"/>
        </w:rPr>
      </w:pPr>
      <w:r>
        <w:rPr>
          <w:rFonts w:hint="eastAsia"/>
          <w:bCs/>
          <w:sz w:val="24"/>
        </w:rPr>
        <w:t>（</w:t>
      </w:r>
      <w:r>
        <w:rPr>
          <w:bCs/>
          <w:sz w:val="24"/>
        </w:rPr>
        <w:t>5</w:t>
      </w:r>
      <w:r>
        <w:rPr>
          <w:rFonts w:hint="eastAsia"/>
          <w:bCs/>
          <w:sz w:val="24"/>
        </w:rPr>
        <w:t>）本基金投资于</w:t>
      </w:r>
      <w:r>
        <w:rPr>
          <w:rFonts w:hint="eastAsia"/>
          <w:bCs/>
          <w:sz w:val="24"/>
        </w:rPr>
        <w:t>同一原始权益人的各类资产支持证券的比例，不得超过基金资产净值的</w:t>
      </w:r>
      <w:r>
        <w:rPr>
          <w:bCs/>
          <w:sz w:val="24"/>
        </w:rPr>
        <w:t>10</w:t>
      </w:r>
      <w:r>
        <w:rPr>
          <w:rFonts w:hint="eastAsia"/>
          <w:bCs/>
          <w:sz w:val="24"/>
        </w:rPr>
        <w:t>％；</w:t>
      </w:r>
    </w:p>
    <w:p w14:paraId="4B105BF7" w14:textId="77777777" w:rsidR="005A59EB" w:rsidRDefault="00C555D5">
      <w:pPr>
        <w:spacing w:line="360" w:lineRule="auto"/>
        <w:ind w:firstLineChars="200" w:firstLine="48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Pr>
          <w:rFonts w:hint="eastAsia"/>
          <w:bCs/>
          <w:sz w:val="24"/>
        </w:rPr>
        <w:t>％；</w:t>
      </w:r>
    </w:p>
    <w:p w14:paraId="4DA4F662" w14:textId="77777777" w:rsidR="005A59EB" w:rsidRDefault="00C555D5">
      <w:pPr>
        <w:spacing w:line="360" w:lineRule="auto"/>
        <w:ind w:firstLineChars="200" w:firstLine="480"/>
        <w:rPr>
          <w:bCs/>
          <w:sz w:val="24"/>
        </w:rPr>
      </w:pPr>
      <w:r>
        <w:rPr>
          <w:rFonts w:hint="eastAsia"/>
          <w:bCs/>
          <w:sz w:val="24"/>
        </w:rPr>
        <w:t>（</w:t>
      </w:r>
      <w:r>
        <w:rPr>
          <w:bCs/>
          <w:sz w:val="24"/>
        </w:rPr>
        <w:t>7</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4C8CFDC5" w14:textId="77777777" w:rsidR="005A59EB" w:rsidRDefault="00C555D5">
      <w:pPr>
        <w:spacing w:line="360" w:lineRule="auto"/>
        <w:ind w:firstLineChars="200" w:firstLine="48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57F0452F" w14:textId="77777777" w:rsidR="005A59EB" w:rsidRDefault="00C555D5">
      <w:pPr>
        <w:spacing w:line="360" w:lineRule="auto"/>
        <w:ind w:firstLineChars="200" w:firstLine="480"/>
        <w:rPr>
          <w:bCs/>
          <w:sz w:val="24"/>
        </w:rPr>
      </w:pPr>
      <w:r>
        <w:rPr>
          <w:rFonts w:hint="eastAsia"/>
          <w:bCs/>
          <w:sz w:val="24"/>
        </w:rPr>
        <w:lastRenderedPageBreak/>
        <w:t>（</w:t>
      </w:r>
      <w:r>
        <w:rPr>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14:paraId="379AF504" w14:textId="77777777" w:rsidR="005A59EB" w:rsidRDefault="00C555D5">
      <w:pPr>
        <w:spacing w:line="360" w:lineRule="auto"/>
        <w:ind w:firstLineChars="200" w:firstLine="480"/>
        <w:rPr>
          <w:bCs/>
          <w:sz w:val="24"/>
        </w:rPr>
      </w:pPr>
      <w:r>
        <w:rPr>
          <w:rFonts w:hint="eastAsia"/>
          <w:bCs/>
          <w:sz w:val="24"/>
        </w:rPr>
        <w:t>（</w:t>
      </w:r>
      <w:r>
        <w:rPr>
          <w:bCs/>
          <w:sz w:val="24"/>
        </w:rPr>
        <w:t>10</w:t>
      </w:r>
      <w:r>
        <w:rPr>
          <w:rFonts w:hint="eastAsia"/>
          <w:bCs/>
          <w:sz w:val="24"/>
        </w:rPr>
        <w:t>）本基金总资产不得超过基金净资产的</w:t>
      </w:r>
      <w:r>
        <w:rPr>
          <w:bCs/>
          <w:sz w:val="24"/>
        </w:rPr>
        <w:t>140%</w:t>
      </w:r>
      <w:r>
        <w:rPr>
          <w:rFonts w:hint="eastAsia"/>
          <w:bCs/>
          <w:sz w:val="24"/>
        </w:rPr>
        <w:t>；</w:t>
      </w:r>
    </w:p>
    <w:p w14:paraId="4EB6653B" w14:textId="77777777" w:rsidR="005A59EB" w:rsidRDefault="00C555D5">
      <w:pPr>
        <w:spacing w:line="360" w:lineRule="auto"/>
        <w:ind w:firstLineChars="200" w:firstLine="480"/>
        <w:rPr>
          <w:bCs/>
          <w:sz w:val="24"/>
        </w:rPr>
      </w:pPr>
      <w:r>
        <w:rPr>
          <w:rFonts w:hint="eastAsia"/>
          <w:bCs/>
          <w:sz w:val="24"/>
        </w:rPr>
        <w:t>（</w:t>
      </w:r>
      <w:r>
        <w:rPr>
          <w:bCs/>
          <w:sz w:val="24"/>
        </w:rPr>
        <w:t>11</w:t>
      </w:r>
      <w:r>
        <w:rPr>
          <w:rFonts w:hint="eastAsia"/>
          <w:bCs/>
          <w:sz w:val="24"/>
        </w:rPr>
        <w:t>）本基金参与国债期货交易时，应当符合下列投资限制：</w:t>
      </w:r>
    </w:p>
    <w:p w14:paraId="46566CEA" w14:textId="77777777" w:rsidR="005A59EB" w:rsidRDefault="00C555D5">
      <w:pPr>
        <w:spacing w:line="360" w:lineRule="auto"/>
        <w:ind w:firstLineChars="200" w:firstLine="480"/>
        <w:rPr>
          <w:bCs/>
          <w:sz w:val="24"/>
        </w:rPr>
      </w:pPr>
      <w:r>
        <w:rPr>
          <w:rFonts w:hint="eastAsia"/>
          <w:bCs/>
          <w:sz w:val="24"/>
        </w:rPr>
        <w:t>①本基金在任何交易日日终，持有的买入国债期货合约价值，不得超过基金资产净值的</w:t>
      </w:r>
      <w:r>
        <w:rPr>
          <w:bCs/>
          <w:sz w:val="24"/>
        </w:rPr>
        <w:t>15%</w:t>
      </w:r>
      <w:r>
        <w:rPr>
          <w:rFonts w:hint="eastAsia"/>
          <w:bCs/>
          <w:sz w:val="24"/>
        </w:rPr>
        <w:t>；</w:t>
      </w:r>
    </w:p>
    <w:p w14:paraId="7C9D16BC" w14:textId="77777777" w:rsidR="005A59EB" w:rsidRDefault="00C555D5">
      <w:pPr>
        <w:spacing w:line="360" w:lineRule="auto"/>
        <w:ind w:firstLineChars="200" w:firstLine="480"/>
        <w:rPr>
          <w:bCs/>
          <w:sz w:val="24"/>
        </w:rPr>
      </w:pPr>
      <w:r>
        <w:rPr>
          <w:rFonts w:hint="eastAsia"/>
          <w:bCs/>
          <w:sz w:val="24"/>
        </w:rPr>
        <w:t>②本基金在任何交易日日终，持有的卖出国债期货合约价值不得超过基金持有的债券总市值的</w:t>
      </w:r>
      <w:r>
        <w:rPr>
          <w:bCs/>
          <w:sz w:val="24"/>
        </w:rPr>
        <w:t>30%</w:t>
      </w:r>
      <w:r>
        <w:rPr>
          <w:rFonts w:hint="eastAsia"/>
          <w:bCs/>
          <w:sz w:val="24"/>
        </w:rPr>
        <w:t>；</w:t>
      </w:r>
    </w:p>
    <w:p w14:paraId="317E204F" w14:textId="77777777" w:rsidR="005A59EB" w:rsidRDefault="00C555D5">
      <w:pPr>
        <w:spacing w:line="360" w:lineRule="auto"/>
        <w:ind w:firstLineChars="200" w:firstLine="480"/>
        <w:rPr>
          <w:bCs/>
          <w:sz w:val="24"/>
        </w:rPr>
      </w:pPr>
      <w:r>
        <w:rPr>
          <w:rFonts w:hint="eastAsia"/>
          <w:bCs/>
          <w:sz w:val="24"/>
        </w:rPr>
        <w:t>③本基金所持有的债券</w:t>
      </w:r>
      <w:r>
        <w:rPr>
          <w:bCs/>
          <w:sz w:val="24"/>
        </w:rPr>
        <w:t>(</w:t>
      </w:r>
      <w:r>
        <w:rPr>
          <w:rFonts w:hint="eastAsia"/>
          <w:bCs/>
          <w:sz w:val="24"/>
        </w:rPr>
        <w:t>不含到期日在一年以内的政府债券</w:t>
      </w:r>
      <w:r>
        <w:rPr>
          <w:bCs/>
          <w:sz w:val="24"/>
        </w:rPr>
        <w:t>)</w:t>
      </w:r>
      <w:r>
        <w:rPr>
          <w:rFonts w:hint="eastAsia"/>
          <w:bCs/>
          <w:sz w:val="24"/>
        </w:rPr>
        <w:t>市值和买入、卖出国债期货合约价值，合计</w:t>
      </w:r>
      <w:r>
        <w:rPr>
          <w:bCs/>
          <w:sz w:val="24"/>
        </w:rPr>
        <w:t>(</w:t>
      </w:r>
      <w:r>
        <w:rPr>
          <w:rFonts w:hint="eastAsia"/>
          <w:bCs/>
          <w:sz w:val="24"/>
        </w:rPr>
        <w:t>轧差计算</w:t>
      </w:r>
      <w:r>
        <w:rPr>
          <w:bCs/>
          <w:sz w:val="24"/>
        </w:rPr>
        <w:t>)</w:t>
      </w:r>
      <w:r>
        <w:rPr>
          <w:rFonts w:hint="eastAsia"/>
          <w:bCs/>
          <w:sz w:val="24"/>
        </w:rPr>
        <w:t>应当符合基金合同关于债券投资比例的有关约定，即不低于基金资产的</w:t>
      </w:r>
      <w:r>
        <w:rPr>
          <w:bCs/>
          <w:sz w:val="24"/>
        </w:rPr>
        <w:t>80%</w:t>
      </w:r>
      <w:r>
        <w:rPr>
          <w:rFonts w:hint="eastAsia"/>
          <w:bCs/>
          <w:sz w:val="24"/>
        </w:rPr>
        <w:t>；</w:t>
      </w:r>
    </w:p>
    <w:p w14:paraId="4EAA53D6" w14:textId="77777777" w:rsidR="005A59EB" w:rsidRDefault="00C555D5">
      <w:pPr>
        <w:spacing w:line="360" w:lineRule="auto"/>
        <w:ind w:firstLineChars="200" w:firstLine="480"/>
        <w:rPr>
          <w:bCs/>
          <w:sz w:val="24"/>
        </w:rPr>
      </w:pPr>
      <w:r>
        <w:rPr>
          <w:rFonts w:hint="eastAsia"/>
          <w:bCs/>
          <w:sz w:val="24"/>
        </w:rPr>
        <w:t>④本基金在任何交易日内交易（不包括平仓）的国债期货合约</w:t>
      </w:r>
      <w:r>
        <w:rPr>
          <w:rFonts w:hint="eastAsia"/>
          <w:bCs/>
          <w:sz w:val="24"/>
        </w:rPr>
        <w:t>的成交金额不得超过上一交易日基金资产净值的</w:t>
      </w:r>
      <w:r>
        <w:rPr>
          <w:bCs/>
          <w:sz w:val="24"/>
        </w:rPr>
        <w:t>30%</w:t>
      </w:r>
      <w:r>
        <w:rPr>
          <w:rFonts w:hint="eastAsia"/>
          <w:bCs/>
          <w:sz w:val="24"/>
        </w:rPr>
        <w:t>；</w:t>
      </w:r>
    </w:p>
    <w:p w14:paraId="775F0A1C" w14:textId="77777777" w:rsidR="005A59EB" w:rsidRDefault="00C555D5">
      <w:pPr>
        <w:spacing w:line="360" w:lineRule="auto"/>
        <w:ind w:firstLineChars="200" w:firstLine="480"/>
        <w:rPr>
          <w:bCs/>
          <w:sz w:val="24"/>
        </w:rPr>
      </w:pPr>
      <w:r>
        <w:rPr>
          <w:rFonts w:hint="eastAsia"/>
          <w:bCs/>
          <w:sz w:val="24"/>
        </w:rPr>
        <w:t>（</w:t>
      </w:r>
      <w:r>
        <w:rPr>
          <w:bCs/>
          <w:sz w:val="24"/>
        </w:rPr>
        <w:t>12</w:t>
      </w:r>
      <w:r>
        <w:rPr>
          <w:rFonts w:hint="eastAsia"/>
          <w:bCs/>
          <w:sz w:val="24"/>
        </w:rPr>
        <w:t>）本基金不持有具有信用保护卖方属性的信用衍生品，不持有合约类信用衍生品；本基金投资的信用衍生品名义本金不得超过本基金中对应受保护债券面值的</w:t>
      </w:r>
      <w:r>
        <w:rPr>
          <w:bCs/>
          <w:sz w:val="24"/>
        </w:rPr>
        <w:t>100%</w:t>
      </w:r>
      <w:r>
        <w:rPr>
          <w:rFonts w:hint="eastAsia"/>
          <w:bCs/>
          <w:sz w:val="24"/>
        </w:rPr>
        <w:t>；投资于同一信用保护卖方的各类信用衍生品名义本金合计不得超过基金资产净值的</w:t>
      </w:r>
      <w:r>
        <w:rPr>
          <w:bCs/>
          <w:sz w:val="24"/>
        </w:rPr>
        <w:t>10%</w:t>
      </w:r>
      <w:r>
        <w:rPr>
          <w:rFonts w:hint="eastAsia"/>
          <w:bCs/>
          <w:sz w:val="24"/>
        </w:rPr>
        <w:t>；因证券</w:t>
      </w:r>
      <w:r>
        <w:rPr>
          <w:bCs/>
          <w:sz w:val="24"/>
        </w:rPr>
        <w:t>/</w:t>
      </w:r>
      <w:r>
        <w:rPr>
          <w:rFonts w:hint="eastAsia"/>
          <w:bCs/>
          <w:sz w:val="24"/>
        </w:rPr>
        <w:t>期货市场波动、证券发行人合并、基金规模变动等基金管理人之外的因素致使基金投资比例不符合上述规定投资比例的，基金管理人应当在</w:t>
      </w:r>
      <w:r>
        <w:rPr>
          <w:bCs/>
          <w:sz w:val="24"/>
        </w:rPr>
        <w:t>3</w:t>
      </w:r>
      <w:r>
        <w:rPr>
          <w:rFonts w:hint="eastAsia"/>
          <w:bCs/>
          <w:sz w:val="24"/>
        </w:rPr>
        <w:t>个月内进行调整；</w:t>
      </w:r>
    </w:p>
    <w:p w14:paraId="1413DE6B" w14:textId="77777777" w:rsidR="005A59EB" w:rsidRDefault="00C555D5">
      <w:pPr>
        <w:spacing w:line="360" w:lineRule="auto"/>
        <w:ind w:firstLineChars="200" w:firstLine="480"/>
        <w:rPr>
          <w:bCs/>
          <w:sz w:val="24"/>
        </w:rPr>
      </w:pPr>
      <w:r>
        <w:rPr>
          <w:rFonts w:hint="eastAsia"/>
          <w:bCs/>
          <w:sz w:val="24"/>
        </w:rPr>
        <w:t>（</w:t>
      </w:r>
      <w:r>
        <w:rPr>
          <w:bCs/>
          <w:sz w:val="24"/>
        </w:rPr>
        <w:t>13</w:t>
      </w:r>
      <w:r>
        <w:rPr>
          <w:rFonts w:hint="eastAsia"/>
          <w:bCs/>
          <w:sz w:val="24"/>
        </w:rPr>
        <w:t>）本基金管理人管理的全部开放式基金（包括开放式基金以及处于开放期的定期</w:t>
      </w:r>
      <w:r>
        <w:rPr>
          <w:rFonts w:hint="eastAsia"/>
          <w:bCs/>
          <w:sz w:val="24"/>
        </w:rPr>
        <w:t>开放基金）持有一家上市公司发行的可流通股票，不得超过该上市公司可流通股票的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w:t>
      </w:r>
    </w:p>
    <w:p w14:paraId="5948674A" w14:textId="77777777" w:rsidR="005A59EB" w:rsidRDefault="00C555D5">
      <w:pPr>
        <w:spacing w:line="360" w:lineRule="auto"/>
        <w:ind w:firstLineChars="200" w:firstLine="480"/>
        <w:rPr>
          <w:bCs/>
          <w:sz w:val="24"/>
        </w:rPr>
      </w:pPr>
      <w:r>
        <w:rPr>
          <w:rFonts w:hint="eastAsia"/>
          <w:bCs/>
          <w:sz w:val="24"/>
        </w:rPr>
        <w:t>（</w:t>
      </w:r>
      <w:r>
        <w:rPr>
          <w:bCs/>
          <w:sz w:val="24"/>
        </w:rPr>
        <w:t>14</w:t>
      </w:r>
      <w:r>
        <w:rPr>
          <w:rFonts w:hint="eastAsia"/>
          <w:bCs/>
          <w:sz w:val="24"/>
        </w:rPr>
        <w:t>）本基金主动投资于流动性受限资产（含封闭运作基金及定期开放式基金等流通受限基金）的市值合计不得超过基金资产净值的</w:t>
      </w:r>
      <w:r>
        <w:rPr>
          <w:bCs/>
          <w:sz w:val="24"/>
        </w:rPr>
        <w:t>15%</w:t>
      </w:r>
      <w:r>
        <w:rPr>
          <w:rFonts w:hint="eastAsia"/>
          <w:bCs/>
          <w:sz w:val="24"/>
        </w:rPr>
        <w:t>；因证券</w:t>
      </w:r>
      <w:r>
        <w:rPr>
          <w:rFonts w:hint="eastAsia"/>
          <w:bCs/>
          <w:sz w:val="24"/>
        </w:rPr>
        <w:t>/</w:t>
      </w:r>
      <w:r>
        <w:rPr>
          <w:rFonts w:hint="eastAsia"/>
          <w:bCs/>
          <w:sz w:val="24"/>
        </w:rPr>
        <w:t>期货市场波动、上市公司股票停牌、所投资基金暂停或延期办理赎回申请、基金规模变动等基金管理人之外的因素致使基金不符合本款所规定比例限制的，本基金管理人不得主动新增流动性受限资产的投资；</w:t>
      </w:r>
    </w:p>
    <w:p w14:paraId="49AF7978" w14:textId="77777777" w:rsidR="005A59EB" w:rsidRDefault="00C555D5">
      <w:pPr>
        <w:spacing w:line="360" w:lineRule="auto"/>
        <w:ind w:firstLineChars="200" w:firstLine="480"/>
        <w:rPr>
          <w:bCs/>
          <w:sz w:val="24"/>
        </w:rPr>
      </w:pPr>
      <w:r>
        <w:rPr>
          <w:rFonts w:hint="eastAsia"/>
          <w:bCs/>
          <w:sz w:val="24"/>
        </w:rPr>
        <w:t>（</w:t>
      </w:r>
      <w:r>
        <w:rPr>
          <w:bCs/>
          <w:sz w:val="24"/>
        </w:rPr>
        <w:t>15</w:t>
      </w:r>
      <w:r>
        <w:rPr>
          <w:rFonts w:hint="eastAsia"/>
          <w:bCs/>
          <w:sz w:val="24"/>
        </w:rPr>
        <w:t>）</w:t>
      </w:r>
      <w:r>
        <w:rPr>
          <w:rFonts w:hint="eastAsia"/>
          <w:bCs/>
          <w:sz w:val="24"/>
        </w:rPr>
        <w:t>本基金与私募类证券资管产品及中国证监会认定的其他主体为交易对手开展逆回购交易的，可接受质押品的资质要求应当与基金合同约定的投资范围</w:t>
      </w:r>
      <w:r>
        <w:rPr>
          <w:rFonts w:hint="eastAsia"/>
          <w:bCs/>
          <w:sz w:val="24"/>
        </w:rPr>
        <w:lastRenderedPageBreak/>
        <w:t>保持一致；</w:t>
      </w:r>
    </w:p>
    <w:p w14:paraId="6BD3C689" w14:textId="77777777" w:rsidR="005A59EB" w:rsidRDefault="00C555D5">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）本基金投资存托凭证的比例限制依照境内上市交易的股票执行，与境内上市交易的股票合并计算；</w:t>
      </w:r>
    </w:p>
    <w:p w14:paraId="36745CB9" w14:textId="77777777" w:rsidR="005A59EB" w:rsidRDefault="00C555D5">
      <w:pPr>
        <w:spacing w:line="360" w:lineRule="auto"/>
        <w:ind w:firstLineChars="200" w:firstLine="480"/>
        <w:rPr>
          <w:bCs/>
          <w:sz w:val="24"/>
        </w:rPr>
      </w:pPr>
      <w:r>
        <w:rPr>
          <w:rFonts w:hint="eastAsia"/>
          <w:bCs/>
          <w:sz w:val="24"/>
        </w:rPr>
        <w:t>（</w:t>
      </w:r>
      <w:r>
        <w:rPr>
          <w:bCs/>
          <w:sz w:val="24"/>
        </w:rPr>
        <w:t>17</w:t>
      </w:r>
      <w:r>
        <w:rPr>
          <w:rFonts w:hint="eastAsia"/>
          <w:bCs/>
          <w:sz w:val="24"/>
        </w:rPr>
        <w:t>）本基金管理人管理的全部基金（</w:t>
      </w:r>
      <w:r>
        <w:rPr>
          <w:bCs/>
          <w:sz w:val="24"/>
        </w:rPr>
        <w:t>ETF</w:t>
      </w:r>
      <w:r>
        <w:rPr>
          <w:rFonts w:hint="eastAsia"/>
          <w:bCs/>
          <w:sz w:val="24"/>
        </w:rPr>
        <w:t>联接基金除外）持有单只基金不得超过被投资基金净资产的</w:t>
      </w:r>
      <w:r>
        <w:rPr>
          <w:bCs/>
          <w:sz w:val="24"/>
        </w:rPr>
        <w:t>20%</w:t>
      </w:r>
      <w:r>
        <w:rPr>
          <w:rFonts w:hint="eastAsia"/>
          <w:bCs/>
          <w:sz w:val="24"/>
        </w:rPr>
        <w:t>，被投资基金净资产规模以最近定期报告披露的规模为准；</w:t>
      </w:r>
    </w:p>
    <w:p w14:paraId="2915EEDD" w14:textId="77777777" w:rsidR="005A59EB" w:rsidRDefault="00C555D5">
      <w:pPr>
        <w:spacing w:line="360" w:lineRule="auto"/>
        <w:ind w:firstLineChars="200" w:firstLine="480"/>
        <w:rPr>
          <w:bCs/>
          <w:sz w:val="24"/>
        </w:rPr>
      </w:pPr>
      <w:r>
        <w:rPr>
          <w:rFonts w:hint="eastAsia"/>
          <w:bCs/>
          <w:sz w:val="24"/>
        </w:rPr>
        <w:t>（</w:t>
      </w:r>
      <w:r>
        <w:rPr>
          <w:bCs/>
          <w:sz w:val="24"/>
        </w:rPr>
        <w:t>18</w:t>
      </w:r>
      <w:r>
        <w:rPr>
          <w:rFonts w:hint="eastAsia"/>
          <w:bCs/>
          <w:sz w:val="24"/>
        </w:rPr>
        <w:t>）本基金不得持有基金中基金，以及具有复杂、衍生品性质的基金份额，包括分级基金和中国证监会认定的其他基金份额；</w:t>
      </w:r>
    </w:p>
    <w:p w14:paraId="49795CF7" w14:textId="77777777" w:rsidR="005A59EB" w:rsidRDefault="00C555D5">
      <w:pPr>
        <w:spacing w:line="360" w:lineRule="auto"/>
        <w:ind w:firstLineChars="200" w:firstLine="480"/>
        <w:rPr>
          <w:bCs/>
          <w:sz w:val="24"/>
        </w:rPr>
      </w:pPr>
      <w:r>
        <w:rPr>
          <w:rFonts w:hint="eastAsia"/>
          <w:bCs/>
          <w:sz w:val="24"/>
        </w:rPr>
        <w:t>（</w:t>
      </w:r>
      <w:r>
        <w:rPr>
          <w:bCs/>
          <w:sz w:val="24"/>
        </w:rPr>
        <w:t>19</w:t>
      </w:r>
      <w:r>
        <w:rPr>
          <w:rFonts w:hint="eastAsia"/>
          <w:bCs/>
          <w:sz w:val="24"/>
        </w:rPr>
        <w:t>）本基金投资其他基金时，被投资基金的运作期限应当不少于</w:t>
      </w:r>
      <w:r>
        <w:rPr>
          <w:bCs/>
          <w:sz w:val="24"/>
        </w:rPr>
        <w:t>1</w:t>
      </w:r>
      <w:r>
        <w:rPr>
          <w:rFonts w:hint="eastAsia"/>
          <w:bCs/>
          <w:sz w:val="24"/>
        </w:rPr>
        <w:t>年，最近定期报告披露的基金净资产应当不低于</w:t>
      </w:r>
      <w:r>
        <w:rPr>
          <w:bCs/>
          <w:sz w:val="24"/>
        </w:rPr>
        <w:t>1</w:t>
      </w:r>
      <w:r>
        <w:rPr>
          <w:rFonts w:hint="eastAsia"/>
          <w:bCs/>
          <w:sz w:val="24"/>
        </w:rPr>
        <w:t>亿元；</w:t>
      </w:r>
    </w:p>
    <w:p w14:paraId="4FF050E9" w14:textId="77777777" w:rsidR="005A59EB" w:rsidRDefault="00C555D5">
      <w:pPr>
        <w:spacing w:line="360" w:lineRule="auto"/>
        <w:ind w:firstLineChars="200" w:firstLine="480"/>
        <w:rPr>
          <w:bCs/>
          <w:sz w:val="24"/>
        </w:rPr>
      </w:pPr>
      <w:r>
        <w:rPr>
          <w:rFonts w:hint="eastAsia"/>
          <w:bCs/>
          <w:sz w:val="24"/>
        </w:rPr>
        <w:t>（</w:t>
      </w:r>
      <w:r>
        <w:rPr>
          <w:bCs/>
          <w:sz w:val="24"/>
        </w:rPr>
        <w:t>20</w:t>
      </w:r>
      <w:r>
        <w:rPr>
          <w:rFonts w:hint="eastAsia"/>
          <w:bCs/>
          <w:sz w:val="24"/>
        </w:rPr>
        <w:t>）法律法规及中国证监会规定的和《基金合同》约定的其他投资限制。</w:t>
      </w:r>
    </w:p>
    <w:p w14:paraId="515CEB09" w14:textId="77777777" w:rsidR="005A59EB" w:rsidRDefault="00C555D5">
      <w:pPr>
        <w:spacing w:line="360" w:lineRule="auto"/>
        <w:ind w:firstLineChars="200" w:firstLine="480"/>
        <w:rPr>
          <w:bCs/>
          <w:sz w:val="24"/>
        </w:rPr>
      </w:pPr>
      <w:r>
        <w:rPr>
          <w:rFonts w:hint="eastAsia"/>
          <w:bCs/>
          <w:sz w:val="24"/>
        </w:rPr>
        <w:t>因证券</w:t>
      </w:r>
      <w:r>
        <w:rPr>
          <w:bCs/>
          <w:sz w:val="24"/>
        </w:rPr>
        <w:t>/</w:t>
      </w:r>
      <w:r>
        <w:rPr>
          <w:rFonts w:hint="eastAsia"/>
          <w:bCs/>
          <w:sz w:val="24"/>
        </w:rPr>
        <w:t>期货市场波动、基金规模变动等基金管理人之外的因素致使基金投资不符合上述第（</w:t>
      </w:r>
      <w:r>
        <w:rPr>
          <w:bCs/>
          <w:sz w:val="24"/>
        </w:rPr>
        <w:t>17</w:t>
      </w:r>
      <w:r>
        <w:rPr>
          <w:rFonts w:hint="eastAsia"/>
          <w:bCs/>
          <w:sz w:val="24"/>
        </w:rPr>
        <w:t>）规定的投资比例的，基金管理人应当在</w:t>
      </w:r>
      <w:r>
        <w:rPr>
          <w:bCs/>
          <w:sz w:val="24"/>
        </w:rPr>
        <w:t>20</w:t>
      </w:r>
      <w:r>
        <w:rPr>
          <w:rFonts w:hint="eastAsia"/>
          <w:bCs/>
          <w:sz w:val="24"/>
        </w:rPr>
        <w:t>个交易日内进行调整，但中国证监会规定的特殊情形除外。除上述第（</w:t>
      </w:r>
      <w:r>
        <w:rPr>
          <w:bCs/>
          <w:sz w:val="24"/>
        </w:rPr>
        <w:t>2</w:t>
      </w:r>
      <w:r>
        <w:rPr>
          <w:rFonts w:hint="eastAsia"/>
          <w:bCs/>
          <w:sz w:val="24"/>
        </w:rPr>
        <w:t>）、（</w:t>
      </w:r>
      <w:r>
        <w:rPr>
          <w:bCs/>
          <w:sz w:val="24"/>
        </w:rPr>
        <w:t>9</w:t>
      </w:r>
      <w:r>
        <w:rPr>
          <w:rFonts w:hint="eastAsia"/>
          <w:bCs/>
          <w:sz w:val="24"/>
        </w:rPr>
        <w:t>）、（</w:t>
      </w:r>
      <w:r>
        <w:rPr>
          <w:bCs/>
          <w:sz w:val="24"/>
        </w:rPr>
        <w:t>12</w:t>
      </w:r>
      <w:r>
        <w:rPr>
          <w:rFonts w:hint="eastAsia"/>
          <w:bCs/>
          <w:sz w:val="24"/>
        </w:rPr>
        <w:t>）、（</w:t>
      </w:r>
      <w:r>
        <w:rPr>
          <w:bCs/>
          <w:sz w:val="24"/>
        </w:rPr>
        <w:t>14</w:t>
      </w:r>
      <w:r>
        <w:rPr>
          <w:rFonts w:hint="eastAsia"/>
          <w:bCs/>
          <w:sz w:val="24"/>
        </w:rPr>
        <w:t>）、（</w:t>
      </w:r>
      <w:r>
        <w:rPr>
          <w:bCs/>
          <w:sz w:val="24"/>
        </w:rPr>
        <w:t>15</w:t>
      </w:r>
      <w:r>
        <w:rPr>
          <w:rFonts w:hint="eastAsia"/>
          <w:bCs/>
          <w:sz w:val="24"/>
        </w:rPr>
        <w:t>）、（</w:t>
      </w:r>
      <w:r>
        <w:rPr>
          <w:bCs/>
          <w:sz w:val="24"/>
        </w:rPr>
        <w:t>17</w:t>
      </w:r>
      <w:r>
        <w:rPr>
          <w:rFonts w:hint="eastAsia"/>
          <w:bCs/>
          <w:sz w:val="24"/>
        </w:rPr>
        <w:t>）项外，因证券</w:t>
      </w:r>
      <w:r>
        <w:rPr>
          <w:bCs/>
          <w:sz w:val="24"/>
        </w:rPr>
        <w:t>/</w:t>
      </w:r>
      <w:r>
        <w:rPr>
          <w:rFonts w:hint="eastAsia"/>
          <w:bCs/>
          <w:sz w:val="24"/>
        </w:rPr>
        <w:t>期货市场波动、上市公司合并、基金规模变动等基金管理人之外的因素致使基金投资比</w:t>
      </w:r>
      <w:r>
        <w:rPr>
          <w:rFonts w:hint="eastAsia"/>
          <w:bCs/>
          <w:sz w:val="24"/>
        </w:rPr>
        <w:t>例不符合上述规定投资比例的，基金管理人应当在</w:t>
      </w:r>
      <w:r>
        <w:rPr>
          <w:bCs/>
          <w:sz w:val="24"/>
        </w:rPr>
        <w:t>10</w:t>
      </w:r>
      <w:r>
        <w:rPr>
          <w:rFonts w:hint="eastAsia"/>
          <w:bCs/>
          <w:sz w:val="24"/>
        </w:rPr>
        <w:t>个交易日内进行调整，但中国证监会规定的特殊情形除外。</w:t>
      </w:r>
    </w:p>
    <w:p w14:paraId="74B1A3CA" w14:textId="77777777" w:rsidR="005A59EB" w:rsidRDefault="00C555D5">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BEDAC98" w14:textId="77777777" w:rsidR="005A59EB" w:rsidRDefault="00C555D5">
      <w:pPr>
        <w:spacing w:line="360" w:lineRule="auto"/>
        <w:ind w:firstLineChars="200" w:firstLine="480"/>
        <w:rPr>
          <w:bCs/>
          <w:sz w:val="24"/>
        </w:rPr>
      </w:pPr>
      <w:r>
        <w:rPr>
          <w:rFonts w:hint="eastAsia"/>
          <w:bCs/>
          <w:sz w:val="24"/>
        </w:rPr>
        <w:t>法律法规或监管部门取消或调整上述限制的，如适用于本基金，基金管理人在履行适当程序后，则本基金投资不再受相关限制或按调整后的规定执行。</w:t>
      </w:r>
    </w:p>
    <w:bookmarkEnd w:id="5"/>
    <w:bookmarkEnd w:id="6"/>
    <w:p w14:paraId="080312CC" w14:textId="77777777" w:rsidR="005A59EB" w:rsidRDefault="00C555D5">
      <w:pPr>
        <w:pStyle w:val="2"/>
      </w:pPr>
      <w:r>
        <w:rPr>
          <w:rFonts w:hint="eastAsia"/>
        </w:rPr>
        <w:t>（三）基金托管人</w:t>
      </w:r>
      <w:bookmarkStart w:id="7" w:name="OLE_LINK1"/>
      <w:r>
        <w:rPr>
          <w:rFonts w:hint="eastAsia"/>
        </w:rPr>
        <w:t>根据有关法律法规的规定及《基金合同》、本协议的约</w:t>
      </w:r>
      <w:r>
        <w:rPr>
          <w:rFonts w:hint="eastAsia"/>
        </w:rPr>
        <w:t>定，</w:t>
      </w:r>
      <w:bookmarkEnd w:id="7"/>
      <w:r>
        <w:rPr>
          <w:rFonts w:hint="eastAsia"/>
        </w:rPr>
        <w:t>对基金投资禁止行为通过事后监督方式进行监督。</w:t>
      </w:r>
    </w:p>
    <w:p w14:paraId="78F4CBD6" w14:textId="77777777" w:rsidR="005A59EB" w:rsidRDefault="00C555D5">
      <w:pPr>
        <w:spacing w:line="360" w:lineRule="auto"/>
        <w:ind w:firstLineChars="200" w:firstLine="480"/>
        <w:rPr>
          <w:bCs/>
          <w:sz w:val="24"/>
        </w:rPr>
      </w:pPr>
      <w:r>
        <w:rPr>
          <w:rFonts w:hint="eastAsia"/>
          <w:bCs/>
          <w:sz w:val="24"/>
        </w:rPr>
        <w:t>1</w:t>
      </w:r>
      <w:r>
        <w:rPr>
          <w:rFonts w:hint="eastAsia"/>
          <w:bCs/>
          <w:sz w:val="24"/>
        </w:rPr>
        <w:t>）承销证券；</w:t>
      </w:r>
    </w:p>
    <w:p w14:paraId="623CC5A1" w14:textId="77777777" w:rsidR="005A59EB" w:rsidRDefault="00C555D5">
      <w:pPr>
        <w:spacing w:line="360" w:lineRule="auto"/>
        <w:ind w:firstLineChars="200" w:firstLine="480"/>
        <w:rPr>
          <w:bCs/>
          <w:sz w:val="24"/>
        </w:rPr>
      </w:pPr>
      <w:r>
        <w:rPr>
          <w:rFonts w:hint="eastAsia"/>
          <w:bCs/>
          <w:sz w:val="24"/>
        </w:rPr>
        <w:t>2</w:t>
      </w:r>
      <w:r>
        <w:rPr>
          <w:rFonts w:hint="eastAsia"/>
          <w:bCs/>
          <w:sz w:val="24"/>
        </w:rPr>
        <w:t>）违反规定向他人贷款或者提供担保；</w:t>
      </w:r>
    </w:p>
    <w:p w14:paraId="5076991D" w14:textId="77777777" w:rsidR="005A59EB" w:rsidRDefault="00C555D5">
      <w:pPr>
        <w:spacing w:line="360" w:lineRule="auto"/>
        <w:ind w:firstLineChars="200" w:firstLine="480"/>
        <w:rPr>
          <w:bCs/>
          <w:sz w:val="24"/>
        </w:rPr>
      </w:pPr>
      <w:r>
        <w:rPr>
          <w:rFonts w:hint="eastAsia"/>
          <w:bCs/>
          <w:sz w:val="24"/>
        </w:rPr>
        <w:t>3</w:t>
      </w:r>
      <w:r>
        <w:rPr>
          <w:rFonts w:hint="eastAsia"/>
          <w:bCs/>
          <w:sz w:val="24"/>
        </w:rPr>
        <w:t>）从事承担无限责任的投资；</w:t>
      </w:r>
    </w:p>
    <w:p w14:paraId="70DCCF64" w14:textId="77777777" w:rsidR="005A59EB" w:rsidRDefault="00C555D5">
      <w:pPr>
        <w:spacing w:line="360" w:lineRule="auto"/>
        <w:ind w:firstLineChars="200" w:firstLine="480"/>
        <w:rPr>
          <w:bCs/>
          <w:sz w:val="24"/>
        </w:rPr>
      </w:pPr>
      <w:r>
        <w:rPr>
          <w:rFonts w:hint="eastAsia"/>
          <w:bCs/>
          <w:sz w:val="24"/>
        </w:rPr>
        <w:t>4</w:t>
      </w:r>
      <w:r>
        <w:rPr>
          <w:rFonts w:hint="eastAsia"/>
          <w:bCs/>
          <w:sz w:val="24"/>
        </w:rPr>
        <w:t>）投资基金中基金、可投资其他基金的非基金中基金和本基金基金经理管理的其他基金，但是中国证监会另有规定的除外；持有具有复杂、衍生品性质的基金份额，包括分级基金和中国证监会认定的其他基金份额；</w:t>
      </w:r>
    </w:p>
    <w:p w14:paraId="620D11B5" w14:textId="77777777" w:rsidR="005A59EB" w:rsidRDefault="00C555D5">
      <w:pPr>
        <w:spacing w:line="360" w:lineRule="auto"/>
        <w:ind w:firstLineChars="200" w:firstLine="480"/>
        <w:rPr>
          <w:bCs/>
          <w:sz w:val="24"/>
        </w:rPr>
      </w:pPr>
      <w:r>
        <w:rPr>
          <w:rFonts w:hint="eastAsia"/>
          <w:bCs/>
          <w:sz w:val="24"/>
        </w:rPr>
        <w:lastRenderedPageBreak/>
        <w:t>5</w:t>
      </w:r>
      <w:r>
        <w:rPr>
          <w:rFonts w:hint="eastAsia"/>
          <w:bCs/>
          <w:sz w:val="24"/>
        </w:rPr>
        <w:t>）向其基金管理人、基金托管人出资；</w:t>
      </w:r>
    </w:p>
    <w:p w14:paraId="2A6D39A0" w14:textId="77777777" w:rsidR="005A59EB" w:rsidRDefault="00C555D5">
      <w:pPr>
        <w:spacing w:line="360" w:lineRule="auto"/>
        <w:ind w:firstLineChars="200" w:firstLine="480"/>
        <w:rPr>
          <w:bCs/>
          <w:sz w:val="24"/>
        </w:rPr>
      </w:pPr>
      <w:r>
        <w:rPr>
          <w:rFonts w:hint="eastAsia"/>
          <w:bCs/>
          <w:sz w:val="24"/>
        </w:rPr>
        <w:t>6</w:t>
      </w:r>
      <w:r>
        <w:rPr>
          <w:rFonts w:hint="eastAsia"/>
          <w:bCs/>
          <w:sz w:val="24"/>
        </w:rPr>
        <w:t>）从事内幕交易、操纵证券交易价格及其他不正当的证券交易活动；</w:t>
      </w:r>
    </w:p>
    <w:p w14:paraId="3B48860B" w14:textId="77777777" w:rsidR="005A59EB" w:rsidRDefault="00C555D5">
      <w:pPr>
        <w:spacing w:line="360" w:lineRule="auto"/>
        <w:ind w:firstLineChars="200" w:firstLine="480"/>
        <w:rPr>
          <w:bCs/>
          <w:sz w:val="24"/>
        </w:rPr>
      </w:pPr>
      <w:r>
        <w:rPr>
          <w:rFonts w:hint="eastAsia"/>
          <w:bCs/>
          <w:sz w:val="24"/>
        </w:rPr>
        <w:t>7</w:t>
      </w:r>
      <w:r>
        <w:rPr>
          <w:rFonts w:hint="eastAsia"/>
          <w:bCs/>
          <w:sz w:val="24"/>
        </w:rPr>
        <w:t>）法律、行政法规和中国证监会规定禁止的其他活动。</w:t>
      </w:r>
    </w:p>
    <w:p w14:paraId="684B2272" w14:textId="77777777" w:rsidR="005A59EB" w:rsidRDefault="00C555D5">
      <w:pPr>
        <w:spacing w:line="360" w:lineRule="auto"/>
        <w:ind w:firstLineChars="200" w:firstLine="480"/>
        <w:rPr>
          <w:bCs/>
          <w:sz w:val="24"/>
        </w:rPr>
      </w:pPr>
      <w:r>
        <w:rPr>
          <w:rFonts w:hint="eastAsia"/>
          <w:bCs/>
          <w:sz w:val="24"/>
        </w:rPr>
        <w:t>对于基金管理人开展基金投资禁止行</w:t>
      </w:r>
      <w:r>
        <w:rPr>
          <w:rFonts w:hint="eastAsia"/>
          <w:bCs/>
          <w:sz w:val="24"/>
        </w:rPr>
        <w:t>为，基金托管人对此无法提前知晓或阻止的，基金托管人不承担相应责任并有权向中国证监会报告。</w:t>
      </w:r>
    </w:p>
    <w:p w14:paraId="25755013" w14:textId="77777777" w:rsidR="005A59EB" w:rsidRDefault="00C555D5">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Pr>
          <w:rFonts w:hint="eastAsia"/>
          <w:bCs/>
          <w:sz w:val="24"/>
        </w:rPr>
        <w:t>的独立董事通过。基金管理人董事会应至少每半年对关联交易事项进行审查。</w:t>
      </w:r>
    </w:p>
    <w:p w14:paraId="208DA885" w14:textId="77777777" w:rsidR="005A59EB" w:rsidRDefault="00C555D5">
      <w:pPr>
        <w:spacing w:line="360" w:lineRule="auto"/>
        <w:ind w:firstLineChars="200" w:firstLine="480"/>
        <w:rPr>
          <w:bCs/>
          <w:sz w:val="24"/>
        </w:rPr>
      </w:pPr>
      <w:r>
        <w:rPr>
          <w:rFonts w:hint="eastAsia"/>
          <w:bCs/>
          <w:sz w:val="24"/>
        </w:rPr>
        <w:t>法律、行政法规或监管部门取消或调整上述禁止性规定的，如适用于本基金，基金管理人在履行适当程序后，则本基金投资不再受相关限制或按调整后的规定执行。</w:t>
      </w:r>
    </w:p>
    <w:bookmarkEnd w:id="4"/>
    <w:p w14:paraId="7586B1F5" w14:textId="77777777" w:rsidR="005A59EB" w:rsidRDefault="00C555D5">
      <w:pPr>
        <w:spacing w:line="360" w:lineRule="auto"/>
        <w:ind w:firstLineChars="200" w:firstLine="480"/>
        <w:rPr>
          <w:bCs/>
          <w:sz w:val="24"/>
        </w:rPr>
      </w:pPr>
      <w:r>
        <w:rPr>
          <w:rFonts w:hint="eastAsia"/>
          <w:bCs/>
          <w:sz w:val="24"/>
        </w:rPr>
        <w:t>根据法律法规有关基金从事关联交易的规定，基金管理人和基金托管人应事先相互提供与本机构有控股关系的股东或与本机构有重大利害关系的公司名单及其更新，并确保所提供的关联交易名单的真实性、完整性、全面性。基金管理人有责任保管真实、完整、全面的关联交易名单，并负责及时更新该名单。</w:t>
      </w:r>
    </w:p>
    <w:p w14:paraId="4B65F452" w14:textId="77777777" w:rsidR="005A59EB" w:rsidRDefault="00C555D5">
      <w:pPr>
        <w:spacing w:line="360" w:lineRule="auto"/>
        <w:ind w:firstLineChars="200" w:firstLine="480"/>
        <w:rPr>
          <w:bCs/>
          <w:sz w:val="24"/>
        </w:rPr>
      </w:pPr>
      <w:r>
        <w:rPr>
          <w:rFonts w:hint="eastAsia"/>
          <w:bCs/>
          <w:sz w:val="24"/>
        </w:rPr>
        <w:t>若基金托管人发现基金管理</w:t>
      </w:r>
      <w:r>
        <w:rPr>
          <w:rFonts w:hint="eastAsia"/>
          <w:bCs/>
          <w:sz w:val="24"/>
        </w:rPr>
        <w:t>人与关联交易名单中列示的关联方进行关联交易时</w:t>
      </w:r>
      <w:r>
        <w:rPr>
          <w:rFonts w:hint="eastAsia"/>
          <w:bCs/>
          <w:sz w:val="24"/>
        </w:rPr>
        <w:t>(</w:t>
      </w:r>
      <w:r>
        <w:rPr>
          <w:rFonts w:hint="eastAsia"/>
          <w:bCs/>
          <w:sz w:val="24"/>
        </w:rPr>
        <w:t>基金管理人应及时完整将关联交易名单提供基金托管人并保持持续及时更新</w:t>
      </w:r>
      <w:r>
        <w:rPr>
          <w:rFonts w:hint="eastAsia"/>
          <w:bCs/>
          <w:sz w:val="24"/>
        </w:rPr>
        <w:t>)</w:t>
      </w:r>
      <w:r>
        <w:rPr>
          <w:rFonts w:hint="eastAsia"/>
          <w:bCs/>
          <w:sz w:val="24"/>
        </w:rPr>
        <w:t>，基金托管人应及时提醒基金管理人采取必要措施，履行信息披露义务。对于基金管理人已成交的关联交易，由于基金托管人事前无法知晓该关联交易发生，只能进行事后结算，基金托管人不承担由此造成的相应损失，并有权向中国证监会报告。</w:t>
      </w:r>
    </w:p>
    <w:p w14:paraId="215AD26C" w14:textId="77777777" w:rsidR="005A59EB" w:rsidRDefault="00C555D5">
      <w:pPr>
        <w:pStyle w:val="2"/>
      </w:pPr>
      <w:r>
        <w:rPr>
          <w:rFonts w:hint="eastAsia"/>
        </w:rPr>
        <w:t>（四）基金托管人根据有关法律法规的规定及《基金合同》以及本协议的约定，对基金管理人参与银行间债券市场进行监督。基金管理人应在基金投资运作之前向基金托管人提供符合法律法规及行业标准的</w:t>
      </w:r>
      <w:r>
        <w:rPr>
          <w:rFonts w:hint="eastAsia"/>
        </w:rPr>
        <w:t>、经慎重选择的、本基金适用的银行间债券市场交易对手名单，并约定各交易对手所适用的交易结算方式。基金管理人应严格按照交易对手名单的范围在银行间债券市场选择交易对手。基金托管人依据有关法律法规的规定和《基金合同》的约定对于基金管理人参与银行间债券市场</w:t>
      </w:r>
      <w:r>
        <w:rPr>
          <w:rFonts w:hint="eastAsia"/>
        </w:rPr>
        <w:lastRenderedPageBreak/>
        <w:t>交易的交易对手是否符合交易对手库进行事后监督，如基金管理人在基金投资运作之前未向基金托管人提供银行间债券市场交易对手名单的，视为基金管理人认可全市场交易对手。基金管理人可以定期对银行间债券市场交易对手名单及结算方式进行更新，新名单确定前已与本次剔除的交易对手所进行但</w:t>
      </w:r>
      <w:r>
        <w:rPr>
          <w:rFonts w:hint="eastAsia"/>
        </w:rPr>
        <w:t>尚未结算的交易，仍应按照协议进行结算。</w:t>
      </w:r>
    </w:p>
    <w:p w14:paraId="34472A8A" w14:textId="77777777" w:rsidR="005A59EB" w:rsidRDefault="00C555D5">
      <w:pPr>
        <w:spacing w:line="360" w:lineRule="auto"/>
        <w:ind w:firstLineChars="200" w:firstLine="480"/>
        <w:rPr>
          <w:bCs/>
          <w:sz w:val="24"/>
        </w:rPr>
      </w:pPr>
      <w:r>
        <w:rPr>
          <w:rFonts w:hint="eastAsia"/>
          <w:bCs/>
          <w:sz w:val="24"/>
        </w:rPr>
        <w:t>基金管理人负责对交易对手的资信控制，按银行间债券市场的交易规则进行交易，并负责处理因交易对手不履行合同而造成的纠纷，基金托管人不承担由此造成的相应法律责任及损失，但应当予以必要的协助。若未履约的交易对手在基金托管人与基金管理人确定的时间前仍未承担违约责任及其他相关法律责任的，基金管理人可以对相应损失先行予以承担，然后再向相关交易对手追偿，基金托管人应予以必要的协助与配合。基金托管人则根据银行间债券市场成交单对合同履行情况进行监督，基金托管人仅根据银行间债券市场成交单对</w:t>
      </w:r>
      <w:r>
        <w:rPr>
          <w:rFonts w:hint="eastAsia"/>
          <w:bCs/>
          <w:sz w:val="24"/>
        </w:rPr>
        <w:t>本基金银行间债券市场交易的交易对手及其结算方式进行监督。如基金托管人事后发现基金管理人没有按照事先约定的交易对手或交易方式进行交易时，基金托管人应及时提醒基金管理人，基金托管人不承担由此造成的相应损失和责任。</w:t>
      </w:r>
    </w:p>
    <w:p w14:paraId="598906F1" w14:textId="77777777" w:rsidR="005A59EB" w:rsidRDefault="00C555D5">
      <w:pPr>
        <w:pStyle w:val="2"/>
      </w:pPr>
      <w:r>
        <w:rPr>
          <w:rFonts w:hint="eastAsia"/>
        </w:rPr>
        <w:t>（五）基金托管人根据有关法律法规的规定及基金合同和本协议的约定，对基金管理人选择存款银行进行监督。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如基金管</w:t>
      </w:r>
      <w:r>
        <w:rPr>
          <w:rFonts w:hint="eastAsia"/>
        </w:rPr>
        <w:t>理人在基金投资运作之前未向基金托管人提供存款银行名单的，视为基金管理人认可所有银行。</w:t>
      </w:r>
    </w:p>
    <w:p w14:paraId="78DC3545" w14:textId="77777777" w:rsidR="005A59EB" w:rsidRDefault="00C555D5">
      <w:pPr>
        <w:pStyle w:val="2"/>
      </w:pPr>
      <w:r>
        <w:rPr>
          <w:rFonts w:hint="eastAsia"/>
        </w:rPr>
        <w:t>（六）基金托管人根据有关法律法规的规定及《基金合同》、本协议的约定，对基金资产净值计算、各类基金份额的基金份额净值计算、应收资金到账、基金费用开支及收入确定、基金收益分配、相关信息披露、基金宣传推介材料中登载基金业绩表现数据等进行监督和核查</w:t>
      </w:r>
      <w:r>
        <w:rPr>
          <w:rFonts w:hint="eastAsia"/>
        </w:rPr>
        <w:t>,</w:t>
      </w:r>
      <w:r>
        <w:rPr>
          <w:rFonts w:hint="eastAsia"/>
        </w:rPr>
        <w:t>如果基金管理人未经基金托管人的审核擅自将不实的业绩表现数据印制在宣传推介材料上，则基金托管人对此不承担相应责任，并有权在发现后报告中国证监会。</w:t>
      </w:r>
    </w:p>
    <w:p w14:paraId="32F4A396" w14:textId="77777777" w:rsidR="005A59EB" w:rsidRDefault="00C555D5">
      <w:pPr>
        <w:pStyle w:val="2"/>
      </w:pPr>
      <w:r>
        <w:rPr>
          <w:rFonts w:hint="eastAsia"/>
        </w:rPr>
        <w:t>（七）基金托管人发现基金管理人的上述事项</w:t>
      </w:r>
      <w:r>
        <w:rPr>
          <w:rFonts w:hint="eastAsia"/>
        </w:rPr>
        <w:t>及投资指令或实际投资运作违反法律法规、《基金合同》和本托管协议的规定，应及时以电话提醒或书面提示等方式通知基金管理人限期纠正。基金管理人应积极配合和协助基金托管人的监督</w:t>
      </w:r>
      <w:r>
        <w:rPr>
          <w:rFonts w:hint="eastAsia"/>
        </w:rPr>
        <w:lastRenderedPageBreak/>
        <w:t>和核查。基金管理人收到书面通知后应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14:paraId="6E346D5B" w14:textId="77777777" w:rsidR="005A59EB" w:rsidRDefault="00C555D5">
      <w:pPr>
        <w:pStyle w:val="2"/>
      </w:pPr>
      <w:r>
        <w:rPr>
          <w:rFonts w:hint="eastAsia"/>
        </w:rPr>
        <w:t>（八）基金管理</w:t>
      </w:r>
      <w:r>
        <w:rPr>
          <w:rFonts w:hint="eastAsia"/>
        </w:rPr>
        <w:t>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6C544147" w14:textId="77777777" w:rsidR="005A59EB" w:rsidRDefault="00C555D5">
      <w:pPr>
        <w:pStyle w:val="2"/>
      </w:pPr>
      <w:r>
        <w:rPr>
          <w:rFonts w:hint="eastAsia"/>
        </w:rPr>
        <w:t>（九）若基金托管人发现基金管理人依据交易程序已经生效的指令违反法律、行政法规和其他有关规定，或者违反《基金合同》约定的，应当立即通知基金管理人，基金托管人在及时履行其通知义务后，由</w:t>
      </w:r>
      <w:r>
        <w:rPr>
          <w:rFonts w:hint="eastAsia"/>
        </w:rPr>
        <w:t>此造成的损失由基金管理人承担。</w:t>
      </w:r>
    </w:p>
    <w:p w14:paraId="32FFCAC8" w14:textId="77777777" w:rsidR="005A59EB" w:rsidRDefault="00C555D5">
      <w:pPr>
        <w:pStyle w:val="2"/>
      </w:pPr>
      <w:r>
        <w:rPr>
          <w:rFonts w:hint="eastAsia"/>
        </w:rPr>
        <w:t>（十）基金托管人发现基金管理人有重大违规行为，有权及时报告中国证监会，同时通知基金管理人限期纠正，由此造成的直接损失由基金管理人承担。基金管理人无正当理由，拒绝、阻挠基金托管人根据本托管协议规定行使监督权，或采取拖延、欺诈等手段妨碍基金托管人进行有效监督，情节严重或经基金托管人提出警告仍不改正的，基金托管人有权报告中国证监会，由此造成的直接损失由基金管理人承担。</w:t>
      </w:r>
      <w:bookmarkEnd w:id="3"/>
    </w:p>
    <w:p w14:paraId="0AA14ED4" w14:textId="77777777" w:rsidR="005A59EB" w:rsidRDefault="00C555D5">
      <w:pPr>
        <w:pStyle w:val="2"/>
      </w:pPr>
      <w:r>
        <w:rPr>
          <w:rFonts w:hint="eastAsia"/>
        </w:rPr>
        <w:t>（十一）基金托管人对资金来源、投资收益及投资安全不承担审核责任，特别是对于本基金所投标的的后续资金使用情况无审核责任，不保证托管财产投资不受损失，不保证最低收益。</w:t>
      </w:r>
    </w:p>
    <w:p w14:paraId="533FB12B" w14:textId="77777777" w:rsidR="005A59EB" w:rsidRDefault="00C555D5">
      <w:pPr>
        <w:pStyle w:val="2"/>
      </w:pPr>
      <w:r>
        <w:rPr>
          <w:rFonts w:hint="eastAsia"/>
        </w:rPr>
        <w:t>（十二）基金管理人应遵守中华人民共和国反洗钱法律法规，不参与涉嫌洗钱、恐怖融资、扩散融资等违法犯罪活动；主动配合基金托管人客户身份识别与尽职调查，提供真实、准确、完整客户资料，遵守反洗钱与反恐怖融资相关管理规定。对具备合理理由怀疑涉嫌洗钱、恐怖融资的客户，基金托管人将按照中国人民银行反洗钱监管规定采取必要管控措施。</w:t>
      </w:r>
    </w:p>
    <w:p w14:paraId="35E5CAF9" w14:textId="77777777" w:rsidR="005A59EB" w:rsidRDefault="005A59EB">
      <w:pPr>
        <w:rPr>
          <w:rFonts w:ascii="彩虹粗仿宋" w:eastAsia="彩虹粗仿宋"/>
          <w:sz w:val="24"/>
        </w:rPr>
      </w:pPr>
    </w:p>
    <w:p w14:paraId="54249B5B" w14:textId="77777777" w:rsidR="005A59EB" w:rsidRDefault="00C555D5">
      <w:bookmarkStart w:id="8" w:name="_Toc124325888"/>
      <w:bookmarkStart w:id="9" w:name="_Toc118972648"/>
      <w:bookmarkStart w:id="10" w:name="_Toc86727355"/>
      <w:bookmarkStart w:id="11" w:name="_Toc110830492"/>
      <w:bookmarkStart w:id="12" w:name="_Toc86649722"/>
      <w:bookmarkStart w:id="13" w:name="_Toc89163368"/>
      <w:bookmarkStart w:id="14" w:name="_Toc110761796"/>
      <w:bookmarkStart w:id="15" w:name="_Toc119402710"/>
      <w:bookmarkStart w:id="16" w:name="_Toc86223242"/>
      <w:bookmarkStart w:id="17" w:name="_Toc118212950"/>
      <w:bookmarkStart w:id="18" w:name="_Toc86225291"/>
      <w:bookmarkStart w:id="19" w:name="_Toc108512358"/>
      <w:bookmarkStart w:id="20" w:name="_Toc86726439"/>
      <w:bookmarkStart w:id="21" w:name="_Toc86737929"/>
      <w:bookmarkStart w:id="22" w:name="_Toc110765660"/>
      <w:bookmarkStart w:id="23" w:name="_Toc118774803"/>
      <w:bookmarkStart w:id="24" w:name="_Toc120435783"/>
      <w:r>
        <w:rPr>
          <w:rFonts w:hint="eastAsia"/>
        </w:rPr>
        <w:br w:type="page"/>
      </w:r>
    </w:p>
    <w:p w14:paraId="4BA87238" w14:textId="77777777" w:rsidR="005A59EB" w:rsidRDefault="00C555D5">
      <w:pPr>
        <w:pStyle w:val="1"/>
        <w:spacing w:line="416" w:lineRule="auto"/>
        <w:ind w:firstLine="0"/>
      </w:pPr>
      <w:r>
        <w:rPr>
          <w:rFonts w:hint="eastAsia"/>
        </w:rPr>
        <w:lastRenderedPageBreak/>
        <w:t>四、基金管理人对基金托管</w:t>
      </w:r>
      <w:r>
        <w:rPr>
          <w:rFonts w:hint="eastAsia"/>
        </w:rPr>
        <w:t>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832BE4A" w14:textId="77777777" w:rsidR="005A59EB" w:rsidRDefault="00C555D5">
      <w:pPr>
        <w:pStyle w:val="2"/>
      </w:pPr>
      <w:bookmarkStart w:id="25" w:name="_Hlk177558832"/>
      <w:r>
        <w:rPr>
          <w:rFonts w:hint="eastAsia"/>
        </w:rPr>
        <w:t>（一）根据《基金法》及其他有关法规的规定和基金合同及本协议约定，基金管理人对基金托管人履行托管职责情况进行核查，核查事项包括基金托管人安全保管基金财产、开设基金财产的资金账户和证券账户等投资所需账户、复核基金管理人计算的基金资产净值和各类基金份额的基金份额净值、根据基金管理人指令办理清算交收、相关信息披露和监督基金投资运作等行为。</w:t>
      </w:r>
    </w:p>
    <w:p w14:paraId="6DBADE98" w14:textId="77777777" w:rsidR="005A59EB" w:rsidRDefault="00C555D5">
      <w:pPr>
        <w:pStyle w:val="2"/>
      </w:pPr>
      <w:r>
        <w:rPr>
          <w:rFonts w:hint="eastAsia"/>
        </w:rPr>
        <w:t>（二）基金管理人发现基金托管人擅自挪用基金财产、未对基金财产实行分账管理、未执行或无故延迟执行基金管理人资金划拨指令、泄露基金投资信息等违反《基金法》、《基金合同》</w:t>
      </w:r>
      <w:r>
        <w:rPr>
          <w:rFonts w:hint="eastAsia"/>
        </w:rPr>
        <w:t>、本协议及其他有关规定时，应及时以电话提醒或书面提示等形式通知基金托管人限期纠正。基金托管人收到书面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4FA5286" w14:textId="77777777" w:rsidR="005A59EB" w:rsidRDefault="00C555D5">
      <w:pPr>
        <w:pStyle w:val="2"/>
      </w:pPr>
      <w:r>
        <w:rPr>
          <w:rFonts w:hint="eastAsia"/>
        </w:rPr>
        <w:t>（三）基金管理人发现基金托管人有重大违规行为，应及时报告中国证监会，同时通知基金托管人</w:t>
      </w:r>
      <w:r>
        <w:rPr>
          <w:rFonts w:hint="eastAsia"/>
        </w:rPr>
        <w:t>限期纠正，并将纠正结果报告中国证监会。基金托管人无正当理由，拒绝、阻挠基金</w:t>
      </w:r>
      <w:r>
        <w:t>管理人</w:t>
      </w:r>
      <w:r>
        <w:rPr>
          <w:rFonts w:hint="eastAsia"/>
        </w:rPr>
        <w:t>根据本协议规定行使监督权，或采取拖延、欺诈等手段妨碍基金</w:t>
      </w:r>
      <w:r>
        <w:t>管理人</w:t>
      </w:r>
      <w:r>
        <w:rPr>
          <w:rFonts w:hint="eastAsia"/>
        </w:rPr>
        <w:t>进行有效监督，情节严重或经基金管理人提出警告仍不改正的，基金管理人应报告中国证监会。</w:t>
      </w:r>
      <w:bookmarkEnd w:id="25"/>
    </w:p>
    <w:p w14:paraId="023CA857" w14:textId="77777777" w:rsidR="005A59EB" w:rsidRDefault="005A59EB">
      <w:pPr>
        <w:rPr>
          <w:rFonts w:ascii="彩虹粗仿宋" w:eastAsia="彩虹粗仿宋"/>
          <w:sz w:val="24"/>
        </w:rPr>
      </w:pPr>
    </w:p>
    <w:p w14:paraId="1C727042" w14:textId="77777777" w:rsidR="005A59EB" w:rsidRDefault="00C555D5">
      <w:bookmarkStart w:id="26" w:name="_Toc86204789"/>
      <w:bookmarkStart w:id="27" w:name="_Toc86727356"/>
      <w:bookmarkStart w:id="28" w:name="_Toc124325889"/>
      <w:bookmarkStart w:id="29" w:name="_Toc118774804"/>
      <w:bookmarkStart w:id="30" w:name="_Toc119402711"/>
      <w:bookmarkStart w:id="31" w:name="_Toc84234388"/>
      <w:bookmarkStart w:id="32" w:name="_Toc120435784"/>
      <w:bookmarkStart w:id="33" w:name="_Toc86225292"/>
      <w:bookmarkStart w:id="34" w:name="_Toc86726440"/>
      <w:bookmarkStart w:id="35" w:name="_Toc86649723"/>
      <w:bookmarkStart w:id="36" w:name="_Toc118212951"/>
      <w:bookmarkStart w:id="37" w:name="_Toc84133786"/>
      <w:bookmarkStart w:id="38" w:name="_Toc84234435"/>
      <w:bookmarkStart w:id="39" w:name="_Toc89163369"/>
      <w:bookmarkStart w:id="40" w:name="_Toc110765661"/>
      <w:bookmarkStart w:id="41" w:name="_Toc86737930"/>
      <w:bookmarkStart w:id="42" w:name="_Toc110761797"/>
      <w:bookmarkStart w:id="43" w:name="_Toc108512359"/>
      <w:bookmarkStart w:id="44" w:name="_Toc110830493"/>
      <w:bookmarkStart w:id="45" w:name="_Toc86223243"/>
      <w:bookmarkStart w:id="46" w:name="_Toc118972649"/>
      <w:r>
        <w:rPr>
          <w:rFonts w:hint="eastAsia"/>
        </w:rPr>
        <w:br w:type="page"/>
      </w:r>
    </w:p>
    <w:p w14:paraId="6C12B3EC" w14:textId="77777777" w:rsidR="005A59EB" w:rsidRDefault="00C555D5">
      <w:pPr>
        <w:pStyle w:val="1"/>
        <w:spacing w:line="416" w:lineRule="auto"/>
        <w:ind w:firstLine="0"/>
      </w:pPr>
      <w:r>
        <w:rPr>
          <w:rFonts w:hint="eastAsia"/>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48D45EC" w14:textId="77777777" w:rsidR="005A59EB" w:rsidRDefault="00C555D5">
      <w:pPr>
        <w:pStyle w:val="2"/>
      </w:pPr>
      <w:bookmarkStart w:id="47" w:name="_Hlk177558846"/>
      <w:r>
        <w:rPr>
          <w:rFonts w:hint="eastAsia"/>
        </w:rPr>
        <w:t>（一）基金财产保管的原则</w:t>
      </w:r>
    </w:p>
    <w:p w14:paraId="5AC02967"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sz w:val="24"/>
        </w:rPr>
        <w:t>基金财产应独立于基金管理人、基金托管人的固有财产。</w:t>
      </w:r>
    </w:p>
    <w:p w14:paraId="190136E0"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基金托管人应安全保管基金财产</w:t>
      </w:r>
      <w:r>
        <w:rPr>
          <w:rFonts w:asciiTheme="minorEastAsia" w:eastAsiaTheme="minorEastAsia" w:hAnsiTheme="minorEastAsia" w:cs="Arial" w:hint="eastAsia"/>
          <w:sz w:val="24"/>
        </w:rPr>
        <w:t>，不对</w:t>
      </w:r>
      <w:r>
        <w:rPr>
          <w:rFonts w:asciiTheme="minorEastAsia" w:eastAsiaTheme="minorEastAsia" w:hAnsiTheme="minorEastAsia" w:cs="Arial"/>
          <w:sz w:val="24"/>
        </w:rPr>
        <w:t>处于</w:t>
      </w:r>
      <w:r>
        <w:rPr>
          <w:rFonts w:asciiTheme="minorEastAsia" w:eastAsiaTheme="minorEastAsia" w:hAnsiTheme="minorEastAsia" w:cs="Arial" w:hint="eastAsia"/>
          <w:sz w:val="24"/>
        </w:rPr>
        <w:t>基金</w:t>
      </w:r>
      <w:r>
        <w:rPr>
          <w:rFonts w:asciiTheme="minorEastAsia" w:eastAsiaTheme="minorEastAsia" w:hAnsiTheme="minorEastAsia" w:cs="Arial"/>
          <w:sz w:val="24"/>
        </w:rPr>
        <w:t>托管人实际控制之外的账户或财产承担责任</w:t>
      </w:r>
      <w:r>
        <w:rPr>
          <w:rFonts w:asciiTheme="minorEastAsia" w:eastAsiaTheme="minorEastAsia" w:hAnsiTheme="minorEastAsia" w:cs="Arial" w:hint="eastAsia"/>
          <w:sz w:val="24"/>
        </w:rPr>
        <w:t>。</w:t>
      </w:r>
    </w:p>
    <w:p w14:paraId="5EA2FCC6"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基金托管人按照规定开设基金财产的资金账户</w:t>
      </w:r>
      <w:r>
        <w:rPr>
          <w:rFonts w:asciiTheme="minorEastAsia" w:eastAsiaTheme="minorEastAsia" w:hAnsiTheme="minorEastAsia" w:cs="Arial" w:hint="eastAsia"/>
          <w:sz w:val="24"/>
        </w:rPr>
        <w:t>、证券账户等投资所需账户。</w:t>
      </w:r>
    </w:p>
    <w:p w14:paraId="2DC82A1F"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基金托管人对</w:t>
      </w:r>
      <w:r>
        <w:rPr>
          <w:rFonts w:asciiTheme="minorEastAsia" w:eastAsiaTheme="minorEastAsia" w:hAnsiTheme="minorEastAsia" w:cs="Arial"/>
          <w:sz w:val="24"/>
        </w:rPr>
        <w:t>所托管的不同基金财产分别设置账户，分账管理</w:t>
      </w:r>
      <w:r>
        <w:rPr>
          <w:rFonts w:asciiTheme="minorEastAsia" w:eastAsiaTheme="minorEastAsia" w:hAnsiTheme="minorEastAsia" w:cs="Arial" w:hint="eastAsia"/>
          <w:sz w:val="24"/>
        </w:rPr>
        <w:t>，</w:t>
      </w:r>
      <w:r>
        <w:rPr>
          <w:rFonts w:asciiTheme="minorEastAsia" w:eastAsiaTheme="minorEastAsia" w:hAnsiTheme="minorEastAsia" w:cs="Arial"/>
          <w:sz w:val="24"/>
        </w:rPr>
        <w:t>独立核算</w:t>
      </w:r>
      <w:r>
        <w:rPr>
          <w:rFonts w:asciiTheme="minorEastAsia" w:eastAsiaTheme="minorEastAsia" w:hAnsiTheme="minorEastAsia" w:cs="Arial" w:hint="eastAsia"/>
          <w:sz w:val="24"/>
        </w:rPr>
        <w:t>，</w:t>
      </w:r>
      <w:r>
        <w:rPr>
          <w:rFonts w:asciiTheme="minorEastAsia" w:eastAsiaTheme="minorEastAsia" w:hAnsiTheme="minorEastAsia" w:cs="Arial"/>
          <w:sz w:val="24"/>
        </w:rPr>
        <w:t>确保基金财产的完整与独立。</w:t>
      </w:r>
    </w:p>
    <w:p w14:paraId="7304BA34"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sz w:val="24"/>
        </w:rPr>
        <w:t>基金托管人按照《基金合同》和本协议的约定保管基金财产，如有特殊情况双方可另行协商解决。基金</w:t>
      </w:r>
      <w:r>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14:paraId="17686005"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6.</w:t>
      </w:r>
      <w:r>
        <w:rPr>
          <w:rFonts w:asciiTheme="minorEastAsia" w:eastAsiaTheme="minorEastAsia" w:hAnsiTheme="minorEastAsia" w:cs="Arial"/>
          <w:sz w:val="24"/>
        </w:rPr>
        <w:t>对于因为基金投资产生的应收资产，应由基金管理人负责与有关当事人确定到账日期并通知基金托管人，到账日基金财产没有到达基金账户的，基金托管人应</w:t>
      </w:r>
      <w:r>
        <w:rPr>
          <w:rFonts w:asciiTheme="minorEastAsia" w:eastAsiaTheme="minorEastAsia" w:hAnsiTheme="minorEastAsia" w:cs="Arial"/>
          <w:sz w:val="24"/>
        </w:rPr>
        <w:t>及时通知基金管理人采取措施进行催收。由此给基金财产造成损失的，基金管理人应负责向有关当事人追偿基金财产的损失，基金托管人对此不承担</w:t>
      </w:r>
      <w:r>
        <w:rPr>
          <w:rFonts w:asciiTheme="minorEastAsia" w:eastAsiaTheme="minorEastAsia" w:hAnsiTheme="minorEastAsia" w:cs="Arial" w:hint="eastAsia"/>
          <w:sz w:val="24"/>
        </w:rPr>
        <w:t>相应</w:t>
      </w:r>
      <w:r>
        <w:rPr>
          <w:rFonts w:asciiTheme="minorEastAsia" w:eastAsiaTheme="minorEastAsia" w:hAnsiTheme="minorEastAsia" w:cs="Arial"/>
          <w:sz w:val="24"/>
        </w:rPr>
        <w:t>责任</w:t>
      </w:r>
      <w:r>
        <w:rPr>
          <w:rFonts w:asciiTheme="minorEastAsia" w:eastAsiaTheme="minorEastAsia" w:hAnsiTheme="minorEastAsia" w:cs="Arial" w:hint="eastAsia"/>
          <w:sz w:val="24"/>
        </w:rPr>
        <w:t>，但基金托管人应予以必要的协助和配合</w:t>
      </w:r>
      <w:r>
        <w:rPr>
          <w:rFonts w:asciiTheme="minorEastAsia" w:eastAsiaTheme="minorEastAsia" w:hAnsiTheme="minorEastAsia" w:cs="Arial"/>
          <w:sz w:val="24"/>
        </w:rPr>
        <w:t>。</w:t>
      </w:r>
    </w:p>
    <w:p w14:paraId="1B7C84C3"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7.</w:t>
      </w:r>
      <w:r>
        <w:rPr>
          <w:rFonts w:asciiTheme="minorEastAsia" w:eastAsiaTheme="minorEastAsia" w:hAnsiTheme="minorEastAsia" w:cs="Arial" w:hint="eastAsia"/>
          <w:sz w:val="24"/>
        </w:rPr>
        <w:t>基金托管人仅对托管账户内的资金承担托管职责，对于已从托管账户划出及不处于托管账户内的资金乙方无法控制，不承担任何托管职责。</w:t>
      </w:r>
    </w:p>
    <w:p w14:paraId="1A384E80"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sz w:val="24"/>
        </w:rPr>
        <w:t>除依据法律法规和《基金合同》的规定外，基金托管人不得委托第三人托管基金财产。</w:t>
      </w:r>
      <w:bookmarkEnd w:id="47"/>
    </w:p>
    <w:p w14:paraId="7D283E31" w14:textId="77777777" w:rsidR="005A59EB" w:rsidRDefault="00C555D5">
      <w:pPr>
        <w:pStyle w:val="2"/>
      </w:pPr>
      <w:r>
        <w:rPr>
          <w:rFonts w:hint="eastAsia"/>
        </w:rPr>
        <w:t>（二）基金募集期间及募集资金的验资</w:t>
      </w:r>
    </w:p>
    <w:p w14:paraId="0BE6D8C3" w14:textId="77777777" w:rsidR="005A59EB" w:rsidRDefault="00C555D5">
      <w:pPr>
        <w:adjustRightInd w:val="0"/>
        <w:snapToGrid w:val="0"/>
        <w:spacing w:line="360" w:lineRule="auto"/>
        <w:ind w:firstLine="482"/>
        <w:rPr>
          <w:rFonts w:asciiTheme="minorEastAsia" w:eastAsiaTheme="minorEastAsia" w:hAnsiTheme="minorEastAsia" w:cs="Arial"/>
          <w:sz w:val="24"/>
        </w:rPr>
      </w:pPr>
      <w:bookmarkStart w:id="48" w:name="_Hlk177558859"/>
      <w:r>
        <w:rPr>
          <w:rFonts w:asciiTheme="minorEastAsia" w:eastAsiaTheme="minorEastAsia" w:hAnsiTheme="minorEastAsia" w:cs="Arial"/>
          <w:sz w:val="24"/>
        </w:rPr>
        <w:t>1.</w:t>
      </w:r>
      <w:r>
        <w:rPr>
          <w:rFonts w:asciiTheme="minorEastAsia" w:eastAsiaTheme="minorEastAsia" w:hAnsiTheme="minorEastAsia" w:cs="Arial"/>
          <w:sz w:val="24"/>
        </w:rPr>
        <w:t>基金募集期间募集的资金应存于基金管理人在</w:t>
      </w:r>
      <w:r>
        <w:rPr>
          <w:rFonts w:asciiTheme="minorEastAsia" w:eastAsiaTheme="minorEastAsia" w:hAnsiTheme="minorEastAsia" w:cs="Arial" w:hint="eastAsia"/>
          <w:sz w:val="24"/>
        </w:rPr>
        <w:t>具有托管资格的商业银行开立的“基金募集专户”</w:t>
      </w:r>
      <w:r>
        <w:rPr>
          <w:rFonts w:asciiTheme="minorEastAsia" w:eastAsiaTheme="minorEastAsia" w:hAnsiTheme="minorEastAsia" w:cs="Arial" w:hint="eastAsia"/>
          <w:sz w:val="24"/>
        </w:rPr>
        <w:t>。该账户由基金管理人开立并管理。</w:t>
      </w:r>
    </w:p>
    <w:p w14:paraId="3216672A"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基金募集期满或基金停止募集时，</w:t>
      </w:r>
      <w:r>
        <w:rPr>
          <w:rFonts w:asciiTheme="minorEastAsia" w:eastAsiaTheme="minorEastAsia" w:hAnsiTheme="minorEastAsia" w:cs="Arial" w:hint="eastAsia"/>
          <w:sz w:val="24"/>
        </w:rPr>
        <w:t>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w:t>
      </w:r>
      <w:r>
        <w:rPr>
          <w:rFonts w:asciiTheme="minorEastAsia" w:eastAsiaTheme="minorEastAsia" w:hAnsiTheme="minorEastAsia" w:cs="Arial"/>
          <w:sz w:val="24"/>
        </w:rPr>
        <w:t>2</w:t>
      </w:r>
      <w:r>
        <w:rPr>
          <w:rFonts w:asciiTheme="minorEastAsia" w:eastAsiaTheme="minorEastAsia" w:hAnsiTheme="minorEastAsia" w:cs="Arial"/>
          <w:sz w:val="24"/>
        </w:rPr>
        <w:t>名或</w:t>
      </w:r>
      <w:r>
        <w:rPr>
          <w:rFonts w:asciiTheme="minorEastAsia" w:eastAsiaTheme="minorEastAsia" w:hAnsiTheme="minorEastAsia" w:cs="Arial"/>
          <w:sz w:val="24"/>
        </w:rPr>
        <w:t>2</w:t>
      </w:r>
      <w:r>
        <w:rPr>
          <w:rFonts w:asciiTheme="minorEastAsia" w:eastAsiaTheme="minorEastAsia" w:hAnsiTheme="minorEastAsia" w:cs="Arial"/>
          <w:sz w:val="24"/>
        </w:rPr>
        <w:t>名以上中国注册会计师签</w:t>
      </w:r>
      <w:r>
        <w:rPr>
          <w:rFonts w:asciiTheme="minorEastAsia" w:eastAsiaTheme="minorEastAsia" w:hAnsiTheme="minorEastAsia" w:cs="Arial" w:hint="eastAsia"/>
          <w:sz w:val="24"/>
        </w:rPr>
        <w:t>字方为有</w:t>
      </w:r>
      <w:r>
        <w:rPr>
          <w:rFonts w:asciiTheme="minorEastAsia" w:eastAsiaTheme="minorEastAsia" w:hAnsiTheme="minorEastAsia" w:cs="Arial" w:hint="eastAsia"/>
          <w:sz w:val="24"/>
        </w:rPr>
        <w:lastRenderedPageBreak/>
        <w:t>效。</w:t>
      </w:r>
    </w:p>
    <w:p w14:paraId="2080842F"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若基金募集期限届满，未能达到《基金</w:t>
      </w:r>
      <w:r>
        <w:rPr>
          <w:rFonts w:asciiTheme="minorEastAsia" w:eastAsiaTheme="minorEastAsia" w:hAnsiTheme="minorEastAsia" w:cs="Arial" w:hint="eastAsia"/>
          <w:sz w:val="24"/>
        </w:rPr>
        <w:t>合同》生效</w:t>
      </w:r>
      <w:r>
        <w:rPr>
          <w:rFonts w:asciiTheme="minorEastAsia" w:eastAsiaTheme="minorEastAsia" w:hAnsiTheme="minorEastAsia" w:cs="Arial"/>
          <w:sz w:val="24"/>
        </w:rPr>
        <w:t>的条件，由基金管理人按规定办理退款等事宜</w:t>
      </w:r>
      <w:r>
        <w:rPr>
          <w:rFonts w:asciiTheme="minorEastAsia" w:eastAsiaTheme="minorEastAsia" w:hAnsiTheme="minorEastAsia" w:cs="Arial" w:hint="eastAsia"/>
          <w:sz w:val="24"/>
        </w:rPr>
        <w:t>，基金托管人应当予以必要的协助</w:t>
      </w:r>
      <w:r>
        <w:rPr>
          <w:rFonts w:asciiTheme="minorEastAsia" w:eastAsiaTheme="minorEastAsia" w:hAnsiTheme="minorEastAsia" w:cs="Arial" w:hint="eastAsia"/>
          <w:sz w:val="24"/>
        </w:rPr>
        <w:t>和配合</w:t>
      </w:r>
      <w:r>
        <w:rPr>
          <w:rFonts w:asciiTheme="minorEastAsia" w:eastAsiaTheme="minorEastAsia" w:hAnsiTheme="minorEastAsia" w:cs="Arial"/>
          <w:sz w:val="24"/>
        </w:rPr>
        <w:t>。</w:t>
      </w:r>
      <w:bookmarkEnd w:id="48"/>
    </w:p>
    <w:p w14:paraId="7D5BD550" w14:textId="77777777" w:rsidR="005A59EB" w:rsidRDefault="00C555D5">
      <w:pPr>
        <w:pStyle w:val="2"/>
      </w:pPr>
      <w:r>
        <w:rPr>
          <w:rFonts w:hint="eastAsia"/>
        </w:rPr>
        <w:t>（三）基金银行账户的开立和管理</w:t>
      </w:r>
    </w:p>
    <w:p w14:paraId="471360E3" w14:textId="77777777" w:rsidR="005A59EB" w:rsidRDefault="00C555D5">
      <w:pPr>
        <w:adjustRightInd w:val="0"/>
        <w:snapToGrid w:val="0"/>
        <w:spacing w:line="360" w:lineRule="auto"/>
        <w:ind w:firstLine="482"/>
        <w:rPr>
          <w:rFonts w:asciiTheme="minorEastAsia" w:eastAsiaTheme="minorEastAsia" w:hAnsiTheme="minorEastAsia" w:cs="Arial"/>
          <w:sz w:val="24"/>
        </w:rPr>
      </w:pPr>
      <w:bookmarkStart w:id="49" w:name="_Hlk177558870"/>
      <w:r>
        <w:rPr>
          <w:rFonts w:asciiTheme="minorEastAsia" w:eastAsiaTheme="minorEastAsia" w:hAnsiTheme="minorEastAsia" w:cs="Arial"/>
          <w:sz w:val="24"/>
        </w:rPr>
        <w:t>1.</w:t>
      </w:r>
      <w:r>
        <w:rPr>
          <w:rFonts w:asciiTheme="minorEastAsia" w:eastAsiaTheme="minorEastAsia" w:hAnsiTheme="minorEastAsia" w:cs="Arial"/>
          <w:sz w:val="24"/>
        </w:rPr>
        <w:t>基金托管人</w:t>
      </w:r>
      <w:r>
        <w:rPr>
          <w:rFonts w:asciiTheme="minorEastAsia" w:eastAsiaTheme="minorEastAsia" w:hAnsiTheme="minorEastAsia" w:cs="Arial" w:hint="eastAsia"/>
          <w:sz w:val="24"/>
        </w:rPr>
        <w:t>应以本基金的名义在其营业机构开立基金的银行账户（账户具体名称以实际开立为准），并根据基金管理人合法合规的指令办理资金收付。</w:t>
      </w:r>
    </w:p>
    <w:p w14:paraId="4D78C3FF"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2D03FE2E"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基金银行账户的开立和管理应符合</w:t>
      </w:r>
      <w:r>
        <w:rPr>
          <w:rFonts w:asciiTheme="minorEastAsia" w:eastAsiaTheme="minorEastAsia" w:hAnsiTheme="minorEastAsia" w:cs="Arial" w:hint="eastAsia"/>
          <w:sz w:val="24"/>
        </w:rPr>
        <w:t>法律法规及</w:t>
      </w:r>
      <w:r>
        <w:rPr>
          <w:rFonts w:asciiTheme="minorEastAsia" w:eastAsiaTheme="minorEastAsia" w:hAnsiTheme="minorEastAsia" w:cs="Arial"/>
          <w:sz w:val="24"/>
        </w:rPr>
        <w:t>银行业监督管理机构的有关规定。</w:t>
      </w:r>
    </w:p>
    <w:bookmarkEnd w:id="49"/>
    <w:p w14:paraId="2B27B289" w14:textId="77777777" w:rsidR="005A59EB" w:rsidRDefault="00C555D5">
      <w:pPr>
        <w:pStyle w:val="2"/>
      </w:pPr>
      <w:r>
        <w:rPr>
          <w:rFonts w:hint="eastAsia"/>
        </w:rPr>
        <w:t>（四）基金证券账户和结算备付金账户的开立和管理</w:t>
      </w:r>
    </w:p>
    <w:p w14:paraId="2CF8FE6C" w14:textId="77777777" w:rsidR="005A59EB" w:rsidRDefault="00C555D5">
      <w:pPr>
        <w:adjustRightInd w:val="0"/>
        <w:snapToGrid w:val="0"/>
        <w:spacing w:line="360" w:lineRule="auto"/>
        <w:ind w:firstLine="482"/>
        <w:rPr>
          <w:rFonts w:asciiTheme="minorEastAsia" w:eastAsiaTheme="minorEastAsia" w:hAnsiTheme="minorEastAsia" w:cs="Arial"/>
          <w:sz w:val="24"/>
        </w:rPr>
      </w:pPr>
      <w:bookmarkStart w:id="50" w:name="_Hlk177558883"/>
      <w:r>
        <w:rPr>
          <w:rFonts w:asciiTheme="minorEastAsia" w:eastAsiaTheme="minorEastAsia" w:hAnsiTheme="minorEastAsia" w:cs="Arial"/>
          <w:sz w:val="24"/>
        </w:rPr>
        <w:t>1.</w:t>
      </w:r>
      <w:r>
        <w:rPr>
          <w:rFonts w:asciiTheme="minorEastAsia" w:eastAsiaTheme="minorEastAsia" w:hAnsiTheme="minorEastAsia" w:cs="Arial"/>
          <w:sz w:val="24"/>
        </w:rPr>
        <w:t>基金托管人</w:t>
      </w:r>
      <w:r>
        <w:rPr>
          <w:rFonts w:asciiTheme="minorEastAsia" w:eastAsiaTheme="minorEastAsia" w:hAnsiTheme="minorEastAsia" w:cs="Arial" w:hint="eastAsia"/>
          <w:sz w:val="24"/>
        </w:rPr>
        <w:t>以基金托管人和本基金联名的方式</w:t>
      </w:r>
      <w:r>
        <w:rPr>
          <w:rFonts w:asciiTheme="minorEastAsia" w:eastAsiaTheme="minorEastAsia" w:hAnsiTheme="minorEastAsia" w:cs="Arial"/>
          <w:sz w:val="24"/>
        </w:rPr>
        <w:t>在中国证券登记结算有限责任公司为基金开立证券账户。</w:t>
      </w:r>
    </w:p>
    <w:p w14:paraId="6745481A"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7EC0999"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sz w:val="24"/>
        </w:rPr>
        <w:t>基金证券账户的开立和证券账户卡的保管由基金托管人负责，账户资产的管理和运用由基金管理人负责。</w:t>
      </w:r>
    </w:p>
    <w:p w14:paraId="5E3E7C1D"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sz w:val="24"/>
        </w:rPr>
        <w:t>基金托管人以基金托管人的名义在中国证券登记结算有限责任公司开立结算备付金账户，并代表所托管的基金完成与中国证券登记结算有限责任公司的一级法人清</w:t>
      </w:r>
      <w:r>
        <w:rPr>
          <w:rFonts w:asciiTheme="minorEastAsia" w:eastAsiaTheme="minorEastAsia" w:hAnsiTheme="minorEastAsia" w:cs="Arial"/>
          <w:sz w:val="24"/>
        </w:rPr>
        <w:t>算工作，基金管理人应予以积极协助。结算备付金、结算保证金</w:t>
      </w:r>
      <w:r>
        <w:rPr>
          <w:rFonts w:asciiTheme="minorEastAsia" w:eastAsiaTheme="minorEastAsia" w:hAnsiTheme="minorEastAsia" w:cs="Arial" w:hint="eastAsia"/>
          <w:sz w:val="24"/>
        </w:rPr>
        <w:t>等的收取按照中国证券登记结算有限责任公司的规定执行。</w:t>
      </w:r>
    </w:p>
    <w:p w14:paraId="235BCF4C" w14:textId="77777777" w:rsidR="005A59EB" w:rsidRDefault="00C555D5">
      <w:pPr>
        <w:pStyle w:val="2"/>
      </w:pPr>
      <w:bookmarkStart w:id="51" w:name="_Hlk177558895"/>
      <w:bookmarkEnd w:id="50"/>
      <w:r>
        <w:rPr>
          <w:rFonts w:hint="eastAsia"/>
        </w:rPr>
        <w:t>（五）债券托管账户的开设和管理</w:t>
      </w:r>
    </w:p>
    <w:p w14:paraId="142C62BD"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14:paraId="05D4B51F" w14:textId="77777777" w:rsidR="005A59EB" w:rsidRDefault="00C555D5">
      <w:pPr>
        <w:pStyle w:val="2"/>
      </w:pPr>
      <w:r>
        <w:rPr>
          <w:rFonts w:hint="eastAsia"/>
        </w:rPr>
        <w:t>（六）其他账户的开立和管理</w:t>
      </w:r>
    </w:p>
    <w:p w14:paraId="4C350C2D"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lastRenderedPageBreak/>
        <w:t>1.</w:t>
      </w:r>
      <w:r>
        <w:rPr>
          <w:rFonts w:asciiTheme="minorEastAsia" w:eastAsiaTheme="minorEastAsia" w:hAnsiTheme="minorEastAsia" w:cs="Arial" w:hint="eastAsia"/>
          <w:sz w:val="24"/>
        </w:rPr>
        <w:t>在本托管协议订立日之后，本基金被允许从事符合法律法规规定和《基金合同》约定的其他投资品种的投资业务时，如果涉及相关账户的开设和使用，由基金管理人协助</w:t>
      </w:r>
      <w:r>
        <w:rPr>
          <w:rFonts w:asciiTheme="minorEastAsia" w:eastAsiaTheme="minorEastAsia" w:hAnsiTheme="minorEastAsia" w:cs="Arial"/>
          <w:sz w:val="24"/>
        </w:rPr>
        <w:t>基金托管人</w:t>
      </w:r>
      <w:r>
        <w:rPr>
          <w:rFonts w:asciiTheme="minorEastAsia" w:eastAsiaTheme="minorEastAsia" w:hAnsiTheme="minorEastAsia" w:cs="Arial" w:hint="eastAsia"/>
          <w:sz w:val="24"/>
        </w:rPr>
        <w:t>按有关法律法规的规定和基金合同的约定进行开立</w:t>
      </w:r>
      <w:r>
        <w:rPr>
          <w:rFonts w:asciiTheme="minorEastAsia" w:eastAsiaTheme="minorEastAsia" w:hAnsiTheme="minorEastAsia" w:cs="Arial"/>
          <w:sz w:val="24"/>
        </w:rPr>
        <w:t>和</w:t>
      </w:r>
      <w:r>
        <w:rPr>
          <w:rFonts w:asciiTheme="minorEastAsia" w:eastAsiaTheme="minorEastAsia" w:hAnsiTheme="minorEastAsia" w:cs="Arial" w:hint="eastAsia"/>
          <w:sz w:val="24"/>
        </w:rPr>
        <w:t>使用。</w:t>
      </w:r>
      <w:r>
        <w:rPr>
          <w:rFonts w:asciiTheme="minorEastAsia" w:eastAsiaTheme="minorEastAsia" w:hAnsiTheme="minorEastAsia" w:cs="Arial"/>
          <w:sz w:val="24"/>
        </w:rPr>
        <w:t>若无相关规定，则比照上述关于账户开立、使用的规定执行。</w:t>
      </w:r>
    </w:p>
    <w:p w14:paraId="2A20F0BE"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sz w:val="24"/>
        </w:rPr>
        <w:t>法律法规等有关规定对相关账户的开立和管理另有规定的，从其规定办理。</w:t>
      </w:r>
    </w:p>
    <w:p w14:paraId="4CC06D0F" w14:textId="77777777" w:rsidR="005A59EB" w:rsidRDefault="00C555D5">
      <w:pPr>
        <w:pStyle w:val="2"/>
      </w:pPr>
      <w:r>
        <w:rPr>
          <w:rFonts w:hint="eastAsia"/>
        </w:rPr>
        <w:t>（七）基金财产投资的有关有价凭证等的保管</w:t>
      </w:r>
    </w:p>
    <w:p w14:paraId="0D24AF98" w14:textId="77777777" w:rsidR="005A59EB" w:rsidRDefault="00C555D5">
      <w:pPr>
        <w:adjustRightInd w:val="0"/>
        <w:snapToGrid w:val="0"/>
        <w:spacing w:line="360" w:lineRule="auto"/>
        <w:ind w:firstLine="482"/>
        <w:rPr>
          <w:rFonts w:asciiTheme="minorEastAsia" w:eastAsiaTheme="minorEastAsia" w:hAnsiTheme="minorEastAsia" w:cs="Arial"/>
        </w:rPr>
      </w:pPr>
      <w:r>
        <w:rPr>
          <w:rFonts w:asciiTheme="minorEastAsia" w:eastAsiaTheme="minorEastAsia" w:hAnsiTheme="minorEastAsia" w:cs="Arial" w:hint="eastAsia"/>
          <w:sz w:val="24"/>
        </w:rPr>
        <w:t>基金财产投资的有关实物证券、银行</w:t>
      </w:r>
      <w:r>
        <w:rPr>
          <w:rFonts w:asciiTheme="minorEastAsia" w:eastAsiaTheme="minorEastAsia" w:hAnsiTheme="minorEastAsia" w:hint="eastAsia"/>
          <w:sz w:val="24"/>
        </w:rPr>
        <w:t>存款开户证实书</w:t>
      </w:r>
      <w:r>
        <w:rPr>
          <w:rFonts w:asciiTheme="minorEastAsia" w:eastAsiaTheme="minorEastAsia" w:hAnsiTheme="minorEastAsia" w:cs="Arial" w:hint="eastAsia"/>
          <w:sz w:val="24"/>
        </w:rPr>
        <w:t>等有价凭证由基金托管人存放于基金托管人的保管库，也可存入中央国债登记结算有限责任公司、</w:t>
      </w:r>
      <w:r>
        <w:rPr>
          <w:rFonts w:asciiTheme="minorEastAsia" w:eastAsiaTheme="minorEastAsia" w:hAnsiTheme="minorEastAsia" w:cs="Arial" w:hint="eastAsia"/>
          <w:sz w:val="24"/>
        </w:rPr>
        <w:t>中国证券登记结算有限责任公司</w:t>
      </w:r>
      <w:r>
        <w:rPr>
          <w:rFonts w:asciiTheme="minorEastAsia" w:eastAsiaTheme="minorEastAsia" w:hAnsiTheme="minorEastAsia" w:cs="Arial"/>
          <w:sz w:val="24"/>
        </w:rPr>
        <w:t>、</w:t>
      </w:r>
      <w:r>
        <w:rPr>
          <w:rFonts w:asciiTheme="minorEastAsia" w:eastAsiaTheme="minorEastAsia" w:hAnsiTheme="minorEastAsia" w:cs="Arial" w:hint="eastAsia"/>
          <w:sz w:val="24"/>
        </w:rPr>
        <w:t>银行间市场清算所股份有限公司或票据营业中心的代保管库，保管凭证由基金托管人持有。实物证券、银行存款证实书等有价凭证的购买和转让，按基金管理人和基金托管人双方约定办理。基金托管人对由基金托管人以外机构实际有效控制的资产不承担保管责任，法律法规另有规定的除外。</w:t>
      </w:r>
    </w:p>
    <w:p w14:paraId="37713FBF" w14:textId="77777777" w:rsidR="005A59EB" w:rsidRDefault="00C555D5">
      <w:pPr>
        <w:pStyle w:val="2"/>
      </w:pPr>
      <w:r>
        <w:rPr>
          <w:rFonts w:hint="eastAsia"/>
        </w:rPr>
        <w:t>（八）与基金财产有关的重大合同的保管</w:t>
      </w:r>
    </w:p>
    <w:p w14:paraId="0EA759D5"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w:t>
      </w:r>
      <w:r>
        <w:rPr>
          <w:rFonts w:asciiTheme="minorEastAsia" w:eastAsiaTheme="minorEastAsia" w:hAnsiTheme="minorEastAsia" w:cs="Arial" w:hint="eastAsia"/>
          <w:sz w:val="24"/>
        </w:rPr>
        <w:t>与基金财产有关的重大合同及基金投资业务中产生的重大合同，基金管理人应尽量保证基金管理人和基金托管人至少各持有一份正本的原件。基金管理人应在重大合同签署后及时将重大合同传真给基金托管人，并在三十个工作日内将正本送达基金托管人处。重大合同的保管期限不低于法律法规或监管规则规定的最低期限</w:t>
      </w:r>
      <w:r>
        <w:rPr>
          <w:rFonts w:asciiTheme="minorEastAsia" w:eastAsiaTheme="minorEastAsia" w:hAnsiTheme="minorEastAsia" w:cs="Arial"/>
          <w:sz w:val="24"/>
        </w:rPr>
        <w:t>。</w:t>
      </w:r>
    </w:p>
    <w:p w14:paraId="12BFC081" w14:textId="77777777" w:rsidR="005A59EB" w:rsidRDefault="00C555D5">
      <w:pPr>
        <w:adjustRightInd w:val="0"/>
        <w:snapToGrid w:val="0"/>
        <w:spacing w:line="360" w:lineRule="auto"/>
        <w:ind w:firstLine="482"/>
        <w:rPr>
          <w:rFonts w:asciiTheme="minorEastAsia" w:eastAsiaTheme="minorEastAsia" w:hAnsiTheme="minorEastAsia" w:cs="Arial"/>
          <w:sz w:val="24"/>
        </w:rPr>
      </w:pPr>
      <w:r>
        <w:rPr>
          <w:rFonts w:asciiTheme="minorEastAsia" w:eastAsiaTheme="minorEastAsia" w:hAnsiTheme="minorEastAsia" w:cs="Arial" w:hint="eastAsia"/>
          <w:sz w:val="24"/>
        </w:rPr>
        <w:t>对于无法取得二份以上的正本的，基金管理人应向基金托管人提供合同复印件，并在复印件上加盖公章，未经双方协商或未在合同约定范围内，合同原件不得转移。</w:t>
      </w:r>
      <w:bookmarkEnd w:id="51"/>
    </w:p>
    <w:p w14:paraId="452DF2E1" w14:textId="77777777" w:rsidR="005A59EB" w:rsidRDefault="00C555D5">
      <w:pPr>
        <w:rPr>
          <w:rFonts w:asciiTheme="minorEastAsia" w:eastAsiaTheme="minorEastAsia" w:hAnsiTheme="minorEastAsia" w:cs="Arial"/>
          <w:sz w:val="24"/>
        </w:rPr>
      </w:pPr>
      <w:r>
        <w:rPr>
          <w:rFonts w:asciiTheme="minorEastAsia" w:eastAsiaTheme="minorEastAsia" w:hAnsiTheme="minorEastAsia" w:cs="Arial" w:hint="eastAsia"/>
          <w:sz w:val="24"/>
        </w:rPr>
        <w:br w:type="page"/>
      </w:r>
    </w:p>
    <w:p w14:paraId="31C3523F" w14:textId="77777777" w:rsidR="005A59EB" w:rsidRDefault="00C555D5">
      <w:pPr>
        <w:pStyle w:val="1"/>
        <w:spacing w:line="416" w:lineRule="auto"/>
        <w:ind w:firstLine="0"/>
      </w:pPr>
      <w:bookmarkStart w:id="52" w:name="_Toc120435785"/>
      <w:bookmarkStart w:id="53" w:name="_Toc118774805"/>
      <w:bookmarkStart w:id="54" w:name="_Toc84234436"/>
      <w:bookmarkStart w:id="55" w:name="_Toc108512360"/>
      <w:bookmarkStart w:id="56" w:name="_Toc86223244"/>
      <w:bookmarkStart w:id="57" w:name="_Toc86649724"/>
      <w:bookmarkStart w:id="58" w:name="_Toc84234389"/>
      <w:bookmarkStart w:id="59" w:name="_Toc86726441"/>
      <w:bookmarkStart w:id="60" w:name="_Toc119402712"/>
      <w:bookmarkStart w:id="61" w:name="_Toc118972650"/>
      <w:bookmarkStart w:id="62" w:name="_Toc124325890"/>
      <w:bookmarkStart w:id="63" w:name="_Toc86727357"/>
      <w:bookmarkStart w:id="64" w:name="_Toc110765662"/>
      <w:bookmarkStart w:id="65" w:name="_Toc86204790"/>
      <w:bookmarkStart w:id="66" w:name="_Toc86225293"/>
      <w:bookmarkStart w:id="67" w:name="_Toc86737931"/>
      <w:bookmarkStart w:id="68" w:name="_Toc110830494"/>
      <w:bookmarkStart w:id="69" w:name="_Toc89163370"/>
      <w:bookmarkStart w:id="70" w:name="_Toc84133787"/>
      <w:bookmarkStart w:id="71" w:name="_Toc110761798"/>
      <w:bookmarkStart w:id="72" w:name="_Toc118212952"/>
      <w:r>
        <w:rPr>
          <w:rFonts w:hint="eastAsia"/>
        </w:rPr>
        <w:lastRenderedPageBreak/>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D37043E"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基金管理人在运用基金财产时向基金托管人发送资金划</w:t>
      </w:r>
      <w:r>
        <w:rPr>
          <w:rFonts w:ascii="宋体" w:hAnsi="宋体" w:cs="Arial" w:hint="eastAsia"/>
          <w:sz w:val="24"/>
        </w:rPr>
        <w:t>拨及其他款项付款指令，基金托管人执行基金管理人的指令、办理基金名下的资金往来等有关事项。</w:t>
      </w:r>
    </w:p>
    <w:p w14:paraId="32AA91B2" w14:textId="77777777" w:rsidR="005A59EB" w:rsidRDefault="00C555D5">
      <w:pPr>
        <w:pStyle w:val="2"/>
      </w:pPr>
      <w:r>
        <w:rPr>
          <w:rFonts w:hint="eastAsia"/>
        </w:rPr>
        <w:t>（一）基金管理人对发送指令人员的书面授权</w:t>
      </w:r>
    </w:p>
    <w:p w14:paraId="54A424F7"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1.</w:t>
      </w:r>
      <w:r>
        <w:rPr>
          <w:rFonts w:ascii="宋体" w:hAnsi="宋体" w:cs="Arial" w:hint="eastAsia"/>
          <w:sz w:val="24"/>
        </w:rPr>
        <w:t>基金管理人应指定专人向基金托管人发送指令。</w:t>
      </w:r>
    </w:p>
    <w:p w14:paraId="382B06A0"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2.</w:t>
      </w:r>
      <w:r>
        <w:rPr>
          <w:rFonts w:ascii="宋体" w:hAnsi="宋体" w:cs="Arial" w:hint="eastAsia"/>
          <w:sz w:val="24"/>
        </w:rPr>
        <w:t>基金管理人应向基金托管人提供书面授权文件，内容包括被授权人名单、预留印鉴及被授权人签</w:t>
      </w:r>
      <w:r>
        <w:rPr>
          <w:rFonts w:ascii="宋体" w:hAnsi="宋体" w:cs="Arial"/>
          <w:sz w:val="24"/>
        </w:rPr>
        <w:t>章</w:t>
      </w:r>
      <w:r>
        <w:rPr>
          <w:rFonts w:ascii="宋体" w:hAnsi="宋体" w:cs="Arial" w:hint="eastAsia"/>
          <w:sz w:val="24"/>
        </w:rPr>
        <w:t>样本，授权文件应注明被授权人相应的权限。授权文件应由基金管理人加盖公章，并由基金管理人法定代表人或其授权代表签章（签字或加盖名章），如为授权代表签章，还应附上法定代表人的授权委托书。</w:t>
      </w:r>
    </w:p>
    <w:p w14:paraId="65A9FB5E"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3.</w:t>
      </w:r>
      <w:r>
        <w:rPr>
          <w:rFonts w:ascii="宋体" w:hAnsi="宋体" w:cs="Arial" w:hint="eastAsia"/>
          <w:sz w:val="24"/>
        </w:rPr>
        <w:t>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该生效时间不得早于基金托管人收到授权文件并经电话确认的时点。如早于，则以基金托管人收到授权文件并经电话确认的时点为授权文件的生效时间。基金管理人在此后五个工作日内将授权通知的正本送交基金托管人。授权通知书正本内容与基金托管人收到的传真不一致的，以基金托管人收到的传真为准。</w:t>
      </w:r>
    </w:p>
    <w:p w14:paraId="451D3DC8"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4.</w:t>
      </w:r>
      <w:r>
        <w:rPr>
          <w:rFonts w:ascii="宋体" w:hAnsi="宋体" w:cs="Arial" w:hint="eastAsia"/>
          <w:sz w:val="24"/>
        </w:rPr>
        <w:t>基金管理人</w:t>
      </w:r>
      <w:r>
        <w:rPr>
          <w:rFonts w:ascii="宋体" w:hAnsi="宋体" w:cs="Arial" w:hint="eastAsia"/>
          <w:sz w:val="24"/>
        </w:rPr>
        <w:t>和基金托管人对授权文件负有保密义务，其内容不得向被授权人及相关操作人员以外的任何人泄露。但法律法规规定或有权机关要求的除外。</w:t>
      </w:r>
    </w:p>
    <w:p w14:paraId="0DD80C6F" w14:textId="77777777" w:rsidR="005A59EB" w:rsidRDefault="00C555D5">
      <w:pPr>
        <w:pStyle w:val="2"/>
      </w:pPr>
      <w:r>
        <w:rPr>
          <w:rFonts w:hint="eastAsia"/>
        </w:rPr>
        <w:t>（二）指令的内容</w:t>
      </w:r>
    </w:p>
    <w:p w14:paraId="3461AB95"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1.</w:t>
      </w:r>
      <w:r>
        <w:rPr>
          <w:rFonts w:ascii="宋体" w:hAnsi="宋体" w:cs="Arial" w:hint="eastAsia"/>
          <w:sz w:val="24"/>
        </w:rPr>
        <w:t>指令包括付款指令以及其他资金划拨指令等。</w:t>
      </w:r>
    </w:p>
    <w:p w14:paraId="220041E1"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2.</w:t>
      </w:r>
      <w:r>
        <w:rPr>
          <w:rFonts w:ascii="宋体" w:hAnsi="宋体" w:cs="Arial" w:hint="eastAsia"/>
          <w:sz w:val="24"/>
        </w:rPr>
        <w:t>基金管理人发给基金托管人的指令应写明款项事由、支付时间、到账时间、金额、账户等，加盖预留印鉴并由被授权人签</w:t>
      </w:r>
      <w:r>
        <w:rPr>
          <w:rFonts w:ascii="宋体" w:hAnsi="宋体" w:cs="Arial"/>
          <w:sz w:val="24"/>
        </w:rPr>
        <w:t>章</w:t>
      </w:r>
      <w:r>
        <w:rPr>
          <w:rFonts w:ascii="宋体" w:hAnsi="宋体" w:cs="Arial" w:hint="eastAsia"/>
          <w:sz w:val="24"/>
        </w:rPr>
        <w:t>。</w:t>
      </w:r>
    </w:p>
    <w:p w14:paraId="7EEC2AE7"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管理人同意基金托管人根据其收到的中国证券登记结算有限责任公司或深、沪证券交易所的交易数据及遵照中国证券登记结算有限责任公司相关制度、规则与中国证券登记结算有限责任公司进行交收。基金财产投资发生的所有场内交易的清算交收，由基金托管人根据相关登记结算公司的结算规则办理，基金管理人不需要另行出具指令。</w:t>
      </w:r>
    </w:p>
    <w:p w14:paraId="649A1E82"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本基金银行账户发生的银行结算费用等银行费用，由基金托管人直接从银行账户中扣划，无须基金管理人出具指令。</w:t>
      </w:r>
    </w:p>
    <w:p w14:paraId="07914A6E" w14:textId="77777777" w:rsidR="005A59EB" w:rsidRDefault="00C555D5">
      <w:pPr>
        <w:pStyle w:val="2"/>
      </w:pPr>
      <w:r>
        <w:rPr>
          <w:rFonts w:hint="eastAsia"/>
        </w:rPr>
        <w:lastRenderedPageBreak/>
        <w:t>（三）指令的发送、确认及执行的时间和程序</w:t>
      </w:r>
    </w:p>
    <w:p w14:paraId="6BE11255"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1.</w:t>
      </w:r>
      <w:r>
        <w:rPr>
          <w:rFonts w:ascii="宋体" w:hAnsi="宋体" w:cs="Arial" w:hint="eastAsia"/>
          <w:sz w:val="24"/>
        </w:rPr>
        <w:t>指令的发送</w:t>
      </w:r>
    </w:p>
    <w:p w14:paraId="348945CF"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基金管理人发送指令应采用传真方式或双方协商一致的</w:t>
      </w:r>
      <w:r>
        <w:rPr>
          <w:rFonts w:ascii="宋体" w:hAnsi="宋体" w:cs="Arial" w:hint="eastAsia"/>
          <w:sz w:val="24"/>
        </w:rPr>
        <w:t>其他方式。</w:t>
      </w:r>
    </w:p>
    <w:p w14:paraId="1147E4A7"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14:paraId="0E1B94F7"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指令发出后，基金管理人应及时以电话方式向基金托管人确认。</w:t>
      </w:r>
    </w:p>
    <w:p w14:paraId="532E8758"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2.</w:t>
      </w:r>
      <w:r>
        <w:rPr>
          <w:rFonts w:ascii="宋体" w:hAnsi="宋体" w:cs="Arial" w:hint="eastAsia"/>
          <w:sz w:val="24"/>
        </w:rPr>
        <w:t>指令的确认</w:t>
      </w:r>
    </w:p>
    <w:p w14:paraId="3B0B1CFA"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基金托管人应指定专人接收基金管理</w:t>
      </w:r>
      <w:r>
        <w:rPr>
          <w:rFonts w:ascii="宋体" w:hAnsi="宋体" w:cs="Arial" w:hint="eastAsia"/>
          <w:sz w:val="24"/>
        </w:rPr>
        <w:t>人的指令，预先通知基金管理人其名单，并与基金管理人商定指令发送和接收方式。指令到达基金托管人后，基金托管人应指定专人立即验证有关内容及印鉴和签章的表面一致性，如有疑问必须及时通知基金管理人。</w:t>
      </w:r>
    </w:p>
    <w:p w14:paraId="0EDFED62"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但</w:t>
      </w:r>
      <w:r>
        <w:rPr>
          <w:rFonts w:hint="eastAsia"/>
          <w:sz w:val="24"/>
        </w:rPr>
        <w:t>基金托管人未按协议约定尽形式审核义务执行指令而造成损失</w:t>
      </w:r>
      <w:r>
        <w:rPr>
          <w:rFonts w:hint="eastAsia"/>
          <w:sz w:val="24"/>
        </w:rPr>
        <w:t>的情形除外。</w:t>
      </w:r>
    </w:p>
    <w:p w14:paraId="08D5CA3C"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14:paraId="0AA10CFE"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w:t>
      </w:r>
      <w:r>
        <w:rPr>
          <w:rFonts w:ascii="宋体" w:hAnsi="宋体" w:cs="Arial" w:hint="eastAsia"/>
          <w:sz w:val="24"/>
        </w:rPr>
        <w:t>令的印鉴及被授权人签章等与预留印鉴和签章样本进行比对。基金管理人出具的划款指令中的编号不属于指令要素，属于基金管理人内部业务信息，基金托管人</w:t>
      </w:r>
      <w:r>
        <w:rPr>
          <w:rFonts w:ascii="宋体" w:hAnsi="宋体" w:cs="Arial" w:hint="eastAsia"/>
          <w:sz w:val="24"/>
        </w:rPr>
        <w:lastRenderedPageBreak/>
        <w:t>不对指令编号承担任何审核职责；指令复核无误后应在规定期限内及时执行。指令若以传真方式发出，则正本由基金管理人保管，基金托管人保管指令传真件。当两者不一致时，以基金托管人收到的指令传真件为准。</w:t>
      </w:r>
    </w:p>
    <w:p w14:paraId="34636CC7"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基金托管人可根据指令的内容要求基金管理人提供合同、协议等款项支付的文件依据，复核无误后应在规定期限内执行，不得延误。基金托管人仅对基金管理人提交的指令按照本协议的约定进行表面一致性</w:t>
      </w:r>
      <w:r>
        <w:rPr>
          <w:rFonts w:ascii="宋体" w:hAnsi="宋体" w:cs="Arial" w:hint="eastAsia"/>
          <w:sz w:val="24"/>
        </w:rPr>
        <w:t>审查，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基金托管人带来损失，基金托管人不存在过错的，由基金管理人承担相应的责任。</w:t>
      </w:r>
    </w:p>
    <w:p w14:paraId="6550CC7B"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3.</w:t>
      </w:r>
      <w:r>
        <w:rPr>
          <w:rFonts w:ascii="宋体" w:hAnsi="宋体" w:cs="Arial" w:hint="eastAsia"/>
          <w:sz w:val="24"/>
        </w:rPr>
        <w:t>指令的时间和执行</w:t>
      </w:r>
    </w:p>
    <w:p w14:paraId="67C181BE" w14:textId="77777777" w:rsidR="005A59EB" w:rsidRDefault="00C555D5">
      <w:pPr>
        <w:pStyle w:val="aa"/>
        <w:spacing w:line="360" w:lineRule="auto"/>
        <w:ind w:firstLineChars="0" w:firstLine="482"/>
        <w:rPr>
          <w:rFonts w:ascii="宋体" w:eastAsia="宋体" w:hAnsi="宋体" w:cs="Arial"/>
          <w:shd w:val="clear" w:color="FFFFFF" w:fill="D9D9D9"/>
        </w:rPr>
      </w:pPr>
      <w:r>
        <w:rPr>
          <w:rFonts w:ascii="宋体" w:eastAsia="宋体" w:hAnsi="宋体" w:cs="Arial" w:hint="eastAsia"/>
        </w:rPr>
        <w:t>对于要求当天到账的指令，必须在当天</w:t>
      </w:r>
      <w:r>
        <w:rPr>
          <w:rFonts w:ascii="宋体" w:eastAsia="宋体" w:hAnsi="宋体" w:cs="Arial" w:hint="eastAsia"/>
        </w:rPr>
        <w:t>15:30</w:t>
      </w:r>
      <w:r>
        <w:rPr>
          <w:rFonts w:ascii="宋体" w:eastAsia="宋体" w:hAnsi="宋体" w:cs="Arial" w:hint="eastAsia"/>
        </w:rPr>
        <w:t>前向基金托管人发送，</w:t>
      </w:r>
      <w:r>
        <w:rPr>
          <w:rFonts w:ascii="宋体" w:eastAsia="宋体" w:hAnsi="宋体" w:cs="Arial" w:hint="eastAsia"/>
        </w:rPr>
        <w:t>15:30</w:t>
      </w:r>
      <w:r>
        <w:rPr>
          <w:rFonts w:ascii="宋体" w:eastAsia="宋体" w:hAnsi="宋体" w:cs="Arial" w:hint="eastAsia"/>
        </w:rPr>
        <w:t>之后发送的，基金托管人尽力执行，但不能保证划账成功。如果要求当天某一时点到账的指令，则指令需要提前</w:t>
      </w:r>
      <w:r>
        <w:rPr>
          <w:rFonts w:ascii="宋体" w:eastAsia="宋体" w:hAnsi="宋体" w:cs="Arial" w:hint="eastAsia"/>
        </w:rPr>
        <w:t>2</w:t>
      </w:r>
      <w:r>
        <w:rPr>
          <w:rFonts w:ascii="宋体" w:eastAsia="宋体" w:hAnsi="宋体" w:cs="Arial" w:hint="eastAsia"/>
        </w:rPr>
        <w:t>个工</w:t>
      </w:r>
      <w:r>
        <w:rPr>
          <w:rFonts w:ascii="宋体" w:eastAsia="宋体" w:hAnsi="宋体" w:cs="Arial" w:hint="eastAsia"/>
        </w:rPr>
        <w:t>作小时发送，并且相关付款条件已经具备。基金托管人将视付款条件具备时为指令送达时间。</w:t>
      </w:r>
      <w:r>
        <w:rPr>
          <w:rFonts w:ascii="宋体" w:eastAsia="宋体" w:hAnsi="宋体" w:cs="Arial" w:hint="eastAsia"/>
          <w:szCs w:val="24"/>
        </w:rPr>
        <w:t>因基金管理人指令传输不及时，致使资金未能及时划入中国证券登记结算有限责任公司所造成的损失由基金管理人承担</w:t>
      </w:r>
      <w:r>
        <w:rPr>
          <w:rFonts w:ascii="宋体" w:eastAsia="宋体" w:hAnsi="宋体" w:cs="Arial" w:hint="eastAsia"/>
        </w:rPr>
        <w:t>。</w:t>
      </w:r>
      <w:r>
        <w:rPr>
          <w:rFonts w:ascii="宋体" w:eastAsia="宋体" w:hAnsi="宋体" w:cs="Arial" w:hint="eastAsia"/>
          <w:szCs w:val="24"/>
        </w:rPr>
        <w:t>基金管理人应确保基金托管人在执行指令时，基金资金账户有足够的资金余额，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059B47EB" w14:textId="77777777" w:rsidR="005A59EB" w:rsidRDefault="00C555D5">
      <w:pPr>
        <w:pStyle w:val="2"/>
      </w:pPr>
      <w:r>
        <w:rPr>
          <w:rFonts w:hint="eastAsia"/>
        </w:rPr>
        <w:t>（四）基金管理人发送错误指令的情形和处理程序</w:t>
      </w:r>
    </w:p>
    <w:p w14:paraId="3122B972"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基金管理人发送错误指令的情形包括指令违反法律法规和《基金合同》，指令发送人员无权或超越权限发送指</w:t>
      </w:r>
      <w:r>
        <w:rPr>
          <w:rFonts w:ascii="宋体" w:hAnsi="宋体" w:cs="Arial" w:hint="eastAsia"/>
          <w:sz w:val="24"/>
        </w:rPr>
        <w:t>令及交割信息错误，指令中重要信息模糊不清或不全等。</w:t>
      </w:r>
    </w:p>
    <w:p w14:paraId="1C31114C"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在履行监督职能时，发现基金管理人的指令错误时，有权视情况暂缓或拒绝执行，并及时通知基金管理人改正。基金管理人若修改或要求基金托管人终止执行已经发送的指令，应先电话通知基金托管人，若基金托管人还未执行原指令，基金管理人可重新发送新指令并在原指令上注明“作废”字样并由被授权人签章加盖预留印鉴后发送基金托管人，基金托管人收到新指令和停止执行的指令后，应停止执行原指令并按新指令执行；但若原指令在基金托管人收到基金管理人通知前已执行，则应向基金管理人电话说</w:t>
      </w:r>
      <w:r>
        <w:rPr>
          <w:rFonts w:ascii="宋体" w:hAnsi="宋体" w:cs="Arial" w:hint="eastAsia"/>
          <w:sz w:val="24"/>
        </w:rPr>
        <w:t>明，基金托管人不承担因为执行原指令而造</w:t>
      </w:r>
      <w:r>
        <w:rPr>
          <w:rFonts w:ascii="宋体" w:hAnsi="宋体" w:cs="Arial" w:hint="eastAsia"/>
          <w:sz w:val="24"/>
        </w:rPr>
        <w:lastRenderedPageBreak/>
        <w:t>成的损失或责任。</w:t>
      </w:r>
    </w:p>
    <w:p w14:paraId="21716402" w14:textId="77777777" w:rsidR="005A59EB" w:rsidRDefault="00C555D5">
      <w:pPr>
        <w:pStyle w:val="2"/>
      </w:pPr>
      <w:r>
        <w:rPr>
          <w:rFonts w:hint="eastAsia"/>
        </w:rPr>
        <w:t>（五）基金托管人依照法律法规拒绝执行指令的情形和处理程序</w:t>
      </w:r>
    </w:p>
    <w:p w14:paraId="16165A93"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若基金托管人发现基金管理人的指令违反法律法规，或者违反《基金合同》约定的，有权视情况拒绝执行，立即通知基金管理人。</w:t>
      </w:r>
    </w:p>
    <w:p w14:paraId="729D7591" w14:textId="77777777" w:rsidR="005A59EB" w:rsidRDefault="00C555D5">
      <w:pPr>
        <w:pStyle w:val="2"/>
      </w:pPr>
      <w:r>
        <w:rPr>
          <w:rFonts w:hint="eastAsia"/>
        </w:rPr>
        <w:t>（六）基金托管人未按照基金管理人指令执行的处理方法</w:t>
      </w:r>
    </w:p>
    <w:p w14:paraId="1DB43669"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基金托管人由于自身过错原因，未按照基金管理人发送的指令执行并对基金管理人、基金财产或投资人造成的直接损失，由基金托管人</w:t>
      </w:r>
      <w:r>
        <w:rPr>
          <w:rFonts w:ascii="宋体" w:hAnsi="宋体" w:hint="eastAsia"/>
          <w:sz w:val="24"/>
        </w:rPr>
        <w:t>赔偿由此造成的直接损失。</w:t>
      </w:r>
    </w:p>
    <w:p w14:paraId="25982201" w14:textId="77777777" w:rsidR="005A59EB" w:rsidRDefault="00C555D5">
      <w:pPr>
        <w:pStyle w:val="2"/>
      </w:pPr>
      <w:r>
        <w:rPr>
          <w:rFonts w:hint="eastAsia"/>
        </w:rPr>
        <w:t>（七）更换被授权人的程序</w:t>
      </w:r>
    </w:p>
    <w:p w14:paraId="585D3B41"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管理人更换被授权人、更改或终止对被授权人的授权，应至少提前一个工作日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以基金托管人收到的传真件为准</w:t>
      </w:r>
      <w:r>
        <w:rPr>
          <w:rFonts w:ascii="宋体" w:hAnsi="宋体" w:hint="eastAsia"/>
          <w:sz w:val="24"/>
        </w:rPr>
        <w:t>。</w:t>
      </w:r>
      <w:r>
        <w:rPr>
          <w:rFonts w:ascii="宋体" w:hAnsi="宋体" w:cs="Arial" w:hint="eastAsia"/>
          <w:sz w:val="24"/>
        </w:rPr>
        <w:t>基金托管人更换接收基金管理人指令的人员，应提前通过录音电话通知基金管理人。</w:t>
      </w:r>
    </w:p>
    <w:p w14:paraId="0BB723FA" w14:textId="77777777" w:rsidR="005A59EB" w:rsidRDefault="00C555D5">
      <w:pPr>
        <w:pStyle w:val="2"/>
      </w:pPr>
      <w:r>
        <w:rPr>
          <w:rFonts w:hint="eastAsia"/>
        </w:rPr>
        <w:t>（八）其他事项</w:t>
      </w:r>
    </w:p>
    <w:p w14:paraId="75373ADF" w14:textId="77777777" w:rsidR="005A59EB" w:rsidRDefault="00C555D5">
      <w:pPr>
        <w:adjustRightInd w:val="0"/>
        <w:snapToGrid w:val="0"/>
        <w:spacing w:line="360" w:lineRule="auto"/>
        <w:ind w:firstLine="482"/>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基金参与认购未上市债券时，基金管理人应代表本基金与对手方签署相关合同或协议，明确约定债券过户具体事宜。否则，基金管理人需根据其过错情况对所认购债券的过户事宜承担相应责任。</w:t>
      </w:r>
    </w:p>
    <w:p w14:paraId="62DA6BC1" w14:textId="77777777" w:rsidR="005A59EB" w:rsidRDefault="005A59EB">
      <w:pPr>
        <w:adjustRightInd w:val="0"/>
        <w:snapToGrid w:val="0"/>
        <w:rPr>
          <w:rFonts w:ascii="彩虹粗仿宋" w:eastAsia="彩虹粗仿宋" w:hAnsi="宋体" w:cs="Arial"/>
          <w:sz w:val="24"/>
        </w:rPr>
      </w:pPr>
    </w:p>
    <w:p w14:paraId="298C23F3" w14:textId="77777777" w:rsidR="005A59EB" w:rsidRDefault="00C555D5">
      <w:bookmarkStart w:id="73" w:name="_Toc89163371"/>
      <w:bookmarkStart w:id="74" w:name="_Toc110761799"/>
      <w:bookmarkStart w:id="75" w:name="_Toc86204791"/>
      <w:bookmarkStart w:id="76" w:name="_Toc84234437"/>
      <w:bookmarkStart w:id="77" w:name="_Toc118972651"/>
      <w:bookmarkStart w:id="78" w:name="_Toc118774806"/>
      <w:bookmarkStart w:id="79" w:name="_Toc84234390"/>
      <w:bookmarkStart w:id="80" w:name="_Toc108512361"/>
      <w:bookmarkStart w:id="81" w:name="_Toc124325891"/>
      <w:bookmarkStart w:id="82" w:name="_Toc86225294"/>
      <w:bookmarkStart w:id="83" w:name="_Toc119402713"/>
      <w:bookmarkStart w:id="84" w:name="_Toc86726442"/>
      <w:bookmarkStart w:id="85" w:name="_Toc120435786"/>
      <w:bookmarkStart w:id="86" w:name="_Toc110830495"/>
      <w:bookmarkStart w:id="87" w:name="_Toc86223245"/>
      <w:bookmarkStart w:id="88" w:name="_Toc86649725"/>
      <w:bookmarkStart w:id="89" w:name="_Toc118212953"/>
      <w:bookmarkStart w:id="90" w:name="_Toc86727358"/>
      <w:bookmarkStart w:id="91" w:name="_Toc110765663"/>
      <w:bookmarkStart w:id="92" w:name="_Toc86737932"/>
      <w:bookmarkStart w:id="93" w:name="_Toc84133788"/>
      <w:r>
        <w:rPr>
          <w:rFonts w:hint="eastAsia"/>
        </w:rPr>
        <w:br w:type="page"/>
      </w:r>
    </w:p>
    <w:p w14:paraId="7064B6EF" w14:textId="77777777" w:rsidR="005A59EB" w:rsidRDefault="00C555D5">
      <w:pPr>
        <w:pStyle w:val="1"/>
        <w:spacing w:line="416" w:lineRule="auto"/>
        <w:ind w:firstLine="0"/>
      </w:pPr>
      <w:r>
        <w:rPr>
          <w:rFonts w:hint="eastAsia"/>
        </w:rPr>
        <w:lastRenderedPageBreak/>
        <w:t>七、交易及清算交收安排</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07F6DCA" w14:textId="77777777" w:rsidR="005A59EB" w:rsidRDefault="00C555D5">
      <w:pPr>
        <w:pStyle w:val="2"/>
      </w:pPr>
      <w:r>
        <w:rPr>
          <w:rFonts w:hint="eastAsia"/>
        </w:rPr>
        <w:t>（一）选择证券、期货买卖的证券、期货经营机构</w:t>
      </w:r>
    </w:p>
    <w:p w14:paraId="3DA72396" w14:textId="77777777" w:rsidR="005A59EB" w:rsidRDefault="00C555D5">
      <w:pPr>
        <w:adjustRightInd w:val="0"/>
        <w:snapToGrid w:val="0"/>
        <w:spacing w:line="360" w:lineRule="auto"/>
        <w:ind w:firstLineChars="200" w:firstLine="480"/>
        <w:rPr>
          <w:rFonts w:ascii="宋体" w:hAnsi="宋体"/>
          <w:sz w:val="24"/>
        </w:rPr>
      </w:pPr>
      <w:r>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通知基金托管人，并依据基金托管人要求提供相关资料，以便基金托管人申请办理</w:t>
      </w:r>
      <w:r>
        <w:rPr>
          <w:rFonts w:ascii="宋体" w:hAnsi="宋体" w:hint="eastAsia"/>
          <w:sz w:val="24"/>
        </w:rPr>
        <w:t>接收结算数据手续。</w:t>
      </w:r>
    </w:p>
    <w:p w14:paraId="464F78A4" w14:textId="77777777" w:rsidR="005A59EB" w:rsidRDefault="00C555D5">
      <w:pPr>
        <w:adjustRightInd w:val="0"/>
        <w:snapToGrid w:val="0"/>
        <w:spacing w:line="360" w:lineRule="auto"/>
        <w:ind w:firstLineChars="200" w:firstLine="480"/>
        <w:rPr>
          <w:rFonts w:ascii="宋体" w:hAnsi="宋体"/>
          <w:sz w:val="24"/>
        </w:rPr>
      </w:pPr>
      <w:r>
        <w:rPr>
          <w:rFonts w:ascii="宋体" w:hAnsi="宋体" w:hint="eastAsia"/>
          <w:sz w:val="24"/>
        </w:rPr>
        <w:t>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6E992DD3" w14:textId="77777777" w:rsidR="005A59EB" w:rsidRDefault="00C555D5">
      <w:pPr>
        <w:adjustRightInd w:val="0"/>
        <w:snapToGrid w:val="0"/>
        <w:spacing w:line="360" w:lineRule="auto"/>
        <w:ind w:firstLineChars="200" w:firstLine="480"/>
        <w:rPr>
          <w:rFonts w:ascii="宋体" w:hAnsi="宋体"/>
          <w:sz w:val="24"/>
        </w:rPr>
      </w:pPr>
      <w:r>
        <w:rPr>
          <w:rFonts w:ascii="宋体" w:hAnsi="宋体" w:hint="eastAsia"/>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5CAFB945" w14:textId="77777777" w:rsidR="005A59EB" w:rsidRDefault="00C555D5">
      <w:pPr>
        <w:pStyle w:val="2"/>
      </w:pPr>
      <w:r>
        <w:rPr>
          <w:rFonts w:hint="eastAsia"/>
        </w:rPr>
        <w:t>（二）基金投资证券后的清算交收安排</w:t>
      </w:r>
    </w:p>
    <w:p w14:paraId="17A00AE4"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1.</w:t>
      </w:r>
      <w:r>
        <w:rPr>
          <w:rFonts w:ascii="宋体" w:hAnsi="宋体" w:cs="Arial" w:hint="eastAsia"/>
          <w:sz w:val="24"/>
        </w:rPr>
        <w:t>清算与交割</w:t>
      </w:r>
    </w:p>
    <w:p w14:paraId="26E48B81" w14:textId="77777777" w:rsidR="005A59EB" w:rsidRDefault="00C555D5">
      <w:pPr>
        <w:adjustRightInd w:val="0"/>
        <w:snapToGrid w:val="0"/>
        <w:spacing w:line="360" w:lineRule="auto"/>
        <w:ind w:firstLine="480"/>
        <w:rPr>
          <w:rFonts w:ascii="宋体" w:hAnsi="宋体"/>
          <w:sz w:val="24"/>
        </w:rPr>
      </w:pPr>
      <w:r>
        <w:rPr>
          <w:rFonts w:ascii="宋体" w:hAnsi="宋体" w:hint="eastAsia"/>
          <w:sz w:val="24"/>
        </w:rPr>
        <w:t>基金管理人与基金托管人应根据有关法律法规及相关业务规则</w:t>
      </w:r>
      <w:r>
        <w:rPr>
          <w:rFonts w:ascii="宋体" w:hAnsi="宋体" w:hint="eastAsia"/>
          <w:sz w:val="24"/>
        </w:rPr>
        <w:t>，签订《托管银行证券资金结算协议》，用以具体明确基金管理人与基金托管人在证券交易资金结算业务中的责任。</w:t>
      </w:r>
    </w:p>
    <w:p w14:paraId="28C89FC4" w14:textId="77777777" w:rsidR="005A59EB" w:rsidRDefault="00C555D5">
      <w:pPr>
        <w:adjustRightInd w:val="0"/>
        <w:snapToGrid w:val="0"/>
        <w:spacing w:line="360" w:lineRule="auto"/>
        <w:ind w:firstLine="480"/>
        <w:rPr>
          <w:rFonts w:ascii="宋体" w:hAnsi="宋体" w:cs="Arial"/>
          <w:sz w:val="24"/>
        </w:rPr>
      </w:pPr>
      <w:r>
        <w:rPr>
          <w:rFonts w:ascii="宋体" w:hAnsi="宋体" w:hint="eastAsia"/>
          <w:sz w:val="24"/>
        </w:rPr>
        <w:t>根据中国证券登记结算有限责任公司规定，中国证券登记结算有限责任公司每月初对结算参与人的最低结算备付金、结算保证金限额进行重新核算、调整。基金托管人在中国证券登记结算有限责任公司调整最低结算备付金、结算保证金当日，在账户资金报告中反映调整后的最低结算备付金和结算保证金。基金管理人应预留最低结算备付金和结算保证金，并根据中国证券登记结算有限责任公司确定的实际最低结算备付金、结算保证金数据为依据安排资金运作，调</w:t>
      </w:r>
      <w:r>
        <w:rPr>
          <w:rFonts w:ascii="宋体" w:hAnsi="宋体" w:hint="eastAsia"/>
          <w:sz w:val="24"/>
        </w:rPr>
        <w:t>整所需的现金头寸。</w:t>
      </w:r>
    </w:p>
    <w:p w14:paraId="33A5FC1E"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1C5E38B"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如果因为基金托管人自身原因在清算上造成基金财产的直接损失，应由基金托管人负责赔偿；如果因为基金管理人未事先通知基金托管人增加交易单元等事</w:t>
      </w:r>
      <w:r>
        <w:rPr>
          <w:rFonts w:ascii="宋体" w:hAnsi="宋体" w:cs="Arial" w:hint="eastAsia"/>
          <w:sz w:val="24"/>
        </w:rPr>
        <w:lastRenderedPageBreak/>
        <w:t>宜，致使基金托管人接收数据不完整，造成清算差错的责任由基金管理人承担；如果因为基金管理人未事先通知需要单独结算的交易，造成基金资产损失的由基金管理人承担；如果由于基金管理人违反市场操作</w:t>
      </w:r>
      <w:r>
        <w:rPr>
          <w:rFonts w:ascii="宋体" w:hAnsi="宋体" w:cs="Arial" w:hint="eastAsia"/>
          <w:sz w:val="24"/>
        </w:rPr>
        <w:t>规则的规定进行超买、超卖及质押券欠库等原因造成基金投资清算困难和风险的，基金托管人发现后应立即通知基金管理人，由基金管理人负责解决，由此给基金托管人、本基金造成的直接损失由基金管理人承担。</w:t>
      </w:r>
    </w:p>
    <w:p w14:paraId="1FB6FA67" w14:textId="77777777" w:rsidR="005A59EB" w:rsidRDefault="00C555D5">
      <w:pPr>
        <w:adjustRightInd w:val="0"/>
        <w:snapToGrid w:val="0"/>
        <w:spacing w:line="360" w:lineRule="auto"/>
        <w:ind w:firstLine="480"/>
        <w:rPr>
          <w:rFonts w:ascii="宋体" w:hAnsi="宋体" w:cs="宋体"/>
          <w:color w:val="000000"/>
          <w:kern w:val="0"/>
          <w:sz w:val="24"/>
          <w:shd w:val="pct10" w:color="auto" w:fill="FFFFFF"/>
        </w:rPr>
      </w:pPr>
      <w:r>
        <w:rPr>
          <w:rFonts w:ascii="宋体" w:hAnsi="宋体" w:cs="宋体" w:hint="eastAsia"/>
          <w:color w:val="000000"/>
          <w:kern w:val="0"/>
          <w:sz w:val="24"/>
        </w:rPr>
        <w:t>基金管理人应采取合理、必要措施，确保</w:t>
      </w:r>
      <w:r>
        <w:rPr>
          <w:rFonts w:ascii="宋体" w:hAnsi="宋体" w:cs="宋体" w:hint="eastAsia"/>
          <w:color w:val="000000"/>
          <w:kern w:val="0"/>
          <w:sz w:val="24"/>
        </w:rPr>
        <w:t>T</w:t>
      </w:r>
      <w:r>
        <w:rPr>
          <w:rFonts w:ascii="宋体" w:hAnsi="宋体" w:cs="宋体" w:hint="eastAsia"/>
          <w:color w:val="000000"/>
          <w:kern w:val="0"/>
          <w:sz w:val="24"/>
        </w:rPr>
        <w:t>日日终有足够的资金头寸完成</w:t>
      </w:r>
      <w:r>
        <w:rPr>
          <w:rFonts w:ascii="宋体" w:hAnsi="宋体" w:cs="宋体" w:hint="eastAsia"/>
          <w:color w:val="000000"/>
          <w:kern w:val="0"/>
          <w:sz w:val="24"/>
        </w:rPr>
        <w:t>T+1</w:t>
      </w:r>
      <w:r>
        <w:rPr>
          <w:rFonts w:ascii="宋体" w:hAnsi="宋体" w:cs="宋体" w:hint="eastAsia"/>
          <w:color w:val="000000"/>
          <w:kern w:val="0"/>
          <w:sz w:val="24"/>
        </w:rPr>
        <w:t>日的投资交易资金结算；如因基金管理人原因导致资金头寸不足，基金管理人应在</w:t>
      </w:r>
      <w:r>
        <w:rPr>
          <w:rFonts w:ascii="宋体" w:hAnsi="宋体" w:cs="宋体" w:hint="eastAsia"/>
          <w:color w:val="000000"/>
          <w:kern w:val="0"/>
          <w:sz w:val="24"/>
        </w:rPr>
        <w:t>T+1</w:t>
      </w:r>
      <w:r>
        <w:rPr>
          <w:rFonts w:ascii="宋体" w:hAnsi="宋体" w:cs="宋体" w:hint="eastAsia"/>
          <w:color w:val="000000"/>
          <w:kern w:val="0"/>
          <w:sz w:val="24"/>
        </w:rPr>
        <w:t>日上午</w:t>
      </w:r>
      <w:r>
        <w:rPr>
          <w:rFonts w:ascii="宋体" w:hAnsi="宋体" w:cs="宋体"/>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00</w:t>
      </w:r>
      <w:r>
        <w:rPr>
          <w:rFonts w:ascii="宋体" w:hAnsi="宋体" w:cs="宋体" w:hint="eastAsia"/>
          <w:color w:val="000000"/>
          <w:kern w:val="0"/>
          <w:sz w:val="24"/>
        </w:rPr>
        <w:t>前补足透支款项，确保资金清算。如果未遵循上述规定备足资金头寸，影响基金资产的清算交收，由此给基金资产造成的直接损失由基金管理人负责。</w:t>
      </w:r>
    </w:p>
    <w:p w14:paraId="49B1100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宋体" w:hint="eastAsia"/>
          <w:color w:val="000000"/>
          <w:kern w:val="0"/>
          <w:sz w:val="24"/>
        </w:rPr>
        <w:t>根据中国证券登记结算有限</w:t>
      </w:r>
      <w:r>
        <w:rPr>
          <w:rFonts w:ascii="宋体" w:hAnsi="宋体" w:cs="宋体" w:hint="eastAsia"/>
          <w:color w:val="000000"/>
          <w:kern w:val="0"/>
          <w:sz w:val="24"/>
        </w:rPr>
        <w:t>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8C06F0D"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实行场内</w:t>
      </w:r>
      <w:r>
        <w:rPr>
          <w:rFonts w:ascii="宋体" w:hAnsi="宋体" w:cs="Arial" w:hint="eastAsia"/>
          <w:sz w:val="24"/>
        </w:rPr>
        <w:t>T+0</w:t>
      </w:r>
      <w:r>
        <w:rPr>
          <w:rFonts w:ascii="宋体" w:hAnsi="宋体" w:cs="Arial" w:hint="eastAsia"/>
          <w:sz w:val="24"/>
        </w:rPr>
        <w:t>交收的资金清算按照基金托管人的相关规定流程执行。</w:t>
      </w:r>
    </w:p>
    <w:p w14:paraId="79711A63"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2.</w:t>
      </w:r>
      <w:r>
        <w:rPr>
          <w:rFonts w:ascii="宋体" w:hAnsi="宋体" w:cs="Arial" w:hint="eastAsia"/>
          <w:sz w:val="24"/>
        </w:rPr>
        <w:t>交易记录、资金和证券账目核对的时间和方式</w:t>
      </w:r>
    </w:p>
    <w:p w14:paraId="030E51E9"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）交易记录的核对</w:t>
      </w:r>
    </w:p>
    <w:p w14:paraId="57691A8E"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hint="eastAsia"/>
          <w:kern w:val="0"/>
          <w:sz w:val="24"/>
        </w:rPr>
        <w:t>基金管理人、基金托管人按日进行交易记录的核对。对外披露基金份额净值之前，必须保证当天所有实际交易记录与基金会计</w:t>
      </w:r>
      <w:r>
        <w:rPr>
          <w:rFonts w:ascii="宋体" w:hAnsi="宋体" w:hint="eastAsia"/>
          <w:kern w:val="0"/>
          <w:sz w:val="24"/>
        </w:rPr>
        <w:t>账簿上的交易记录完全一致。如果实际交易记录与会计账簿记录不一致，造成基金会计核算不完整或不真实，由此导致的损失由责任方承担。</w:t>
      </w:r>
    </w:p>
    <w:p w14:paraId="762C9B4B"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）资金账目的核对</w:t>
      </w:r>
    </w:p>
    <w:p w14:paraId="284E77B2"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资金账目由基金管理人和基金托管人按日核实。</w:t>
      </w:r>
    </w:p>
    <w:p w14:paraId="6552AD6C"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w:t>
      </w:r>
      <w:r>
        <w:rPr>
          <w:rFonts w:ascii="宋体" w:hAnsi="宋体" w:cs="Arial" w:hint="eastAsia"/>
          <w:sz w:val="24"/>
        </w:rPr>
        <w:t>3</w:t>
      </w:r>
      <w:r>
        <w:rPr>
          <w:rFonts w:ascii="宋体" w:hAnsi="宋体" w:cs="Arial" w:hint="eastAsia"/>
          <w:sz w:val="24"/>
        </w:rPr>
        <w:t>）证券账目的核对</w:t>
      </w:r>
    </w:p>
    <w:p w14:paraId="2FD3E632"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基金管理人和基金托管人每交易日结束后核对基金证券账目，确保双方账目相符。基金管理人和基金托管人每月月末核对非交易所场内的证券账目。</w:t>
      </w:r>
    </w:p>
    <w:p w14:paraId="6F32DD75" w14:textId="77777777" w:rsidR="005A59EB" w:rsidRDefault="00C555D5">
      <w:pPr>
        <w:pStyle w:val="2"/>
      </w:pPr>
      <w:r>
        <w:rPr>
          <w:rFonts w:hint="eastAsia"/>
        </w:rPr>
        <w:t>（三）基金申购和赎回业务处理的基本规定</w:t>
      </w:r>
    </w:p>
    <w:p w14:paraId="0D66D4C8"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1.</w:t>
      </w:r>
      <w:r>
        <w:rPr>
          <w:rFonts w:ascii="宋体" w:hAnsi="宋体" w:cs="Arial" w:hint="eastAsia"/>
          <w:sz w:val="24"/>
        </w:rPr>
        <w:t>基金份额申购、赎回的确认和清算由基金管理人或其委托的登记机构负责。</w:t>
      </w:r>
    </w:p>
    <w:p w14:paraId="3CFDB920"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lastRenderedPageBreak/>
        <w:t>2.</w:t>
      </w:r>
      <w:r>
        <w:rPr>
          <w:rFonts w:ascii="宋体" w:hAnsi="宋体"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CB3CA80"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3.</w:t>
      </w:r>
      <w:r>
        <w:rPr>
          <w:rFonts w:ascii="宋体" w:hAnsi="宋体" w:cs="Arial" w:hint="eastAsia"/>
          <w:sz w:val="24"/>
        </w:rPr>
        <w:t>基金管理人应保证本基金（或本基金管理人委托）的登记机构每个工作日</w:t>
      </w:r>
      <w:r>
        <w:rPr>
          <w:rFonts w:ascii="宋体" w:hAnsi="宋体" w:cs="Arial" w:hint="eastAsia"/>
          <w:sz w:val="24"/>
        </w:rPr>
        <w:t>15:00</w:t>
      </w:r>
      <w:r>
        <w:rPr>
          <w:rFonts w:ascii="宋体" w:hAnsi="宋体" w:cs="Arial" w:hint="eastAsia"/>
          <w:sz w:val="24"/>
        </w:rPr>
        <w:t>前向基金托管人发送前一开放日上述有关数据，并保证相关数据的准确、完整。</w:t>
      </w:r>
    </w:p>
    <w:p w14:paraId="486C9473"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4.</w:t>
      </w:r>
      <w:r>
        <w:rPr>
          <w:rFonts w:ascii="宋体" w:hAnsi="宋体" w:cs="Arial" w:hint="eastAsia"/>
          <w:sz w:val="24"/>
        </w:rPr>
        <w:t>登记机构应通过与基金托管人建立的系统发送有关数据</w:t>
      </w:r>
      <w:r>
        <w:rPr>
          <w:rFonts w:ascii="宋体" w:hAnsi="宋体" w:cs="Arial" w:hint="eastAsia"/>
          <w:sz w:val="24"/>
        </w:rPr>
        <w:t>(</w:t>
      </w:r>
      <w:r>
        <w:rPr>
          <w:rFonts w:ascii="宋体" w:hAnsi="宋体" w:cs="Arial" w:hint="eastAsia"/>
          <w:sz w:val="24"/>
        </w:rPr>
        <w:t>包括电子数据</w:t>
      </w:r>
      <w:r>
        <w:rPr>
          <w:rFonts w:ascii="宋体" w:hAnsi="宋体" w:cs="Arial" w:hint="eastAsia"/>
          <w:sz w:val="24"/>
        </w:rPr>
        <w:t>)</w:t>
      </w:r>
      <w:r>
        <w:rPr>
          <w:rFonts w:ascii="宋体" w:hAnsi="宋体" w:cs="Arial" w:hint="eastAsia"/>
          <w:sz w:val="24"/>
        </w:rPr>
        <w:t>，如因各种原因，该系统无法正常发送，双方可协商解决处理方式。</w:t>
      </w:r>
      <w:r>
        <w:rPr>
          <w:rFonts w:ascii="宋体" w:hAnsi="宋体" w:cs="Arial" w:hint="eastAsia"/>
          <w:sz w:val="24"/>
        </w:rPr>
        <w:t>基金管理人向基金托管人发送的数据，双方各自按有关规定保存。</w:t>
      </w:r>
    </w:p>
    <w:p w14:paraId="5DF69C9B"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5.</w:t>
      </w:r>
      <w:r>
        <w:rPr>
          <w:rFonts w:ascii="宋体" w:hAnsi="宋体" w:cs="Arial" w:hint="eastAsia"/>
          <w:sz w:val="24"/>
        </w:rPr>
        <w:t>如基金管理人委托其他机构办理本基金的登记业务，应保证上述相关事宜按时进行。否则，由基金管理人承担相应的责任。</w:t>
      </w:r>
    </w:p>
    <w:p w14:paraId="58E2C325"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6.</w:t>
      </w:r>
      <w:r>
        <w:rPr>
          <w:rFonts w:ascii="宋体" w:hAnsi="宋体" w:cs="Arial" w:hint="eastAsia"/>
          <w:sz w:val="24"/>
        </w:rPr>
        <w:t>关于</w:t>
      </w:r>
      <w:r>
        <w:rPr>
          <w:rFonts w:ascii="宋体" w:hAnsi="宋体" w:cs="Arial"/>
          <w:sz w:val="24"/>
        </w:rPr>
        <w:t>注册登记</w:t>
      </w:r>
      <w:r>
        <w:rPr>
          <w:rFonts w:ascii="宋体" w:hAnsi="宋体" w:cs="Arial" w:hint="eastAsia"/>
          <w:sz w:val="24"/>
        </w:rPr>
        <w:t>账户的设立和管理</w:t>
      </w:r>
    </w:p>
    <w:p w14:paraId="0E653E4F"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为满足申购、赎回及分红资金汇划的需要，由基金管理人开立资金清算的专用注册登记账户，该账户由登记机构管理。</w:t>
      </w:r>
    </w:p>
    <w:p w14:paraId="5D140456"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7.</w:t>
      </w:r>
      <w:r>
        <w:rPr>
          <w:rFonts w:ascii="宋体"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w:t>
      </w:r>
      <w:r>
        <w:rPr>
          <w:rFonts w:ascii="宋体" w:hAnsi="宋体" w:cs="Arial" w:hint="eastAsia"/>
          <w:sz w:val="24"/>
        </w:rPr>
        <w:t>，基金管理人应负责向有关当事人追偿基金的损失，基金托管人应予以必要的协助和配合。</w:t>
      </w:r>
    </w:p>
    <w:p w14:paraId="63F73473"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8.</w:t>
      </w:r>
      <w:r>
        <w:rPr>
          <w:rFonts w:ascii="宋体" w:hAnsi="宋体" w:cs="Arial" w:hint="eastAsia"/>
          <w:sz w:val="24"/>
        </w:rPr>
        <w:t>赎回和分红资金划拨规定</w:t>
      </w:r>
    </w:p>
    <w:p w14:paraId="1DA41E7C"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拨付赎回款或进行基金分红时，如基金资金账户有足够的资金，基金托管人应按时拨付；因基金资金账户没有足够的资金，导致基金托管人不能按时拨付，基金托管人应及时通知基金管理人，如系基金管理人的原因造成，责任由基金管理人承担，基金托管人不承担垫款义务。</w:t>
      </w:r>
    </w:p>
    <w:p w14:paraId="5C7F943C" w14:textId="77777777" w:rsidR="005A59EB" w:rsidRDefault="00C555D5">
      <w:pPr>
        <w:pStyle w:val="2"/>
      </w:pPr>
      <w:r>
        <w:rPr>
          <w:rFonts w:hint="eastAsia"/>
        </w:rPr>
        <w:t>（四）申赎净额结算</w:t>
      </w:r>
    </w:p>
    <w:p w14:paraId="2566AA40" w14:textId="77777777" w:rsidR="005A59EB" w:rsidRDefault="00C555D5">
      <w:pPr>
        <w:adjustRightInd w:val="0"/>
        <w:snapToGrid w:val="0"/>
        <w:spacing w:line="360" w:lineRule="auto"/>
        <w:ind w:firstLine="480"/>
        <w:rPr>
          <w:rFonts w:ascii="宋体" w:hAnsi="宋体" w:cs="Arial"/>
          <w:sz w:val="24"/>
        </w:rPr>
      </w:pPr>
      <w:r>
        <w:rPr>
          <w:rFonts w:ascii="宋体" w:hAnsi="宋体" w:cs="Arial" w:hint="eastAsia"/>
          <w:sz w:val="24"/>
        </w:rPr>
        <w:t>基金托管账户与“注册登记账户”间的资金结算遵循“全额清算、净额交收”的原则，每日</w:t>
      </w:r>
      <w:r>
        <w:rPr>
          <w:rFonts w:ascii="宋体" w:hAnsi="宋体" w:cs="Arial" w:hint="eastAsia"/>
          <w:sz w:val="24"/>
        </w:rPr>
        <w:t>(T</w:t>
      </w:r>
      <w:r>
        <w:rPr>
          <w:rFonts w:ascii="宋体" w:hAnsi="宋体" w:cs="Arial" w:hint="eastAsia"/>
          <w:sz w:val="24"/>
        </w:rPr>
        <w:t>日：资金交收日，下同</w:t>
      </w:r>
      <w:r>
        <w:rPr>
          <w:rFonts w:ascii="宋体" w:hAnsi="宋体" w:cs="Arial" w:hint="eastAsia"/>
          <w:sz w:val="24"/>
        </w:rPr>
        <w:t>)</w:t>
      </w:r>
      <w:r>
        <w:rPr>
          <w:rFonts w:ascii="宋体" w:hAnsi="宋体" w:cs="Arial" w:hint="eastAsia"/>
          <w:sz w:val="24"/>
        </w:rPr>
        <w:t>按照托管账户应收资金与应付资金的</w:t>
      </w:r>
      <w:r>
        <w:rPr>
          <w:rFonts w:ascii="宋体" w:hAnsi="宋体" w:cs="Arial" w:hint="eastAsia"/>
          <w:sz w:val="24"/>
        </w:rPr>
        <w:t>差额来确定托管账户净应收额或净应付额，以此确定资金交收额。当存在托管账户净应收额时，基金管理人应在</w:t>
      </w:r>
      <w:r>
        <w:rPr>
          <w:rFonts w:ascii="宋体" w:hAnsi="宋体" w:cs="Arial" w:hint="eastAsia"/>
          <w:sz w:val="24"/>
        </w:rPr>
        <w:t>T</w:t>
      </w:r>
      <w:r>
        <w:rPr>
          <w:rFonts w:ascii="宋体" w:hAnsi="宋体" w:cs="Arial" w:hint="eastAsia"/>
          <w:sz w:val="24"/>
        </w:rPr>
        <w:t>日</w:t>
      </w:r>
      <w:r>
        <w:rPr>
          <w:rFonts w:ascii="宋体" w:hAnsi="宋体" w:cs="Arial" w:hint="eastAsia"/>
          <w:sz w:val="24"/>
        </w:rPr>
        <w:t>15:00</w:t>
      </w:r>
      <w:r>
        <w:rPr>
          <w:rFonts w:ascii="宋体" w:hAnsi="宋体" w:cs="Arial" w:hint="eastAsia"/>
          <w:sz w:val="24"/>
        </w:rPr>
        <w:t>之前从注册登记账户划到基金托管账户；当存在托管账户净应付额时，基金管理人应在</w:t>
      </w:r>
      <w:r>
        <w:rPr>
          <w:rFonts w:ascii="宋体" w:hAnsi="宋体" w:cs="Arial" w:hint="eastAsia"/>
          <w:sz w:val="24"/>
        </w:rPr>
        <w:t>T</w:t>
      </w:r>
      <w:r>
        <w:rPr>
          <w:rFonts w:ascii="宋体" w:hAnsi="宋体" w:cs="Arial" w:hint="eastAsia"/>
          <w:sz w:val="24"/>
        </w:rPr>
        <w:t>日</w:t>
      </w:r>
      <w:r>
        <w:rPr>
          <w:rFonts w:ascii="宋体" w:hAnsi="宋体" w:cs="Arial" w:hint="eastAsia"/>
          <w:sz w:val="24"/>
        </w:rPr>
        <w:t>1</w:t>
      </w:r>
      <w:r>
        <w:rPr>
          <w:rFonts w:ascii="宋体" w:hAnsi="宋体" w:cs="Arial"/>
          <w:sz w:val="24"/>
        </w:rPr>
        <w:t>0</w:t>
      </w:r>
      <w:r>
        <w:rPr>
          <w:rFonts w:ascii="宋体" w:hAnsi="宋体" w:cs="Arial" w:hint="eastAsia"/>
          <w:sz w:val="24"/>
        </w:rPr>
        <w:t>:0</w:t>
      </w:r>
      <w:r>
        <w:rPr>
          <w:rFonts w:ascii="宋体" w:hAnsi="宋体" w:cs="Arial"/>
          <w:sz w:val="24"/>
        </w:rPr>
        <w:t>0</w:t>
      </w:r>
      <w:r>
        <w:rPr>
          <w:rFonts w:ascii="宋体" w:hAnsi="宋体" w:cs="Arial"/>
          <w:sz w:val="24"/>
        </w:rPr>
        <w:t>前</w:t>
      </w:r>
      <w:r>
        <w:rPr>
          <w:rFonts w:ascii="宋体" w:hAnsi="宋体" w:cs="Arial" w:hint="eastAsia"/>
          <w:sz w:val="24"/>
        </w:rPr>
        <w:t>将划款指令发送给基金</w:t>
      </w:r>
      <w:r>
        <w:rPr>
          <w:rFonts w:ascii="宋体" w:hAnsi="宋体" w:cs="Arial" w:hint="eastAsia"/>
          <w:sz w:val="24"/>
        </w:rPr>
        <w:lastRenderedPageBreak/>
        <w:t>托管人，基金托管人按基金管理人的划款指令将托管账户净应付额在</w:t>
      </w:r>
      <w:r>
        <w:rPr>
          <w:rFonts w:ascii="宋体" w:hAnsi="宋体" w:cs="Arial" w:hint="eastAsia"/>
          <w:sz w:val="24"/>
        </w:rPr>
        <w:t>T</w:t>
      </w:r>
      <w:r>
        <w:rPr>
          <w:rFonts w:ascii="宋体" w:hAnsi="宋体" w:cs="Arial" w:hint="eastAsia"/>
          <w:sz w:val="24"/>
        </w:rPr>
        <w:t>日</w:t>
      </w:r>
      <w:r>
        <w:rPr>
          <w:rFonts w:ascii="宋体" w:hAnsi="宋体" w:cs="Arial" w:hint="eastAsia"/>
          <w:sz w:val="24"/>
        </w:rPr>
        <w:t>12:00</w:t>
      </w:r>
      <w:r>
        <w:rPr>
          <w:rFonts w:ascii="宋体" w:hAnsi="宋体" w:cs="Arial" w:hint="eastAsia"/>
          <w:sz w:val="24"/>
        </w:rPr>
        <w:t>之前划往注册登记账户。</w:t>
      </w:r>
    </w:p>
    <w:p w14:paraId="6E9E2021" w14:textId="77777777" w:rsidR="005A59EB" w:rsidRDefault="00C555D5">
      <w:pPr>
        <w:pStyle w:val="2"/>
      </w:pPr>
      <w:r>
        <w:rPr>
          <w:rFonts w:hint="eastAsia"/>
        </w:rPr>
        <w:t>（五）基金转换</w:t>
      </w:r>
    </w:p>
    <w:p w14:paraId="43438BB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在本基金开展转换业务之前，基金管理人应函告基金托管人并就相关事宜进行协商。</w:t>
      </w:r>
    </w:p>
    <w:p w14:paraId="1154FEA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基金托管人将根据基金管理人传送的基金转换数据进行账务处理，具体资金清算和数据传递的时间、程</w:t>
      </w:r>
      <w:r>
        <w:rPr>
          <w:rFonts w:asciiTheme="minorEastAsia" w:eastAsiaTheme="minorEastAsia" w:hAnsiTheme="minorEastAsia" w:cs="Arial" w:hint="eastAsia"/>
          <w:sz w:val="24"/>
        </w:rPr>
        <w:t>序及托管协议当事人承担的权责按基金管理人届时的公告执行。</w:t>
      </w:r>
    </w:p>
    <w:p w14:paraId="04BACFA0"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本基金开展基金转换业务应按相关法律法规规定及《基金合同》的约定进行公告。</w:t>
      </w:r>
    </w:p>
    <w:p w14:paraId="0DBBD703" w14:textId="77777777" w:rsidR="005A59EB" w:rsidRDefault="00C555D5">
      <w:pPr>
        <w:pStyle w:val="2"/>
      </w:pPr>
      <w:r>
        <w:rPr>
          <w:rFonts w:hint="eastAsia"/>
        </w:rPr>
        <w:t>（六）基金现金分红</w:t>
      </w:r>
    </w:p>
    <w:p w14:paraId="7A34562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基金管理人确定分红方案通知基金托管人，双方核定后依照《信息披露办法》的有关规定在中国证监会规定媒介上公告。</w:t>
      </w:r>
    </w:p>
    <w:p w14:paraId="44DAA5C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基金托管人和基金管理人对基金分红进行账务处理并核对后，基金管理人向基金托管人发送现金红利的划款指令，基金托管人应及时将资金划入专用账户。</w:t>
      </w:r>
    </w:p>
    <w:p w14:paraId="1316D4B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基金管理人在下达指令时，应给基金托管人留出必需的划款时间。</w:t>
      </w:r>
    </w:p>
    <w:p w14:paraId="6DEBD310" w14:textId="77777777" w:rsidR="005A59EB" w:rsidRDefault="00C555D5">
      <w:pPr>
        <w:pStyle w:val="2"/>
      </w:pPr>
      <w:r>
        <w:rPr>
          <w:rFonts w:hint="eastAsia"/>
        </w:rPr>
        <w:t>（七）投资银行存款的特别约定</w:t>
      </w:r>
    </w:p>
    <w:p w14:paraId="0B0CF17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本基</w:t>
      </w:r>
      <w:r>
        <w:rPr>
          <w:rFonts w:asciiTheme="minorEastAsia" w:eastAsiaTheme="minorEastAsia" w:hAnsiTheme="minorEastAsia" w:cs="Arial" w:hint="eastAsia"/>
          <w:sz w:val="24"/>
        </w:rPr>
        <w:t>金投资银行存款，必须采用双方认可的方式办理。存款账户预留印鉴由基金托管人保管和使用。本息到期归还或提前支取的所有款项必须划至托管账户，不得划入其他任何账户。</w:t>
      </w:r>
    </w:p>
    <w:p w14:paraId="0A9753C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基金管理人投资银行存款或办理存款支取时，应提前书面通知基金托管人，以便基金托管人有足够的时间履行相应的业务操作程序。</w:t>
      </w:r>
    </w:p>
    <w:p w14:paraId="48186CAB" w14:textId="77777777" w:rsidR="005A59EB" w:rsidRDefault="00C555D5">
      <w:pPr>
        <w:pStyle w:val="2"/>
      </w:pPr>
      <w:r>
        <w:rPr>
          <w:rFonts w:hint="eastAsia"/>
        </w:rPr>
        <w:t>（八）关于交易及清算交收安排应当按照本部分的规定或其他基金管理人和基金托管人双方书面共同确认的方式执行。</w:t>
      </w:r>
      <w:r>
        <w:rPr>
          <w:rFonts w:hint="eastAsia"/>
        </w:rPr>
        <w:br w:type="page"/>
      </w:r>
    </w:p>
    <w:p w14:paraId="7E589B81" w14:textId="77777777" w:rsidR="005A59EB" w:rsidRDefault="00C555D5">
      <w:pPr>
        <w:pStyle w:val="1"/>
        <w:spacing w:line="416" w:lineRule="auto"/>
        <w:ind w:firstLine="0"/>
      </w:pPr>
      <w:bookmarkStart w:id="94" w:name="_Toc124325892"/>
      <w:r>
        <w:rPr>
          <w:rFonts w:hint="eastAsia"/>
        </w:rPr>
        <w:lastRenderedPageBreak/>
        <w:t>八、基金资产净值计算和会计核算</w:t>
      </w:r>
      <w:bookmarkEnd w:id="94"/>
    </w:p>
    <w:p w14:paraId="0392A757" w14:textId="77777777" w:rsidR="005A59EB" w:rsidRDefault="00C555D5">
      <w:pPr>
        <w:pStyle w:val="2"/>
      </w:pPr>
      <w:bookmarkStart w:id="95" w:name="_Hlk45028324"/>
      <w:bookmarkStart w:id="96" w:name="_Hlk177558941"/>
      <w:r>
        <w:rPr>
          <w:rFonts w:hint="eastAsia"/>
        </w:rPr>
        <w:t>（一）基金资产净值的计算、复核与完成的时间及程序</w:t>
      </w:r>
    </w:p>
    <w:p w14:paraId="2C2A6B0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基金资产净值是指基金资产总值减去基金负债后的价值。本基金各类基金份额净值是按照每个估值日闭市后，该类基金资产净值除以当日该类基金份额的余额数量计算，均精确到</w:t>
      </w:r>
      <w:r>
        <w:rPr>
          <w:rFonts w:asciiTheme="minorEastAsia" w:eastAsiaTheme="minorEastAsia" w:hAnsiTheme="minorEastAsia" w:cs="Arial" w:hint="eastAsia"/>
          <w:sz w:val="24"/>
        </w:rPr>
        <w:t>0.0001</w:t>
      </w:r>
      <w:r>
        <w:rPr>
          <w:rFonts w:asciiTheme="minorEastAsia" w:eastAsiaTheme="minorEastAsia" w:hAnsiTheme="minorEastAsia" w:cs="Arial" w:hint="eastAsia"/>
          <w:sz w:val="24"/>
        </w:rPr>
        <w:t>元，小数点后第</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位四舍五入。基金管理人可以设立大额赎回情形下的净值精度应急调整机制。国家法律法规另有规定的，从其规定。</w:t>
      </w:r>
    </w:p>
    <w:p w14:paraId="7257DA4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基金管理人应每个估值日计算基金资产净值及各类基金份额净值，并按规定公告。</w:t>
      </w:r>
    </w:p>
    <w:p w14:paraId="2F5CE819"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约定对外公布。</w:t>
      </w:r>
    </w:p>
    <w:p w14:paraId="1A40E3EC" w14:textId="77777777" w:rsidR="005A59EB" w:rsidRDefault="00C555D5">
      <w:pPr>
        <w:pStyle w:val="2"/>
      </w:pPr>
      <w:r>
        <w:rPr>
          <w:rFonts w:hint="eastAsia"/>
        </w:rPr>
        <w:t>（二）基金资产估值方法和特殊情形的处理</w:t>
      </w:r>
    </w:p>
    <w:p w14:paraId="46748A3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bookmarkStart w:id="97" w:name="_Hlk54445371"/>
      <w:r>
        <w:rPr>
          <w:rFonts w:asciiTheme="minorEastAsia" w:eastAsiaTheme="minorEastAsia" w:hAnsiTheme="minorEastAsia" w:cs="Arial" w:hint="eastAsia"/>
          <w:sz w:val="24"/>
        </w:rPr>
        <w:t>1.</w:t>
      </w:r>
      <w:r>
        <w:rPr>
          <w:rFonts w:asciiTheme="minorEastAsia" w:eastAsiaTheme="minorEastAsia" w:hAnsiTheme="minorEastAsia" w:cs="Arial" w:hint="eastAsia"/>
          <w:sz w:val="24"/>
        </w:rPr>
        <w:t>估值对象</w:t>
      </w:r>
    </w:p>
    <w:p w14:paraId="7FE7EDC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bCs/>
          <w:sz w:val="24"/>
        </w:rPr>
        <w:t>基金所拥有的股票、存托凭证、证券投资基金、债券、银行存款本息、资产支持证券、国债期货合约、信用衍生品、应收款项、其它投资等资产及负债。</w:t>
      </w:r>
    </w:p>
    <w:p w14:paraId="7F9A885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估值原则</w:t>
      </w:r>
    </w:p>
    <w:p w14:paraId="666C8A2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基金管理人在确定相关金融资产和金融负债的公允价值时，应符合《企业会计准则》、监管</w:t>
      </w:r>
      <w:r>
        <w:rPr>
          <w:rFonts w:asciiTheme="minorEastAsia" w:eastAsiaTheme="minorEastAsia" w:hAnsiTheme="minorEastAsia" w:cs="Arial" w:hint="eastAsia"/>
          <w:sz w:val="24"/>
        </w:rPr>
        <w:t>部门有关规定。</w:t>
      </w:r>
    </w:p>
    <w:p w14:paraId="6CFBF3D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①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8C5A55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与上述投资品种相同，但具有不同特征的，应以相同资产或负债的公允价值为基础，并在估值技术中考虑不同特征因素的影响。特征是指对资产出售或使用的限制等，</w:t>
      </w:r>
      <w:r>
        <w:rPr>
          <w:rFonts w:asciiTheme="minorEastAsia" w:eastAsiaTheme="minorEastAsia" w:hAnsiTheme="minorEastAsia" w:cs="Arial" w:hint="eastAsia"/>
          <w:sz w:val="24"/>
        </w:rPr>
        <w:t>如果该限制是针对资产持有者的，那么在估值技术中不应将该限制作为特征考虑。此外，基金管理人不应考虑因其大量持有相关资产或负债所产生的溢价或折</w:t>
      </w:r>
      <w:r>
        <w:rPr>
          <w:rFonts w:asciiTheme="minorEastAsia" w:eastAsiaTheme="minorEastAsia" w:hAnsiTheme="minorEastAsia" w:cs="Arial" w:hint="eastAsia"/>
          <w:sz w:val="24"/>
        </w:rPr>
        <w:lastRenderedPageBreak/>
        <w:t>价。</w:t>
      </w:r>
    </w:p>
    <w:p w14:paraId="7164E3B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②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68150B4"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③如经济环境发生重大变化或证券发行人发生影响证券价格的重大事件，使潜在估值调整对前一估值日的基金资产净值的影响在</w:t>
      </w:r>
      <w:r>
        <w:rPr>
          <w:rFonts w:asciiTheme="minorEastAsia" w:eastAsiaTheme="minorEastAsia" w:hAnsiTheme="minorEastAsia" w:cs="Arial" w:hint="eastAsia"/>
          <w:sz w:val="24"/>
        </w:rPr>
        <w:t>0.25%</w:t>
      </w:r>
      <w:r>
        <w:rPr>
          <w:rFonts w:asciiTheme="minorEastAsia" w:eastAsiaTheme="minorEastAsia" w:hAnsiTheme="minorEastAsia" w:cs="Arial" w:hint="eastAsia"/>
          <w:sz w:val="24"/>
        </w:rPr>
        <w:t>以上的，应对估值进行调整并确定公允价值。</w:t>
      </w:r>
    </w:p>
    <w:p w14:paraId="65EA1AEE"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估值方法</w:t>
      </w:r>
    </w:p>
    <w:p w14:paraId="411FFFB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）基金的估值</w:t>
      </w:r>
    </w:p>
    <w:p w14:paraId="03A150F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）本基金投资于非上市基金的估值</w:t>
      </w:r>
    </w:p>
    <w:p w14:paraId="5EACE76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境内非货币市场基金，按所投资基金估值日的份额净值估值。</w:t>
      </w:r>
    </w:p>
    <w:p w14:paraId="2A355C8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）本基金投资于交易所上市基金的估值</w:t>
      </w:r>
    </w:p>
    <w:p w14:paraId="5C2BEDF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①本基金投资的</w:t>
      </w:r>
      <w:r>
        <w:rPr>
          <w:rFonts w:asciiTheme="minorEastAsia" w:eastAsiaTheme="minorEastAsia" w:hAnsiTheme="minorEastAsia" w:cs="Arial" w:hint="eastAsia"/>
          <w:sz w:val="24"/>
        </w:rPr>
        <w:t>ETF</w:t>
      </w:r>
      <w:r>
        <w:rPr>
          <w:rFonts w:asciiTheme="minorEastAsia" w:eastAsiaTheme="minorEastAsia" w:hAnsiTheme="minorEastAsia" w:cs="Arial" w:hint="eastAsia"/>
          <w:sz w:val="24"/>
        </w:rPr>
        <w:t>基金，按所投资</w:t>
      </w:r>
      <w:r>
        <w:rPr>
          <w:rFonts w:asciiTheme="minorEastAsia" w:eastAsiaTheme="minorEastAsia" w:hAnsiTheme="minorEastAsia" w:cs="Arial" w:hint="eastAsia"/>
          <w:sz w:val="24"/>
        </w:rPr>
        <w:t>ETF</w:t>
      </w:r>
      <w:r>
        <w:rPr>
          <w:rFonts w:asciiTheme="minorEastAsia" w:eastAsiaTheme="minorEastAsia" w:hAnsiTheme="minorEastAsia" w:cs="Arial" w:hint="eastAsia"/>
          <w:sz w:val="24"/>
        </w:rPr>
        <w:t>基金估值日的收盘价估值。</w:t>
      </w:r>
    </w:p>
    <w:p w14:paraId="1C55737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②本基金投资的境内上市开放式基金（</w:t>
      </w:r>
      <w:r>
        <w:rPr>
          <w:rFonts w:asciiTheme="minorEastAsia" w:eastAsiaTheme="minorEastAsia" w:hAnsiTheme="minorEastAsia" w:cs="Arial" w:hint="eastAsia"/>
          <w:sz w:val="24"/>
        </w:rPr>
        <w:t>LOF</w:t>
      </w:r>
      <w:r>
        <w:rPr>
          <w:rFonts w:asciiTheme="minorEastAsia" w:eastAsiaTheme="minorEastAsia" w:hAnsiTheme="minorEastAsia" w:cs="Arial" w:hint="eastAsia"/>
          <w:sz w:val="24"/>
        </w:rPr>
        <w:t>），按所投资基金估值日的份额净值估值。</w:t>
      </w:r>
    </w:p>
    <w:p w14:paraId="153BD921" w14:textId="77777777" w:rsidR="005A59EB" w:rsidRDefault="00C555D5">
      <w:pPr>
        <w:spacing w:line="360" w:lineRule="auto"/>
        <w:ind w:firstLineChars="200" w:firstLine="480"/>
        <w:rPr>
          <w:bCs/>
          <w:sz w:val="24"/>
        </w:rPr>
      </w:pPr>
      <w:r>
        <w:rPr>
          <w:rFonts w:hint="eastAsia"/>
          <w:bCs/>
          <w:sz w:val="24"/>
        </w:rPr>
        <w:t>③本基金投资的境内上市定期开放式基金、封闭式基金，按所投资基金估值日的收盘价估值。</w:t>
      </w:r>
    </w:p>
    <w:p w14:paraId="3405773E" w14:textId="77777777" w:rsidR="005A59EB" w:rsidRDefault="00C555D5">
      <w:pPr>
        <w:spacing w:line="360" w:lineRule="auto"/>
        <w:ind w:firstLineChars="200" w:firstLine="480"/>
        <w:rPr>
          <w:bCs/>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w:t>
      </w:r>
      <w:r>
        <w:rPr>
          <w:rFonts w:hint="eastAsia"/>
          <w:bCs/>
          <w:sz w:val="24"/>
        </w:rPr>
        <w:t>若所投资基金不公布基金份额净值、进行折算或拆分、估值日无交易等特殊</w:t>
      </w:r>
      <w:r>
        <w:rPr>
          <w:rFonts w:hint="eastAsia"/>
          <w:bCs/>
          <w:sz w:val="24"/>
        </w:rPr>
        <w:t>情况，根据以下原则进行估值：</w:t>
      </w:r>
    </w:p>
    <w:p w14:paraId="50BC5E76" w14:textId="77777777" w:rsidR="005A59EB" w:rsidRDefault="00C555D5">
      <w:pPr>
        <w:spacing w:line="360" w:lineRule="auto"/>
        <w:ind w:firstLineChars="200" w:firstLine="480"/>
        <w:rPr>
          <w:bCs/>
          <w:sz w:val="24"/>
        </w:rPr>
      </w:pPr>
      <w:r>
        <w:rPr>
          <w:rFonts w:hint="eastAsia"/>
          <w:bCs/>
          <w:sz w:val="24"/>
        </w:rPr>
        <w:t>①以所投资基金的基金份额净值估值的，若所投资基金与本基金估值频率一致但未公布估值日基金份额净值，按其最近公布的基金份额净值为基础估值。</w:t>
      </w:r>
    </w:p>
    <w:p w14:paraId="6580C602" w14:textId="77777777" w:rsidR="005A59EB" w:rsidRDefault="00C555D5">
      <w:pPr>
        <w:spacing w:line="360" w:lineRule="auto"/>
        <w:ind w:firstLineChars="200" w:firstLine="480"/>
        <w:rPr>
          <w:bCs/>
          <w:sz w:val="24"/>
        </w:rPr>
      </w:pPr>
      <w:r>
        <w:rPr>
          <w:rFonts w:hint="eastAsia"/>
          <w:bCs/>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18391F35" w14:textId="77777777" w:rsidR="005A59EB" w:rsidRDefault="00C555D5">
      <w:pPr>
        <w:spacing w:line="360" w:lineRule="auto"/>
        <w:ind w:firstLineChars="200" w:firstLine="480"/>
        <w:rPr>
          <w:bCs/>
          <w:sz w:val="24"/>
        </w:rPr>
      </w:pPr>
      <w:r>
        <w:rPr>
          <w:rFonts w:hint="eastAsia"/>
          <w:bCs/>
          <w:sz w:val="24"/>
        </w:rPr>
        <w:t>③如果所投资基金前一估值日至估值日期间发生分红除权、折算或拆分，基金管理人应根据基金份额净值或收盘价、单位基金份额分红金额、折算拆分比例、持仓份额等因素合理确定公允价值。</w:t>
      </w:r>
    </w:p>
    <w:p w14:paraId="626EFDFB" w14:textId="77777777" w:rsidR="005A59EB" w:rsidRDefault="00C555D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）证券交易所上市的股票品种的估值</w:t>
      </w:r>
    </w:p>
    <w:p w14:paraId="57127C32" w14:textId="77777777" w:rsidR="005A59EB" w:rsidRDefault="00C555D5">
      <w:pPr>
        <w:spacing w:line="360" w:lineRule="auto"/>
        <w:ind w:firstLineChars="200" w:firstLine="480"/>
        <w:rPr>
          <w:bCs/>
          <w:sz w:val="24"/>
        </w:rPr>
      </w:pPr>
      <w:r>
        <w:rPr>
          <w:rFonts w:asciiTheme="minorEastAsia" w:eastAsiaTheme="minorEastAsia" w:hAnsiTheme="minorEastAsia" w:cs="Arial" w:hint="eastAsia"/>
          <w:sz w:val="24"/>
        </w:rPr>
        <w:lastRenderedPageBreak/>
        <w:t>1</w:t>
      </w:r>
      <w:r>
        <w:rPr>
          <w:rFonts w:asciiTheme="minorEastAsia" w:eastAsiaTheme="minorEastAsia" w:hAnsiTheme="minorEastAsia" w:cs="Arial" w:hint="eastAsia"/>
          <w:sz w:val="24"/>
        </w:rPr>
        <w:t>）</w:t>
      </w:r>
      <w:r>
        <w:rPr>
          <w:rFonts w:hint="eastAsia"/>
          <w:bCs/>
          <w:sz w:val="24"/>
        </w:rPr>
        <w:t>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w:t>
      </w:r>
      <w:r>
        <w:rPr>
          <w:rFonts w:hint="eastAsia"/>
          <w:bCs/>
          <w:sz w:val="24"/>
        </w:rPr>
        <w:t>种的现行市价及重大变化因素，调整最近交易市价，确定公允价格；</w:t>
      </w:r>
    </w:p>
    <w:p w14:paraId="7B336739" w14:textId="77777777" w:rsidR="005A59EB" w:rsidRDefault="00C555D5">
      <w:pPr>
        <w:spacing w:line="360" w:lineRule="auto"/>
        <w:ind w:firstLineChars="200" w:firstLine="480"/>
        <w:rPr>
          <w:bCs/>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w:t>
      </w:r>
      <w:r>
        <w:rPr>
          <w:rFonts w:hint="eastAsia"/>
          <w:bCs/>
          <w:sz w:val="24"/>
        </w:rPr>
        <w:t>交易所上市不存在活跃市场的股票品种，采用估值技术确定公允价值。</w:t>
      </w:r>
    </w:p>
    <w:p w14:paraId="7E0BE678" w14:textId="77777777" w:rsidR="005A59EB" w:rsidRDefault="00C555D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）处于未上市期间的股票品种应区分如下情况处理：</w:t>
      </w:r>
    </w:p>
    <w:p w14:paraId="29959809" w14:textId="77777777" w:rsidR="005A59EB" w:rsidRDefault="00C555D5">
      <w:pPr>
        <w:spacing w:line="360" w:lineRule="auto"/>
        <w:ind w:firstLineChars="200" w:firstLine="480"/>
        <w:rPr>
          <w:bCs/>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w:t>
      </w:r>
      <w:r>
        <w:rPr>
          <w:rFonts w:hint="eastAsia"/>
          <w:bCs/>
          <w:sz w:val="24"/>
        </w:rPr>
        <w:t>送股、转增股、配股和公开增发的新股，按估值日在证券交易所挂牌的同一股票的估值方法估值；该日无交易的，以最近一日的市价（收盘价）估值；</w:t>
      </w:r>
    </w:p>
    <w:p w14:paraId="6AF65048" w14:textId="77777777" w:rsidR="005A59EB" w:rsidRDefault="00C555D5">
      <w:pPr>
        <w:spacing w:line="360" w:lineRule="auto"/>
        <w:ind w:firstLineChars="200" w:firstLine="480"/>
        <w:rPr>
          <w:bCs/>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w:t>
      </w:r>
      <w:r>
        <w:rPr>
          <w:rFonts w:hint="eastAsia"/>
          <w:bCs/>
          <w:sz w:val="24"/>
        </w:rPr>
        <w:t>首次公开发行未上市的股票品种，采用估值技术确定公允价值；</w:t>
      </w:r>
    </w:p>
    <w:p w14:paraId="0672D125" w14:textId="77777777" w:rsidR="005A59EB" w:rsidRDefault="00C555D5">
      <w:pPr>
        <w:spacing w:line="360" w:lineRule="auto"/>
        <w:ind w:firstLineChars="200" w:firstLine="480"/>
        <w:rPr>
          <w:bCs/>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w:t>
      </w:r>
      <w:r>
        <w:rPr>
          <w:rFonts w:hint="eastAsia"/>
          <w:bCs/>
          <w:sz w:val="24"/>
        </w:rPr>
        <w:t>在发行时明确一定期限限售期的股票，包括但不限于非公开发行股票、首次公开发行股票时公司股东公开发售股份、通过大宗交易取得的带限售</w:t>
      </w:r>
      <w:r>
        <w:rPr>
          <w:rFonts w:hint="eastAsia"/>
          <w:bCs/>
          <w:sz w:val="24"/>
        </w:rPr>
        <w:t>期的股票等，不包括停牌、新发行未上市、回购交易中的质押券等流通受限股票，按监管机构或行业协会有关规定确定公允价值。</w:t>
      </w:r>
    </w:p>
    <w:p w14:paraId="7DCE3CFF" w14:textId="77777777" w:rsidR="005A59EB" w:rsidRDefault="00C555D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）已上市或已挂牌转让的不含权固定收益品种，按照第三方估值基准服务机构提供的相应品种当日的估值全价估值。</w:t>
      </w:r>
    </w:p>
    <w:p w14:paraId="6C070A8E" w14:textId="77777777" w:rsidR="005A59EB" w:rsidRDefault="00C555D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）已上市或已挂牌转让的含权固定收益品种，按照第三方估值基准服务机构提供的相应品种当日的唯一估值全价或推荐估值全价估值。</w:t>
      </w:r>
    </w:p>
    <w:p w14:paraId="652CD69B" w14:textId="77777777" w:rsidR="005A59EB" w:rsidRDefault="00C555D5">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w:t>
      </w:r>
      <w:r>
        <w:rPr>
          <w:rFonts w:hint="eastAsia"/>
          <w:bCs/>
          <w:sz w:val="24"/>
        </w:rPr>
        <w:t>考虑发行人的信用风险变化对公允价值的影响。回售登记期截止日（含当日）后未行使回售权的按照长待偿期所对应的价格进行估值。</w:t>
      </w:r>
    </w:p>
    <w:p w14:paraId="0431DD3E" w14:textId="77777777" w:rsidR="005A59EB" w:rsidRDefault="00C555D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8013A57" w14:textId="77777777" w:rsidR="005A59EB" w:rsidRDefault="00C555D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）对于未上市或未挂牌转让且不存在活跃市场的固定收益品种，采用在当前情况下适用并且有足够可利用数据和其他信息支持的估值技术确定其公允价值。</w:t>
      </w:r>
    </w:p>
    <w:p w14:paraId="3227D287" w14:textId="77777777" w:rsidR="005A59EB" w:rsidRDefault="00C555D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）对于发行人已破产、发行人未能按时足额偿付</w:t>
      </w:r>
      <w:r>
        <w:rPr>
          <w:rFonts w:hint="eastAsia"/>
          <w:bCs/>
          <w:sz w:val="24"/>
        </w:rPr>
        <w:t>本金或利息，或者有其它可靠信息表明本金或利息无法按时足额偿付的债券投资品种，基金管理人在与托</w:t>
      </w:r>
      <w:r>
        <w:rPr>
          <w:rFonts w:hint="eastAsia"/>
          <w:bCs/>
          <w:sz w:val="24"/>
        </w:rPr>
        <w:lastRenderedPageBreak/>
        <w:t>管人协商一致后，可采用第三方估值基准服务机构提供的推荐价格或者价格区间中的数据作为该债券投资品种的公允价值。</w:t>
      </w:r>
    </w:p>
    <w:p w14:paraId="3CC4645A" w14:textId="77777777" w:rsidR="005A59EB" w:rsidRDefault="00C555D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）同一证券同时在两个或两个以上市场交易的，按证券所处的市场分别估值。</w:t>
      </w:r>
    </w:p>
    <w:p w14:paraId="554AAC55" w14:textId="77777777" w:rsidR="005A59EB" w:rsidRDefault="00C555D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）本基金投资国债期货，一般以估值当日结算价进行估值，估值当日无结算价的，且最近交易日后经济环境未发生重大变化的，采用最近交易日结算价估值。</w:t>
      </w:r>
    </w:p>
    <w:p w14:paraId="1FF01D25" w14:textId="77777777" w:rsidR="005A59EB" w:rsidRDefault="00C555D5">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）本基金投资存托凭证的估值核算，依照境内上市交易的股票执行，国家有最新规定的，按其规定进行估值。</w:t>
      </w:r>
    </w:p>
    <w:p w14:paraId="599AD866" w14:textId="77777777" w:rsidR="005A59EB" w:rsidRDefault="00C555D5">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）本基金存入银行或其他金融机构的各种款项以本金列示，按协议或约定利率逐日确认利息收入。</w:t>
      </w:r>
    </w:p>
    <w:p w14:paraId="246CB798" w14:textId="77777777" w:rsidR="005A59EB" w:rsidRDefault="00C555D5">
      <w:pPr>
        <w:spacing w:line="360" w:lineRule="auto"/>
        <w:ind w:firstLineChars="200" w:firstLine="480"/>
        <w:rPr>
          <w:bCs/>
          <w:sz w:val="24"/>
        </w:rPr>
      </w:pPr>
      <w:r>
        <w:rPr>
          <w:rFonts w:hint="eastAsia"/>
          <w:bCs/>
          <w:sz w:val="24"/>
        </w:rPr>
        <w:t>（</w:t>
      </w:r>
      <w:r>
        <w:rPr>
          <w:bCs/>
          <w:sz w:val="24"/>
        </w:rPr>
        <w:t>1</w:t>
      </w:r>
      <w:r>
        <w:rPr>
          <w:rFonts w:hint="eastAsia"/>
          <w:bCs/>
          <w:sz w:val="24"/>
        </w:rPr>
        <w:t>3</w:t>
      </w:r>
      <w:r>
        <w:rPr>
          <w:rFonts w:hint="eastAsia"/>
          <w:bCs/>
          <w:sz w:val="24"/>
        </w:rPr>
        <w:t>）</w:t>
      </w:r>
      <w:bookmarkStart w:id="98" w:name="_Hlk209169122"/>
      <w:r>
        <w:rPr>
          <w:rFonts w:hint="eastAsia"/>
          <w:bCs/>
          <w:sz w:val="24"/>
        </w:rPr>
        <w:t>信用衍生品按照第三方估值机构提供的当日估值价格进行估值。选定的第三方估值机构未提供估值价格的，依照有关法律法规及企业会计准则的要求采用合理估值技术确定其公允价值。</w:t>
      </w:r>
      <w:bookmarkEnd w:id="98"/>
    </w:p>
    <w:p w14:paraId="79CC0354" w14:textId="77777777" w:rsidR="005A59EB" w:rsidRDefault="00C555D5">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）其他资产按法律法规或监管机构有关规定进行估值。</w:t>
      </w:r>
    </w:p>
    <w:p w14:paraId="22A8A7CD" w14:textId="77777777" w:rsidR="005A59EB" w:rsidRDefault="00C555D5">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）本基金外币资产价值计算中，涉及相关货币对人民币汇率的，根据届时相关法律法规及监</w:t>
      </w:r>
      <w:r>
        <w:rPr>
          <w:rFonts w:hint="eastAsia"/>
          <w:bCs/>
          <w:sz w:val="24"/>
        </w:rPr>
        <w:t>管机构的要求确定汇率来源，如法律法规及监管机构无相关规定，基金管理人与基金托管人协商一致后确定本基金的估值汇率来源。</w:t>
      </w:r>
    </w:p>
    <w:p w14:paraId="3B3A27BC" w14:textId="77777777" w:rsidR="005A59EB" w:rsidRDefault="00C555D5">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）如有确凿证据表明按上述方法进行估值不能客观反映其公允价值的，基金管理人可根据具体情况与基金托管人商定后，按最能反映公允价值的方法估值。</w:t>
      </w:r>
    </w:p>
    <w:p w14:paraId="41131CFB" w14:textId="77777777" w:rsidR="005A59EB" w:rsidRDefault="00C555D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）当发生大额申购或赎回情形时，基金管理人可以采用摆动定价机制，以确保基金估值的公平性。</w:t>
      </w:r>
    </w:p>
    <w:p w14:paraId="4D1956E1" w14:textId="77777777" w:rsidR="005A59EB" w:rsidRDefault="00C555D5">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）相关法律法规以及监管部门有强制规定的，从其规定。如有新增事项，按国家最新规定估值。具体处理原则与操作规范遵循相关法律法规以及监管部门、自律规则的规定</w:t>
      </w:r>
      <w:r>
        <w:rPr>
          <w:rFonts w:hint="eastAsia"/>
          <w:bCs/>
          <w:sz w:val="24"/>
        </w:rPr>
        <w:t>。</w:t>
      </w:r>
    </w:p>
    <w:p w14:paraId="6026E382" w14:textId="77777777" w:rsidR="005A59EB" w:rsidRDefault="00C555D5">
      <w:pPr>
        <w:adjustRightInd w:val="0"/>
        <w:snapToGrid w:val="0"/>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F96B9E0" w14:textId="77777777" w:rsidR="005A59EB" w:rsidRDefault="00C555D5">
      <w:pPr>
        <w:adjustRightInd w:val="0"/>
        <w:snapToGrid w:val="0"/>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w:t>
      </w:r>
      <w:r>
        <w:rPr>
          <w:rFonts w:hint="eastAsia"/>
          <w:bCs/>
          <w:sz w:val="24"/>
        </w:rPr>
        <w:lastRenderedPageBreak/>
        <w:t>管理人对各类基金净值信息的计算结果对外予以公布。基金托管人对未达成一致意见的基金净值信息的计算结果不承担任何责任。</w:t>
      </w:r>
    </w:p>
    <w:p w14:paraId="1FBB4E4B"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Pr>
          <w:rFonts w:asciiTheme="minorEastAsia" w:eastAsiaTheme="minorEastAsia" w:hAnsiTheme="minorEastAsia" w:cs="Arial" w:hint="eastAsia"/>
          <w:sz w:val="24"/>
        </w:rPr>
        <w:t>.</w:t>
      </w:r>
      <w:r>
        <w:rPr>
          <w:rFonts w:asciiTheme="minorEastAsia" w:eastAsiaTheme="minorEastAsia" w:hAnsiTheme="minorEastAsia" w:hint="eastAsia"/>
          <w:bCs/>
          <w:sz w:val="24"/>
        </w:rPr>
        <w:t>估值错误的处理</w:t>
      </w:r>
    </w:p>
    <w:p w14:paraId="6FB7478B"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基金管理人和基金托管人将采取必要、适当、合理的措施确保基金资产估值的准确性、及时性。当任一类基金份额净值小数点后</w:t>
      </w:r>
      <w:r>
        <w:rPr>
          <w:rFonts w:asciiTheme="minorEastAsia" w:eastAsiaTheme="minorEastAsia" w:hAnsiTheme="minorEastAsia" w:hint="eastAsia"/>
          <w:bCs/>
          <w:sz w:val="24"/>
        </w:rPr>
        <w:t>4</w:t>
      </w:r>
      <w:r>
        <w:rPr>
          <w:rFonts w:asciiTheme="minorEastAsia" w:eastAsiaTheme="minorEastAsia" w:hAnsiTheme="minorEastAsia" w:hint="eastAsia"/>
          <w:bCs/>
          <w:sz w:val="24"/>
        </w:rPr>
        <w:t>位以内</w:t>
      </w:r>
      <w:r>
        <w:rPr>
          <w:rFonts w:asciiTheme="minorEastAsia" w:eastAsiaTheme="minorEastAsia" w:hAnsiTheme="minorEastAsia" w:hint="eastAsia"/>
          <w:bCs/>
          <w:sz w:val="24"/>
        </w:rPr>
        <w:t>(</w:t>
      </w:r>
      <w:r>
        <w:rPr>
          <w:rFonts w:asciiTheme="minorEastAsia" w:eastAsiaTheme="minorEastAsia" w:hAnsiTheme="minorEastAsia" w:hint="eastAsia"/>
          <w:bCs/>
          <w:sz w:val="24"/>
        </w:rPr>
        <w:t>含第</w:t>
      </w:r>
      <w:r>
        <w:rPr>
          <w:rFonts w:asciiTheme="minorEastAsia" w:eastAsiaTheme="minorEastAsia" w:hAnsiTheme="minorEastAsia" w:hint="eastAsia"/>
          <w:bCs/>
          <w:sz w:val="24"/>
        </w:rPr>
        <w:t>4</w:t>
      </w:r>
      <w:r>
        <w:rPr>
          <w:rFonts w:asciiTheme="minorEastAsia" w:eastAsiaTheme="minorEastAsia" w:hAnsiTheme="minorEastAsia" w:hint="eastAsia"/>
          <w:bCs/>
          <w:sz w:val="24"/>
        </w:rPr>
        <w:t>位</w:t>
      </w:r>
      <w:r>
        <w:rPr>
          <w:rFonts w:asciiTheme="minorEastAsia" w:eastAsiaTheme="minorEastAsia" w:hAnsiTheme="minorEastAsia" w:hint="eastAsia"/>
          <w:bCs/>
          <w:sz w:val="24"/>
        </w:rPr>
        <w:t>)</w:t>
      </w:r>
      <w:r>
        <w:rPr>
          <w:rFonts w:asciiTheme="minorEastAsia" w:eastAsiaTheme="minorEastAsia" w:hAnsiTheme="minorEastAsia" w:hint="eastAsia"/>
          <w:bCs/>
          <w:sz w:val="24"/>
        </w:rPr>
        <w:t>发生估值错误时，视为该类基金份额净值错误。</w:t>
      </w:r>
    </w:p>
    <w:p w14:paraId="65409774"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基金合同的当事人应按照以下约定处理：</w:t>
      </w:r>
    </w:p>
    <w:p w14:paraId="79FF35FF"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①估值错误类型</w:t>
      </w:r>
    </w:p>
    <w:p w14:paraId="4EC77750"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heme="minorEastAsia" w:eastAsiaTheme="minorEastAsia" w:hAnsiTheme="minorEastAsia" w:hint="eastAsia"/>
          <w:bCs/>
          <w:sz w:val="24"/>
        </w:rPr>
        <w:t>(</w:t>
      </w:r>
      <w:r>
        <w:rPr>
          <w:rFonts w:asciiTheme="minorEastAsia" w:eastAsiaTheme="minorEastAsia" w:hAnsiTheme="minorEastAsia" w:hint="eastAsia"/>
          <w:bCs/>
          <w:sz w:val="24"/>
        </w:rPr>
        <w:t>“受损方”</w:t>
      </w:r>
      <w:r>
        <w:rPr>
          <w:rFonts w:asciiTheme="minorEastAsia" w:eastAsiaTheme="minorEastAsia" w:hAnsiTheme="minorEastAsia" w:hint="eastAsia"/>
          <w:bCs/>
          <w:sz w:val="24"/>
        </w:rPr>
        <w:t>)</w:t>
      </w:r>
      <w:r>
        <w:rPr>
          <w:rFonts w:asciiTheme="minorEastAsia" w:eastAsiaTheme="minorEastAsia" w:hAnsiTheme="minorEastAsia" w:hint="eastAsia"/>
          <w:bCs/>
          <w:sz w:val="24"/>
        </w:rPr>
        <w:t>的直接损失按下述“估值错误处理原则”给予赔偿，承担赔偿责任。</w:t>
      </w:r>
    </w:p>
    <w:p w14:paraId="553925AE"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上述估值错误</w:t>
      </w:r>
      <w:r>
        <w:rPr>
          <w:rFonts w:asciiTheme="minorEastAsia" w:eastAsiaTheme="minorEastAsia" w:hAnsiTheme="minorEastAsia" w:hint="eastAsia"/>
          <w:bCs/>
          <w:sz w:val="24"/>
        </w:rPr>
        <w:t>的主要类型包括但不限于：资料申报差错、数据传输差错、数据计算差错、系统故障差错、下达指令差错等。</w:t>
      </w:r>
      <w:bookmarkStart w:id="99" w:name="_Hlk174527040"/>
      <w:r>
        <w:rPr>
          <w:rFonts w:asciiTheme="minorEastAsia" w:eastAsiaTheme="minorEastAsia" w:hAnsiTheme="minorEastAsia" w:hint="eastAsia"/>
          <w:bCs/>
          <w:sz w:val="24"/>
        </w:rPr>
        <w:t>对于因技术原因引起的差错，若系同行业现有技术水平不能预见、不能避免、不能克服，则属不可抗力，按照下述规定执行。</w:t>
      </w:r>
    </w:p>
    <w:p w14:paraId="0C677A74"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bookmarkEnd w:id="99"/>
    </w:p>
    <w:p w14:paraId="78D15960"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②估值错误处理原则</w:t>
      </w:r>
    </w:p>
    <w:p w14:paraId="125EC2A5"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）估值错误已发生，但尚未给当事人造成损失时，估值错误责任方应及时协调各方，及时进行更正，因更正</w:t>
      </w:r>
      <w:r>
        <w:rPr>
          <w:rFonts w:asciiTheme="minorEastAsia" w:eastAsiaTheme="minorEastAsia" w:hAnsiTheme="minorEastAsia" w:hint="eastAsia"/>
          <w:bCs/>
          <w:sz w:val="24"/>
        </w:rPr>
        <w:t>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85DF6B4"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2</w:t>
      </w:r>
      <w:r>
        <w:rPr>
          <w:rFonts w:asciiTheme="minorEastAsia" w:eastAsiaTheme="minorEastAsia" w:hAnsiTheme="minorEastAsia" w:hint="eastAsia"/>
          <w:bCs/>
          <w:sz w:val="24"/>
        </w:rPr>
        <w:t>）估值错误的责任方对有关当事人的直接损失负责，不对间接损失负责，并且仅对估值错误的有关直接当事人负责，不对第三方负责。</w:t>
      </w:r>
    </w:p>
    <w:p w14:paraId="27CE2B2A"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3</w:t>
      </w:r>
      <w:r>
        <w:rPr>
          <w:rFonts w:asciiTheme="minorEastAsia" w:eastAsiaTheme="minorEastAsia" w:hAnsiTheme="minorEastAsia" w:hint="eastAsia"/>
          <w:bCs/>
          <w:sz w:val="24"/>
        </w:rPr>
        <w:t>）因估值错误而获得不当得利的当事人负有及时返还不当得利</w:t>
      </w:r>
      <w:r>
        <w:rPr>
          <w:rFonts w:asciiTheme="minorEastAsia" w:eastAsiaTheme="minorEastAsia" w:hAnsiTheme="minorEastAsia" w:hint="eastAsia"/>
          <w:bCs/>
          <w:sz w:val="24"/>
        </w:rPr>
        <w:t>的义务，但估值错误责任方仍应对估值错误负责。如果由于获得不当得利的当事人不返还或</w:t>
      </w:r>
      <w:r>
        <w:rPr>
          <w:rFonts w:asciiTheme="minorEastAsia" w:eastAsiaTheme="minorEastAsia" w:hAnsiTheme="minorEastAsia" w:hint="eastAsia"/>
          <w:bCs/>
          <w:sz w:val="24"/>
        </w:rPr>
        <w:lastRenderedPageBreak/>
        <w:t>不全部返还不当得利造成其他当事人的利益损失</w:t>
      </w:r>
      <w:r>
        <w:rPr>
          <w:rFonts w:asciiTheme="minorEastAsia" w:eastAsiaTheme="minorEastAsia" w:hAnsiTheme="minorEastAsia" w:hint="eastAsia"/>
          <w:bCs/>
          <w:sz w:val="24"/>
        </w:rPr>
        <w:t>(</w:t>
      </w:r>
      <w:r>
        <w:rPr>
          <w:rFonts w:asciiTheme="minorEastAsia" w:eastAsiaTheme="minorEastAsia" w:hAnsiTheme="minorEastAsia" w:hint="eastAsia"/>
          <w:bCs/>
          <w:sz w:val="24"/>
        </w:rPr>
        <w:t>“受损方”</w:t>
      </w:r>
      <w:r>
        <w:rPr>
          <w:rFonts w:asciiTheme="minorEastAsia" w:eastAsiaTheme="minorEastAsia" w:hAnsiTheme="minorEastAsia" w:hint="eastAsia"/>
          <w:bCs/>
          <w:sz w:val="24"/>
        </w:rPr>
        <w:t>)</w:t>
      </w:r>
      <w:r>
        <w:rPr>
          <w:rFonts w:asciiTheme="minorEastAsia" w:eastAsiaTheme="minorEastAsia" w:hAnsiTheme="minorEastAsia"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B5AA095"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4</w:t>
      </w:r>
      <w:r>
        <w:rPr>
          <w:rFonts w:asciiTheme="minorEastAsia" w:eastAsiaTheme="minorEastAsia" w:hAnsiTheme="minorEastAsia" w:hint="eastAsia"/>
          <w:bCs/>
          <w:sz w:val="24"/>
        </w:rPr>
        <w:t>）估值错误调整采用尽量恢复至假设未发生估值错误的正确情形的方式。</w:t>
      </w:r>
    </w:p>
    <w:p w14:paraId="4ECF420E"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③估值错误处理程序</w:t>
      </w:r>
    </w:p>
    <w:p w14:paraId="0025E955"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估值错误被发现后，有关的当事人应当及时进行处理，处理的程序如下：</w:t>
      </w:r>
    </w:p>
    <w:p w14:paraId="497517FA"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）查明估值错误发生的原因，列明所有的当事人，并根据估值错误发生的原因确定估值错误的责任方；</w:t>
      </w:r>
    </w:p>
    <w:p w14:paraId="2C25B135"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2</w:t>
      </w:r>
      <w:r>
        <w:rPr>
          <w:rFonts w:asciiTheme="minorEastAsia" w:eastAsiaTheme="minorEastAsia" w:hAnsiTheme="minorEastAsia" w:hint="eastAsia"/>
          <w:bCs/>
          <w:sz w:val="24"/>
        </w:rPr>
        <w:t>）根据估值错误处理原则或当事人协商的方法对因估值错误造成的损失进行评估；</w:t>
      </w:r>
    </w:p>
    <w:p w14:paraId="3D0C08E2"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3</w:t>
      </w:r>
      <w:r>
        <w:rPr>
          <w:rFonts w:asciiTheme="minorEastAsia" w:eastAsiaTheme="minorEastAsia" w:hAnsiTheme="minorEastAsia" w:hint="eastAsia"/>
          <w:bCs/>
          <w:sz w:val="24"/>
        </w:rPr>
        <w:t>）根据估值错误处理原则或当事人协商的方法由估值错误的责任方进行更正和赔偿损失；</w:t>
      </w:r>
    </w:p>
    <w:p w14:paraId="11BD9CA6"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4</w:t>
      </w:r>
      <w:r>
        <w:rPr>
          <w:rFonts w:asciiTheme="minorEastAsia" w:eastAsiaTheme="minorEastAsia" w:hAnsiTheme="minorEastAsia" w:hint="eastAsia"/>
          <w:bCs/>
          <w:sz w:val="24"/>
        </w:rPr>
        <w:t>）根据估值错误处理的方法，需要修改基金登记机构交易数据的，由基金登记机构进行更正，并就估值错误的更正向有关当事人进行确认。</w:t>
      </w:r>
    </w:p>
    <w:p w14:paraId="322F37EA"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④基金份额净值估值错误处理的方法如下：</w:t>
      </w:r>
    </w:p>
    <w:p w14:paraId="5880DAE8"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）基金份额净值计</w:t>
      </w:r>
      <w:r>
        <w:rPr>
          <w:rFonts w:asciiTheme="minorEastAsia" w:eastAsiaTheme="minorEastAsia" w:hAnsiTheme="minorEastAsia" w:hint="eastAsia"/>
          <w:bCs/>
          <w:sz w:val="24"/>
        </w:rPr>
        <w:t>算出现错误时，基金管理人应当立即予以纠正，通报基金托管人，并采取合理的措施防止损失进一步扩大。</w:t>
      </w:r>
    </w:p>
    <w:p w14:paraId="625ADA62"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2</w:t>
      </w:r>
      <w:r>
        <w:rPr>
          <w:rFonts w:asciiTheme="minorEastAsia" w:eastAsiaTheme="minorEastAsia" w:hAnsiTheme="minorEastAsia" w:hint="eastAsia"/>
          <w:bCs/>
          <w:sz w:val="24"/>
        </w:rPr>
        <w:t>）</w:t>
      </w:r>
      <w:r>
        <w:rPr>
          <w:rFonts w:hint="eastAsia"/>
          <w:bCs/>
          <w:sz w:val="24"/>
        </w:rPr>
        <w:t>某类基金份额净值计算</w:t>
      </w:r>
      <w:r>
        <w:rPr>
          <w:rFonts w:asciiTheme="minorEastAsia" w:eastAsiaTheme="minorEastAsia" w:hAnsiTheme="minorEastAsia" w:hint="eastAsia"/>
          <w:bCs/>
          <w:sz w:val="24"/>
        </w:rPr>
        <w:t>错误偏差达到该类基金份额净值的</w:t>
      </w:r>
      <w:r>
        <w:rPr>
          <w:rFonts w:asciiTheme="minorEastAsia" w:eastAsiaTheme="minorEastAsia" w:hAnsiTheme="minorEastAsia" w:hint="eastAsia"/>
          <w:bCs/>
          <w:sz w:val="24"/>
        </w:rPr>
        <w:t>0.25%</w:t>
      </w:r>
      <w:r>
        <w:rPr>
          <w:rFonts w:asciiTheme="minorEastAsia" w:eastAsiaTheme="minorEastAsia" w:hAnsiTheme="minorEastAsia" w:hint="eastAsia"/>
          <w:bCs/>
          <w:sz w:val="24"/>
        </w:rPr>
        <w:t>时，基金管理人应当通报基金托管人并报中国证监会备案；错误偏差达到该类基金份额净值的</w:t>
      </w:r>
      <w:r>
        <w:rPr>
          <w:rFonts w:asciiTheme="minorEastAsia" w:eastAsiaTheme="minorEastAsia" w:hAnsiTheme="minorEastAsia" w:hint="eastAsia"/>
          <w:bCs/>
          <w:sz w:val="24"/>
        </w:rPr>
        <w:t>0.5%</w:t>
      </w:r>
      <w:r>
        <w:rPr>
          <w:rFonts w:asciiTheme="minorEastAsia" w:eastAsiaTheme="minorEastAsia" w:hAnsiTheme="minorEastAsia" w:hint="eastAsia"/>
          <w:bCs/>
          <w:sz w:val="24"/>
        </w:rPr>
        <w:t>时，基金管理人应当公告，并报中国证监会备案。</w:t>
      </w:r>
    </w:p>
    <w:p w14:paraId="43BB0C98"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3</w:t>
      </w:r>
      <w:r>
        <w:rPr>
          <w:rFonts w:asciiTheme="minorEastAsia" w:eastAsiaTheme="minorEastAsia" w:hAnsiTheme="minorEastAsia" w:hint="eastAsia"/>
          <w:bCs/>
          <w:sz w:val="24"/>
        </w:rPr>
        <w:t>）前述内容如法律法规或监管机关另有规定的，从其规定处理。如果行业有通行做法，基金管理人和基金托管人应本着平等和保护基金份额持有人利益的原则进行协商。</w:t>
      </w:r>
    </w:p>
    <w:p w14:paraId="79DEEE72"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Cs/>
          <w:sz w:val="24"/>
        </w:rPr>
        <w:t>暂停估值的情形</w:t>
      </w:r>
    </w:p>
    <w:p w14:paraId="786E7356"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）基金投资所涉及的证券</w:t>
      </w:r>
      <w:r>
        <w:rPr>
          <w:rFonts w:asciiTheme="minorEastAsia" w:eastAsiaTheme="minorEastAsia" w:hAnsiTheme="minorEastAsia" w:hint="eastAsia"/>
          <w:bCs/>
          <w:sz w:val="24"/>
        </w:rPr>
        <w:t>/</w:t>
      </w:r>
      <w:r>
        <w:rPr>
          <w:rFonts w:asciiTheme="minorEastAsia" w:eastAsiaTheme="minorEastAsia" w:hAnsiTheme="minorEastAsia" w:hint="eastAsia"/>
          <w:bCs/>
          <w:sz w:val="24"/>
        </w:rPr>
        <w:t>期货交易市场</w:t>
      </w:r>
      <w:r>
        <w:rPr>
          <w:rFonts w:asciiTheme="minorEastAsia" w:eastAsiaTheme="minorEastAsia" w:hAnsiTheme="minorEastAsia" w:hint="eastAsia"/>
          <w:bCs/>
          <w:sz w:val="24"/>
        </w:rPr>
        <w:t>或外汇市场遇法定节假日或因其他原因暂停营业时；</w:t>
      </w:r>
    </w:p>
    <w:p w14:paraId="404BA80C"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2</w:t>
      </w:r>
      <w:r>
        <w:rPr>
          <w:rFonts w:asciiTheme="minorEastAsia" w:eastAsiaTheme="minorEastAsia" w:hAnsiTheme="minorEastAsia" w:hint="eastAsia"/>
          <w:bCs/>
          <w:sz w:val="24"/>
        </w:rPr>
        <w:t>）因不可抗力致使基金管理人、基金托管人无法准确评估基金资产价值时；</w:t>
      </w:r>
    </w:p>
    <w:p w14:paraId="317AAD4D"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3</w:t>
      </w:r>
      <w:r>
        <w:rPr>
          <w:rFonts w:asciiTheme="minorEastAsia" w:eastAsiaTheme="minorEastAsia" w:hAnsiTheme="minorEastAsia" w:hint="eastAsia"/>
          <w:bCs/>
          <w:sz w:val="24"/>
        </w:rPr>
        <w:t>）当特定资产占前一估值日基金资产净值</w:t>
      </w:r>
      <w:r>
        <w:rPr>
          <w:rFonts w:asciiTheme="minorEastAsia" w:eastAsiaTheme="minorEastAsia" w:hAnsiTheme="minorEastAsia" w:hint="eastAsia"/>
          <w:bCs/>
          <w:sz w:val="24"/>
        </w:rPr>
        <w:t>50%</w:t>
      </w:r>
      <w:r>
        <w:rPr>
          <w:rFonts w:asciiTheme="minorEastAsia" w:eastAsiaTheme="minorEastAsia" w:hAnsiTheme="minorEastAsia" w:hint="eastAsia"/>
          <w:bCs/>
          <w:sz w:val="24"/>
        </w:rPr>
        <w:t>以上的，经与基金托管人协</w:t>
      </w:r>
      <w:r>
        <w:rPr>
          <w:rFonts w:asciiTheme="minorEastAsia" w:eastAsiaTheme="minorEastAsia" w:hAnsiTheme="minorEastAsia" w:hint="eastAsia"/>
          <w:bCs/>
          <w:sz w:val="24"/>
        </w:rPr>
        <w:lastRenderedPageBreak/>
        <w:t>商确认后，基金管理人应当暂停估值；</w:t>
      </w:r>
    </w:p>
    <w:p w14:paraId="4A572DC0"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4</w:t>
      </w:r>
      <w:r>
        <w:rPr>
          <w:rFonts w:asciiTheme="minorEastAsia" w:eastAsiaTheme="minorEastAsia" w:hAnsiTheme="minorEastAsia" w:hint="eastAsia"/>
          <w:bCs/>
          <w:sz w:val="24"/>
        </w:rPr>
        <w:t>）中国证监会和基金合同认定的其它情形。</w:t>
      </w:r>
    </w:p>
    <w:p w14:paraId="0D83033B"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hint="eastAsia"/>
          <w:sz w:val="24"/>
        </w:rPr>
        <w:t>6.</w:t>
      </w:r>
      <w:r>
        <w:rPr>
          <w:rFonts w:asciiTheme="minorEastAsia" w:eastAsiaTheme="minorEastAsia" w:hAnsiTheme="minorEastAsia" w:hint="eastAsia"/>
          <w:bCs/>
          <w:sz w:val="24"/>
        </w:rPr>
        <w:t>基金净值的确认</w:t>
      </w:r>
    </w:p>
    <w:p w14:paraId="761FB829"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基金资产净值和各类基金份额净值由基金管理人负责计算，基金托管人负责进行复核。基金管理人应于每个估值日交易结束后按基金类别计算当日的基金资产净值和各类基金份额净值并发送给基金托管人。基金托管人对净值计算结果复核确认后发送给基金管理人，由基金管理人对基金净值予以公布。</w:t>
      </w:r>
    </w:p>
    <w:p w14:paraId="39E8F2E8"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w:t>
      </w:r>
      <w:r>
        <w:rPr>
          <w:rFonts w:asciiTheme="minorEastAsia" w:eastAsiaTheme="minorEastAsia" w:hAnsiTheme="minorEastAsia" w:hint="eastAsia"/>
          <w:bCs/>
          <w:sz w:val="24"/>
        </w:rPr>
        <w:t>特殊情况的处理方法</w:t>
      </w:r>
    </w:p>
    <w:p w14:paraId="38BB8B6B"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）基金管理人或基金托管人按估值方法第（</w:t>
      </w:r>
      <w:r>
        <w:rPr>
          <w:rFonts w:asciiTheme="minorEastAsia" w:eastAsiaTheme="minorEastAsia" w:hAnsiTheme="minorEastAsia" w:hint="eastAsia"/>
          <w:bCs/>
          <w:sz w:val="24"/>
        </w:rPr>
        <w:t>16</w:t>
      </w:r>
      <w:r>
        <w:rPr>
          <w:rFonts w:asciiTheme="minorEastAsia" w:eastAsiaTheme="minorEastAsia" w:hAnsiTheme="minorEastAsia" w:hint="eastAsia"/>
          <w:bCs/>
          <w:sz w:val="24"/>
        </w:rPr>
        <w:t>）项进行估值时，所造成的误差不作为基金资产估值错误处理。</w:t>
      </w:r>
    </w:p>
    <w:p w14:paraId="0DE0593F"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2</w:t>
      </w:r>
      <w:r>
        <w:rPr>
          <w:rFonts w:asciiTheme="minorEastAsia" w:eastAsiaTheme="minorEastAsia" w:hAnsiTheme="minorEastAsia" w:hint="eastAsia"/>
          <w:bCs/>
          <w:sz w:val="24"/>
        </w:rPr>
        <w:t>）由于不可抗力，或由于证券</w:t>
      </w:r>
      <w:r>
        <w:rPr>
          <w:rFonts w:asciiTheme="minorEastAsia" w:eastAsiaTheme="minorEastAsia" w:hAnsiTheme="minorEastAsia" w:hint="eastAsia"/>
          <w:bCs/>
          <w:sz w:val="24"/>
        </w:rPr>
        <w:t>/</w:t>
      </w:r>
      <w:r>
        <w:rPr>
          <w:rFonts w:asciiTheme="minorEastAsia" w:eastAsiaTheme="minorEastAsia" w:hAnsiTheme="minorEastAsia" w:hint="eastAsia"/>
          <w:bCs/>
          <w:sz w:val="24"/>
        </w:rPr>
        <w:t>期货交易场所、登记结算公司</w:t>
      </w:r>
      <w:bookmarkStart w:id="100" w:name="_Hlk174527225"/>
      <w:r>
        <w:rPr>
          <w:rFonts w:hint="eastAsia"/>
          <w:bCs/>
          <w:sz w:val="24"/>
        </w:rPr>
        <w:t>及存款银行</w:t>
      </w:r>
      <w:r>
        <w:rPr>
          <w:rFonts w:asciiTheme="minorEastAsia" w:eastAsiaTheme="minorEastAsia" w:hAnsiTheme="minorEastAsia" w:hint="eastAsia"/>
          <w:bCs/>
          <w:sz w:val="24"/>
        </w:rPr>
        <w:t>等第三方机构发送的数据错误，或国家会计政策变更、市</w:t>
      </w:r>
      <w:r>
        <w:rPr>
          <w:rFonts w:asciiTheme="minorEastAsia" w:eastAsiaTheme="minorEastAsia" w:hAnsiTheme="minorEastAsia" w:hint="eastAsia"/>
          <w:bCs/>
          <w:sz w:val="24"/>
        </w:rPr>
        <w:t>场规则变更等非基金管理人与基金托管人原因</w:t>
      </w:r>
      <w:bookmarkEnd w:id="100"/>
      <w:r>
        <w:rPr>
          <w:rFonts w:asciiTheme="minorEastAsia" w:eastAsiaTheme="minorEastAsia" w:hAnsiTheme="minorEastAsia" w:hint="eastAsia"/>
          <w:bCs/>
          <w:sz w:val="24"/>
        </w:rPr>
        <w:t>，基金管理人和基金托管人虽然已经采取必要、适当、合理的措施进行检查，但是未能发现该错误或未能避免错误发生或虽发现错误但因前述原因无法及时更正的，由此造成的基金资产估值错误，基金管理人和基金托管人免除赔偿责任，但基金管理人和基金托管人应当积极采取必要的措施消除或减轻由此造成的影响。</w:t>
      </w:r>
    </w:p>
    <w:p w14:paraId="72CC8366"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hint="eastAsia"/>
          <w:bCs/>
          <w:sz w:val="24"/>
        </w:rPr>
        <w:t>实施侧袋机制期间的基金资产估值</w:t>
      </w:r>
    </w:p>
    <w:p w14:paraId="2AD9E521" w14:textId="77777777" w:rsidR="005A59EB" w:rsidRDefault="00C555D5">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本基金实施侧袋机制的，应根据本部分的约定对主袋账户资产进行估值并披露主袋账户的各类基金份额净值和基金份额累计净值，暂停披露侧袋账户的基金净值信息。</w:t>
      </w:r>
    </w:p>
    <w:bookmarkEnd w:id="95"/>
    <w:bookmarkEnd w:id="97"/>
    <w:p w14:paraId="0437ED3F" w14:textId="77777777" w:rsidR="005A59EB" w:rsidRDefault="00C555D5">
      <w:pPr>
        <w:pStyle w:val="2"/>
      </w:pPr>
      <w:r>
        <w:rPr>
          <w:rFonts w:hint="eastAsia"/>
        </w:rPr>
        <w:t>（三）</w:t>
      </w:r>
      <w:r>
        <w:rPr>
          <w:rFonts w:hint="eastAsia"/>
        </w:rPr>
        <w:t>基金会计制度</w:t>
      </w:r>
    </w:p>
    <w:p w14:paraId="70953D96"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按国家有关部门规定的会计制度执行。</w:t>
      </w:r>
    </w:p>
    <w:p w14:paraId="28688A12" w14:textId="77777777" w:rsidR="005A59EB" w:rsidRDefault="00C555D5">
      <w:pPr>
        <w:pStyle w:val="2"/>
      </w:pPr>
      <w:r>
        <w:rPr>
          <w:rFonts w:hint="eastAsia"/>
        </w:rPr>
        <w:t>（四）基金账册的建立</w:t>
      </w:r>
    </w:p>
    <w:p w14:paraId="4D85A1A4"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A96E6E6" w14:textId="77777777" w:rsidR="005A59EB" w:rsidRDefault="00C555D5">
      <w:pPr>
        <w:pStyle w:val="2"/>
      </w:pPr>
      <w:r>
        <w:rPr>
          <w:rFonts w:hint="eastAsia"/>
        </w:rPr>
        <w:t>（五）基金财务报表与报告的编制和复核</w:t>
      </w:r>
    </w:p>
    <w:p w14:paraId="2A24C29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1.</w:t>
      </w:r>
      <w:r>
        <w:rPr>
          <w:rFonts w:asciiTheme="minorEastAsia" w:eastAsiaTheme="minorEastAsia" w:hAnsiTheme="minorEastAsia" w:cs="Arial" w:hint="eastAsia"/>
          <w:sz w:val="24"/>
        </w:rPr>
        <w:t>财务报表与报告的编制</w:t>
      </w:r>
    </w:p>
    <w:p w14:paraId="5F4B2906"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基金财务报表与报告由基金管理人编制，基金托管人复核。</w:t>
      </w:r>
    </w:p>
    <w:p w14:paraId="6171AE29"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报表与报告复核</w:t>
      </w:r>
    </w:p>
    <w:p w14:paraId="613332B5"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w:t>
      </w:r>
      <w:r>
        <w:rPr>
          <w:rFonts w:asciiTheme="minorEastAsia" w:eastAsiaTheme="minorEastAsia" w:hAnsiTheme="minorEastAsia" w:cs="Arial" w:hint="eastAsia"/>
          <w:sz w:val="24"/>
        </w:rPr>
        <w:t>管人在收到基金管理人编制的基金财务报表与报告后，进行独立的复核。核对不符时，应及时通知基金管理人共同查出原因，进行调整，直至双方数据完全一致。</w:t>
      </w:r>
    </w:p>
    <w:p w14:paraId="042D457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财务报表与报告的编制与复核时间安排</w:t>
      </w:r>
    </w:p>
    <w:p w14:paraId="57CE956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）报表与报告的编制</w:t>
      </w:r>
    </w:p>
    <w:p w14:paraId="2B47ADC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基金管理人应当在每月结束后</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个工作日内完成月度报表的编制；在每个季度结束之日起</w:t>
      </w:r>
      <w:r>
        <w:rPr>
          <w:rFonts w:asciiTheme="minorEastAsia" w:eastAsiaTheme="minorEastAsia" w:hAnsiTheme="minorEastAsia" w:cs="Arial" w:hint="eastAsia"/>
          <w:sz w:val="24"/>
        </w:rPr>
        <w:t>15</w:t>
      </w:r>
      <w:r>
        <w:rPr>
          <w:rFonts w:asciiTheme="minorEastAsia" w:eastAsiaTheme="minorEastAsia" w:hAnsiTheme="minorEastAsia" w:cs="Arial" w:hint="eastAsia"/>
          <w:sz w:val="24"/>
        </w:rPr>
        <w:t>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w:t>
      </w:r>
      <w:r>
        <w:rPr>
          <w:rFonts w:asciiTheme="minorEastAsia" w:eastAsiaTheme="minorEastAsia" w:hAnsiTheme="minorEastAsia" w:cs="Arial" w:hint="eastAsia"/>
          <w:sz w:val="24"/>
        </w:rPr>
        <w:t>基金合同》生效不足两个月的，基金管理人可以不编制当期季度报告、中期报告或者年度报告。</w:t>
      </w:r>
    </w:p>
    <w:p w14:paraId="77E3493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如报告期内出现单一投资者持有基金份额达到或超过基金总份额</w:t>
      </w:r>
      <w:r>
        <w:rPr>
          <w:rFonts w:asciiTheme="minorEastAsia" w:eastAsiaTheme="minorEastAsia" w:hAnsiTheme="minorEastAsia" w:cs="Arial"/>
          <w:sz w:val="24"/>
        </w:rPr>
        <w:t>20%</w:t>
      </w:r>
      <w:r>
        <w:rPr>
          <w:rFonts w:asciiTheme="minorEastAsia" w:eastAsiaTheme="minorEastAsia" w:hAnsiTheme="minorEastAsia" w:cs="Arial" w:hint="eastAsia"/>
          <w:sz w:val="24"/>
        </w:rPr>
        <w:t>的情形，为保障其他投资者的权益，基金管理人至少应当在季度报告、中期报告、年度报告等定期报告文件中“影响投资者决策的其他重要信息”项下披露该投资者的类别、报告期末持有份额及占比、报告期内持有份额变化情况及本基金的特有风险，中国证监会认定的特殊情形除外。</w:t>
      </w:r>
    </w:p>
    <w:p w14:paraId="657CC89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基金管理人应当在基金年度报告和中期报告中披露基金组合资产情况及其流动性风险分析等。</w:t>
      </w:r>
    </w:p>
    <w:p w14:paraId="7F27AA8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）报表与报告的复核</w:t>
      </w:r>
    </w:p>
    <w:p w14:paraId="2FC527C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w:t>
      </w:r>
      <w:r>
        <w:rPr>
          <w:rFonts w:asciiTheme="minorEastAsia" w:eastAsiaTheme="minorEastAsia" w:hAnsiTheme="minorEastAsia" w:cs="Arial" w:hint="eastAsia"/>
          <w:sz w:val="24"/>
        </w:rPr>
        <w:t>管理人应及时完成报表与报告编制，将有关报表与报告提供基金托管人复核；基金托管人在复核过程中，发现双方的报表与报告存在不符时，基金管理人和基金托管人应共同查明原因，进行调整，调整以国家有关规定为准。如果基金管理人与基金托管人不能于应当发布公告之日前就相关报表与报告达成一致，基金管理人有权按照其编制的报表与报告对外发布公告，基金托管人有权就相关情况报证监会备案。</w:t>
      </w:r>
    </w:p>
    <w:p w14:paraId="3993BC29" w14:textId="77777777" w:rsidR="005A59EB" w:rsidRDefault="00C555D5">
      <w:pPr>
        <w:pStyle w:val="a0"/>
        <w:adjustRightInd w:val="0"/>
        <w:snapToGrid w:val="0"/>
        <w:spacing w:line="360" w:lineRule="auto"/>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基金管理人应留足充分的时间，便于基金托管人复核相关报表及报告。</w:t>
      </w:r>
      <w:bookmarkEnd w:id="96"/>
    </w:p>
    <w:p w14:paraId="722AFFE7" w14:textId="77777777" w:rsidR="005A59EB" w:rsidRDefault="00C555D5">
      <w:bookmarkStart w:id="101" w:name="_Toc124325893"/>
      <w:r>
        <w:rPr>
          <w:rFonts w:hint="eastAsia"/>
        </w:rPr>
        <w:br w:type="page"/>
      </w:r>
    </w:p>
    <w:p w14:paraId="4A15A7EE" w14:textId="77777777" w:rsidR="005A59EB" w:rsidRDefault="00C555D5">
      <w:pPr>
        <w:pStyle w:val="1"/>
        <w:spacing w:line="416" w:lineRule="auto"/>
        <w:ind w:firstLine="0"/>
      </w:pPr>
      <w:r>
        <w:rPr>
          <w:rFonts w:hint="eastAsia"/>
        </w:rPr>
        <w:lastRenderedPageBreak/>
        <w:t>九、基金收益分配</w:t>
      </w:r>
      <w:bookmarkEnd w:id="101"/>
    </w:p>
    <w:p w14:paraId="3BD8365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bookmarkStart w:id="102" w:name="_Hlk54445532"/>
      <w:bookmarkStart w:id="103" w:name="_Hlk45028645"/>
      <w:r>
        <w:rPr>
          <w:rFonts w:asciiTheme="minorEastAsia" w:eastAsiaTheme="minorEastAsia" w:hAnsiTheme="minorEastAsia" w:cs="Arial" w:hint="eastAsia"/>
          <w:sz w:val="24"/>
        </w:rPr>
        <w:t>基金收益分配是指按规定将基金的可分配收益按基金份额进行比例分配。</w:t>
      </w:r>
    </w:p>
    <w:p w14:paraId="0172D4B0" w14:textId="77777777" w:rsidR="005A59EB" w:rsidRDefault="00C555D5">
      <w:pPr>
        <w:pStyle w:val="2"/>
      </w:pPr>
      <w:r>
        <w:rPr>
          <w:rFonts w:hint="eastAsia"/>
        </w:rPr>
        <w:t>（一）基金利润的构成</w:t>
      </w:r>
    </w:p>
    <w:p w14:paraId="2BAF1DED" w14:textId="77777777" w:rsidR="005A59EB" w:rsidRDefault="00C555D5">
      <w:pPr>
        <w:adjustRightInd w:val="0"/>
        <w:snapToGrid w:val="0"/>
        <w:spacing w:line="360" w:lineRule="auto"/>
        <w:ind w:firstLineChars="200" w:firstLine="480"/>
        <w:rPr>
          <w:bCs/>
          <w:sz w:val="24"/>
        </w:rPr>
      </w:pPr>
      <w:r>
        <w:rPr>
          <w:bCs/>
          <w:sz w:val="24"/>
        </w:rPr>
        <w:t>基金利润指基金利息收入、投资收益、公允价值变动收益和其他收入扣除相关费用和信用减值损失后的余额，基金已实现收益指基金利润减去公允价值变动</w:t>
      </w:r>
      <w:r>
        <w:rPr>
          <w:rFonts w:hint="eastAsia"/>
          <w:bCs/>
          <w:sz w:val="24"/>
        </w:rPr>
        <w:t>损</w:t>
      </w:r>
      <w:r>
        <w:rPr>
          <w:bCs/>
          <w:sz w:val="24"/>
        </w:rPr>
        <w:t>益后的余额。</w:t>
      </w:r>
    </w:p>
    <w:p w14:paraId="1867D2C4" w14:textId="77777777" w:rsidR="005A59EB" w:rsidRDefault="00C555D5">
      <w:pPr>
        <w:pStyle w:val="2"/>
      </w:pPr>
      <w:r>
        <w:rPr>
          <w:rFonts w:hint="eastAsia"/>
        </w:rPr>
        <w:t>（二）基金可供分配利润</w:t>
      </w:r>
    </w:p>
    <w:p w14:paraId="31222D78" w14:textId="77777777" w:rsidR="005A59EB" w:rsidRDefault="00C555D5">
      <w:pPr>
        <w:adjustRightInd w:val="0"/>
        <w:snapToGrid w:val="0"/>
        <w:spacing w:line="360" w:lineRule="auto"/>
        <w:ind w:firstLineChars="200" w:firstLine="480"/>
        <w:rPr>
          <w:bCs/>
          <w:sz w:val="24"/>
        </w:rPr>
      </w:pPr>
      <w:r>
        <w:rPr>
          <w:bCs/>
          <w:sz w:val="24"/>
        </w:rPr>
        <w:t>基金可供分配利润指截至收益分配基准日基金未分配利润与未分配利润中已实现收益的孰低数。</w:t>
      </w:r>
    </w:p>
    <w:p w14:paraId="70A9A27C" w14:textId="77777777" w:rsidR="005A59EB" w:rsidRDefault="00C555D5">
      <w:pPr>
        <w:pStyle w:val="2"/>
      </w:pPr>
      <w:r>
        <w:rPr>
          <w:rFonts w:hint="eastAsia"/>
        </w:rPr>
        <w:t>（三）基金收益分配的原则</w:t>
      </w:r>
    </w:p>
    <w:p w14:paraId="34D6C33D" w14:textId="77777777" w:rsidR="005A59EB" w:rsidRDefault="00C555D5">
      <w:pPr>
        <w:adjustRightInd w:val="0"/>
        <w:snapToGrid w:val="0"/>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2E0CDC1E" w14:textId="77777777" w:rsidR="005A59EB" w:rsidRDefault="00C555D5">
      <w:pPr>
        <w:adjustRightInd w:val="0"/>
        <w:snapToGrid w:val="0"/>
        <w:spacing w:line="360" w:lineRule="auto"/>
        <w:ind w:firstLineChars="200" w:firstLine="48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3E654663" w14:textId="77777777" w:rsidR="005A59EB" w:rsidRDefault="00C555D5">
      <w:pPr>
        <w:adjustRightInd w:val="0"/>
        <w:snapToGrid w:val="0"/>
        <w:spacing w:line="360" w:lineRule="auto"/>
        <w:ind w:firstLineChars="200" w:firstLine="480"/>
        <w:rPr>
          <w:bCs/>
          <w:sz w:val="24"/>
        </w:rPr>
      </w:pPr>
      <w:r>
        <w:rPr>
          <w:rFonts w:hint="eastAsia"/>
          <w:bCs/>
          <w:sz w:val="24"/>
        </w:rPr>
        <w:t>3</w:t>
      </w:r>
      <w:r>
        <w:rPr>
          <w:rFonts w:hint="eastAsia"/>
          <w:bCs/>
          <w:sz w:val="24"/>
        </w:rPr>
        <w:t>、基金收益分配后各类基金份额净值不能低于面值，即基金收益分配基准日的任一类基金份额净值减去每单位该类基金份额收益分配金额后不能低于面值；</w:t>
      </w:r>
    </w:p>
    <w:p w14:paraId="4E4A157C" w14:textId="77777777" w:rsidR="005A59EB" w:rsidRDefault="00C555D5">
      <w:pPr>
        <w:adjustRightInd w:val="0"/>
        <w:snapToGrid w:val="0"/>
        <w:spacing w:line="360" w:lineRule="auto"/>
        <w:ind w:firstLineChars="200" w:firstLine="480"/>
        <w:rPr>
          <w:bCs/>
          <w:sz w:val="24"/>
        </w:rPr>
      </w:pPr>
      <w:r>
        <w:rPr>
          <w:rFonts w:hint="eastAsia"/>
          <w:bCs/>
          <w:sz w:val="24"/>
        </w:rPr>
        <w:t>4</w:t>
      </w:r>
      <w:r>
        <w:rPr>
          <w:rFonts w:hint="eastAsia"/>
          <w:bCs/>
          <w:sz w:val="24"/>
        </w:rPr>
        <w:t>、由于各类基金份额类别的收费方式不同，各基金份额类别对应的可供分配利润将有所不同。本基金同一类别每一基金份额享有同等分配权；</w:t>
      </w:r>
    </w:p>
    <w:p w14:paraId="31B091D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sz w:val="24"/>
        </w:rPr>
        <w:t>、因红利再投资所得的份额与原份额</w:t>
      </w:r>
      <w:r>
        <w:rPr>
          <w:rFonts w:asciiTheme="minorEastAsia" w:eastAsiaTheme="minorEastAsia" w:hAnsiTheme="minorEastAsia" w:cs="Arial" w:hint="eastAsia"/>
          <w:sz w:val="24"/>
        </w:rPr>
        <w:t>适用相同的最短持有期限；</w:t>
      </w:r>
    </w:p>
    <w:p w14:paraId="718CB1F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、法律</w:t>
      </w:r>
      <w:r>
        <w:rPr>
          <w:rFonts w:asciiTheme="minorEastAsia" w:eastAsiaTheme="minorEastAsia" w:hAnsiTheme="minorEastAsia" w:cs="Arial" w:hint="eastAsia"/>
          <w:sz w:val="24"/>
        </w:rPr>
        <w:t>法规或监管机关另有规定的，从其规定。</w:t>
      </w:r>
    </w:p>
    <w:p w14:paraId="3D946A1C" w14:textId="77777777" w:rsidR="005A59EB" w:rsidRDefault="00C555D5">
      <w:pPr>
        <w:adjustRightInd w:val="0"/>
        <w:snapToGrid w:val="0"/>
        <w:spacing w:line="360" w:lineRule="auto"/>
        <w:ind w:firstLineChars="200" w:firstLine="480"/>
        <w:rPr>
          <w:rFonts w:asciiTheme="minorEastAsia" w:eastAsiaTheme="minorEastAsia" w:hAnsiTheme="minorEastAsia" w:cs="Arial"/>
          <w:bCs/>
          <w:sz w:val="24"/>
        </w:rPr>
      </w:pPr>
      <w:r>
        <w:rPr>
          <w:rFonts w:asciiTheme="minorEastAsia" w:eastAsiaTheme="minorEastAsia" w:hAnsiTheme="minorEastAsia" w:cs="Arial" w:hint="eastAsia"/>
          <w:bCs/>
          <w:sz w:val="24"/>
        </w:rPr>
        <w:t>在不违反法律法规及基金合同约定，并对基金份额持有人利益无实质性不利影响的前提下，基金管理人经与基金托管人协商一致并履行适当程序后可对基金收益分配原则和支付方式进行调整。</w:t>
      </w:r>
    </w:p>
    <w:p w14:paraId="01B7871F" w14:textId="77777777" w:rsidR="005A59EB" w:rsidRDefault="00C555D5">
      <w:pPr>
        <w:pStyle w:val="2"/>
      </w:pPr>
      <w:r>
        <w:rPr>
          <w:rFonts w:hint="eastAsia"/>
        </w:rPr>
        <w:t>（四）基金收益分配的时间和程序</w:t>
      </w:r>
    </w:p>
    <w:p w14:paraId="78C766A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本基金收益分配方案由基金管理人</w:t>
      </w:r>
      <w:r>
        <w:rPr>
          <w:rFonts w:asciiTheme="minorEastAsia" w:eastAsiaTheme="minorEastAsia" w:hAnsiTheme="minorEastAsia" w:cs="Arial"/>
          <w:bCs/>
          <w:sz w:val="24"/>
        </w:rPr>
        <w:t>拟定</w:t>
      </w:r>
      <w:r>
        <w:rPr>
          <w:rFonts w:asciiTheme="minorEastAsia" w:eastAsiaTheme="minorEastAsia" w:hAnsiTheme="minorEastAsia" w:cs="Arial" w:hint="eastAsia"/>
          <w:sz w:val="24"/>
        </w:rPr>
        <w:t>，并由基金托管人复核，</w:t>
      </w:r>
      <w:r>
        <w:rPr>
          <w:rFonts w:asciiTheme="minorEastAsia" w:eastAsiaTheme="minorEastAsia" w:hAnsiTheme="minorEastAsia" w:hint="eastAsia"/>
          <w:sz w:val="24"/>
        </w:rPr>
        <w:t>基金收益分配方案确定后，由基金管理人按照《信息披露办法》的有关规定在规定媒介公告</w:t>
      </w:r>
      <w:r>
        <w:rPr>
          <w:rFonts w:asciiTheme="minorEastAsia" w:eastAsiaTheme="minorEastAsia" w:hAnsiTheme="minorEastAsia" w:cs="Arial" w:hint="eastAsia"/>
          <w:sz w:val="24"/>
        </w:rPr>
        <w:t>。基金收益分配方案公告后</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依据具体方案的规定</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，基金管理人依据具体方案的规定</w:t>
      </w:r>
      <w:r>
        <w:rPr>
          <w:rFonts w:asciiTheme="minorEastAsia" w:eastAsiaTheme="minorEastAsia" w:hAnsiTheme="minorEastAsia" w:cs="Arial" w:hint="eastAsia"/>
          <w:sz w:val="24"/>
        </w:rPr>
        <w:lastRenderedPageBreak/>
        <w:t>就支付的现金红利向基金托管人发送划款指令，基金托管人按照基金</w:t>
      </w:r>
      <w:r>
        <w:rPr>
          <w:rFonts w:asciiTheme="minorEastAsia" w:eastAsiaTheme="minorEastAsia" w:hAnsiTheme="minorEastAsia" w:cs="Arial" w:hint="eastAsia"/>
          <w:sz w:val="24"/>
        </w:rPr>
        <w:t>管理人的指令及时进行分红资金的划付。</w:t>
      </w:r>
    </w:p>
    <w:p w14:paraId="14BA364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46C19E0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（五）实施侧袋机制期间的收益分配</w:t>
      </w:r>
    </w:p>
    <w:p w14:paraId="0CD78680"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本基金实施侧袋机制的，侧袋账户不进行收益分配，详见招募说明书的规定。</w:t>
      </w:r>
    </w:p>
    <w:p w14:paraId="399FFEBC" w14:textId="77777777" w:rsidR="005A59EB" w:rsidRDefault="00C555D5">
      <w:bookmarkStart w:id="104" w:name="_Toc124325894"/>
      <w:bookmarkEnd w:id="102"/>
      <w:bookmarkEnd w:id="103"/>
      <w:r>
        <w:rPr>
          <w:rFonts w:hint="eastAsia"/>
        </w:rPr>
        <w:br w:type="page"/>
      </w:r>
    </w:p>
    <w:p w14:paraId="5EC07694" w14:textId="77777777" w:rsidR="005A59EB" w:rsidRDefault="00C555D5">
      <w:pPr>
        <w:pStyle w:val="1"/>
        <w:spacing w:line="416" w:lineRule="auto"/>
        <w:ind w:firstLine="0"/>
      </w:pPr>
      <w:r>
        <w:rPr>
          <w:rFonts w:hint="eastAsia"/>
        </w:rPr>
        <w:lastRenderedPageBreak/>
        <w:t>十、基金信息披露</w:t>
      </w:r>
      <w:bookmarkEnd w:id="104"/>
    </w:p>
    <w:p w14:paraId="2F984330" w14:textId="77777777" w:rsidR="005A59EB" w:rsidRDefault="00C555D5">
      <w:pPr>
        <w:pStyle w:val="2"/>
      </w:pPr>
      <w:r>
        <w:rPr>
          <w:rFonts w:hint="eastAsia"/>
        </w:rPr>
        <w:t>（一）保密义务</w:t>
      </w:r>
    </w:p>
    <w:p w14:paraId="7F5667D1"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w:t>
      </w:r>
      <w:r>
        <w:rPr>
          <w:rFonts w:ascii="宋体" w:hAnsi="宋体" w:cs="Arial" w:hint="eastAsia"/>
          <w:sz w:val="24"/>
        </w:rPr>
        <w:t>在公开披露之前应予保密。除按《基金法》、《基金合同》、《流动性风险管理规定》、《信息披露办法》及其他有关规定进行信息披露外，基金管理人和基金托管人对基金运作中产生的信息以及从对方获得的业务信息应予保密。但是，如下情况不应视为基金管理人或基金托管人违反保密义务：</w:t>
      </w:r>
    </w:p>
    <w:p w14:paraId="30D9C5E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非因基金管理人和基金托管人的原因导致保密信息被披露、泄露或公开；</w:t>
      </w:r>
    </w:p>
    <w:p w14:paraId="6B3BAF34"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基金管理人和基金托管人为遵守和服从法院判决或裁定、仲裁裁决或中国证监会等监管机构的命令、决定所做出的信息披露或公开；</w:t>
      </w:r>
    </w:p>
    <w:p w14:paraId="2D89BD88"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hint="eastAsia"/>
          <w:sz w:val="24"/>
        </w:rPr>
        <w:t>基金管理人和基金托管人在要求保密的前提下对自身聘请的外部法律顾问、财务顾问、审计人员、技术顾问等做出的必要信息披露。</w:t>
      </w:r>
    </w:p>
    <w:p w14:paraId="1838CDFF" w14:textId="77777777" w:rsidR="005A59EB" w:rsidRDefault="00C555D5">
      <w:pPr>
        <w:pStyle w:val="2"/>
      </w:pPr>
      <w:r>
        <w:rPr>
          <w:rFonts w:hint="eastAsia"/>
        </w:rPr>
        <w:t>（二）信息披露的内容</w:t>
      </w:r>
    </w:p>
    <w:p w14:paraId="56435CF8" w14:textId="77777777" w:rsidR="005A59EB" w:rsidRDefault="00C555D5">
      <w:pPr>
        <w:pStyle w:val="2"/>
      </w:pPr>
      <w:r>
        <w:rPr>
          <w:rFonts w:hint="eastAsia"/>
        </w:rPr>
        <w:t>基金的信息披露内容主要包括基金招募说明书、《基金合同》、托管协议、基金产品资料概要、基金份额发售公告、《基金合同》生效公告、基金净值信息、基金份额申购</w:t>
      </w:r>
      <w:r>
        <w:rPr>
          <w:rFonts w:hint="eastAsia"/>
        </w:rPr>
        <w:t>/</w:t>
      </w:r>
      <w:r>
        <w:rPr>
          <w:rFonts w:hint="eastAsia"/>
        </w:rPr>
        <w:t>赎回价格、基金定期报告（包括基金年度报告、基金中期报告和基金季度报告）、临时报告、资产支持证券的投资情况、基金投资信用衍生品的信息披露、基金参与国债期货交易的信息披露、基金投资港股通标的股票的信息披露、证券投资基金的投资情况、澄清公告、基金份额持有人大会决议、清算报告、实施侧袋机制期间的信息披露、中国证监会规定的其他信息。本基金投资存托凭证的信息披露依照境内</w:t>
      </w:r>
      <w:r>
        <w:rPr>
          <w:rFonts w:hint="eastAsia"/>
        </w:rPr>
        <w:t>上市交易的股票执行。基金年度报告中的财务会计报告需经过符合《中华人民共和国证券法》规定的会计师事务所审计后，方可披露。</w:t>
      </w:r>
    </w:p>
    <w:p w14:paraId="71526BCF" w14:textId="77777777" w:rsidR="005A59EB" w:rsidRDefault="00C555D5">
      <w:pPr>
        <w:pStyle w:val="2"/>
      </w:pPr>
      <w:r>
        <w:rPr>
          <w:rFonts w:hint="eastAsia"/>
        </w:rPr>
        <w:t>（三）基金托管人和基金管理人在信息披露中的职责和信息披露程序</w:t>
      </w:r>
    </w:p>
    <w:p w14:paraId="01FEDC9D"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职责</w:t>
      </w:r>
    </w:p>
    <w:p w14:paraId="2962229E"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在经基金托管人复核无误后，由基金管理人予以公布。</w:t>
      </w:r>
    </w:p>
    <w:p w14:paraId="34D6C7FD"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对于不需要基金托管人</w:t>
      </w:r>
      <w:r>
        <w:rPr>
          <w:rFonts w:ascii="宋体" w:hAnsi="宋体" w:cs="Arial" w:hint="eastAsia"/>
          <w:sz w:val="24"/>
        </w:rPr>
        <w:t>(</w:t>
      </w:r>
      <w:r>
        <w:rPr>
          <w:rFonts w:ascii="宋体" w:hAnsi="宋体" w:cs="Arial" w:hint="eastAsia"/>
          <w:sz w:val="24"/>
        </w:rPr>
        <w:t>或基金管理</w:t>
      </w:r>
      <w:r>
        <w:rPr>
          <w:rFonts w:ascii="宋体" w:hAnsi="宋体" w:cs="Arial" w:hint="eastAsia"/>
          <w:sz w:val="24"/>
        </w:rPr>
        <w:t>人</w:t>
      </w:r>
      <w:r>
        <w:rPr>
          <w:rFonts w:ascii="宋体" w:hAnsi="宋体" w:cs="Arial" w:hint="eastAsia"/>
          <w:sz w:val="24"/>
        </w:rPr>
        <w:t>)</w:t>
      </w:r>
      <w:r>
        <w:rPr>
          <w:rFonts w:ascii="宋体" w:hAnsi="宋体" w:cs="Arial" w:hint="eastAsia"/>
          <w:sz w:val="24"/>
        </w:rPr>
        <w:t>复核的信息，基金管理人</w:t>
      </w:r>
      <w:r>
        <w:rPr>
          <w:rFonts w:ascii="宋体" w:hAnsi="宋体" w:cs="Arial" w:hint="eastAsia"/>
          <w:sz w:val="24"/>
        </w:rPr>
        <w:t>(</w:t>
      </w:r>
      <w:r>
        <w:rPr>
          <w:rFonts w:ascii="宋体" w:hAnsi="宋体" w:cs="Arial" w:hint="eastAsia"/>
          <w:sz w:val="24"/>
        </w:rPr>
        <w:t>或基金托管人</w:t>
      </w:r>
      <w:r>
        <w:rPr>
          <w:rFonts w:ascii="宋体" w:hAnsi="宋体" w:cs="Arial" w:hint="eastAsia"/>
          <w:sz w:val="24"/>
        </w:rPr>
        <w:t>)</w:t>
      </w:r>
      <w:r>
        <w:rPr>
          <w:rFonts w:ascii="宋体" w:hAnsi="宋体" w:cs="Arial" w:hint="eastAsia"/>
          <w:sz w:val="24"/>
        </w:rPr>
        <w:t>在公告前应告知基金托管人</w:t>
      </w:r>
      <w:r>
        <w:rPr>
          <w:rFonts w:ascii="宋体" w:hAnsi="宋体" w:cs="Arial" w:hint="eastAsia"/>
          <w:sz w:val="24"/>
        </w:rPr>
        <w:t>(</w:t>
      </w:r>
      <w:r>
        <w:rPr>
          <w:rFonts w:ascii="宋体" w:hAnsi="宋体" w:cs="Arial" w:hint="eastAsia"/>
          <w:sz w:val="24"/>
        </w:rPr>
        <w:t>或基金管理人</w:t>
      </w:r>
      <w:r>
        <w:rPr>
          <w:rFonts w:ascii="宋体" w:hAnsi="宋体" w:cs="Arial" w:hint="eastAsia"/>
          <w:sz w:val="24"/>
        </w:rPr>
        <w:t>)</w:t>
      </w:r>
      <w:r>
        <w:rPr>
          <w:rFonts w:ascii="宋体" w:hAnsi="宋体" w:cs="Arial" w:hint="eastAsia"/>
          <w:sz w:val="24"/>
        </w:rPr>
        <w:t>。</w:t>
      </w:r>
    </w:p>
    <w:p w14:paraId="2EC3156B"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基金管理人和基金托管人应积极配合、互相监督，保证其履行按照法定方式和时限披露的义务。</w:t>
      </w:r>
    </w:p>
    <w:p w14:paraId="0D1981EA"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2699B1E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56017421"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）基金投资所涉及的证券、期货交易所或外汇市场遇法定节假日或因其他原因暂停营业时；</w:t>
      </w:r>
    </w:p>
    <w:p w14:paraId="31D151E8"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）不可抗力；</w:t>
      </w:r>
    </w:p>
    <w:p w14:paraId="5E41888C"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3</w:t>
      </w:r>
      <w:r>
        <w:rPr>
          <w:rFonts w:ascii="宋体" w:hAnsi="宋体" w:cs="Arial" w:hint="eastAsia"/>
          <w:sz w:val="24"/>
        </w:rPr>
        <w:t>）发</w:t>
      </w:r>
      <w:r>
        <w:rPr>
          <w:rFonts w:ascii="宋体" w:hAnsi="宋体" w:cs="Arial" w:hint="eastAsia"/>
          <w:sz w:val="24"/>
        </w:rPr>
        <w:t>生暂停估值的情形；</w:t>
      </w:r>
    </w:p>
    <w:p w14:paraId="58D2DF6D"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4</w:t>
      </w:r>
      <w:r>
        <w:rPr>
          <w:rFonts w:ascii="宋体" w:hAnsi="宋体" w:cs="Arial" w:hint="eastAsia"/>
          <w:sz w:val="24"/>
        </w:rPr>
        <w:t>）法律法规、基金合同或中国证监会规定的其他情况。</w:t>
      </w:r>
    </w:p>
    <w:p w14:paraId="2CD246BE"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程序</w:t>
      </w:r>
    </w:p>
    <w:p w14:paraId="19F0C151"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基金管理人应及时向基金托管人提供按有关规定须经基金托管人复核的信息披露文件，基金托管人通过指定邮箱向基金管理人发送的电子复核函件或其他双方协商一致的方式提供的复核意见与基金托管人出具的书面复核函件具有同等效力。</w:t>
      </w:r>
    </w:p>
    <w:p w14:paraId="4434EF2E"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hint="eastAsia"/>
          <w:sz w:val="24"/>
        </w:rPr>
        <w:t>信息文本的存放</w:t>
      </w:r>
    </w:p>
    <w:p w14:paraId="3DC89EBD"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依法必须披露的信息发布后，基金管</w:t>
      </w:r>
      <w:r>
        <w:rPr>
          <w:rFonts w:ascii="宋体" w:hAnsi="宋体" w:cs="Arial" w:hint="eastAsia"/>
          <w:sz w:val="24"/>
        </w:rPr>
        <w:t>理人、基金托管人应当按照相关法律法规规定将信息置备于各自住所，供社会公众查阅、复制。</w:t>
      </w:r>
    </w:p>
    <w:p w14:paraId="547E8922"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在支付工本费后可在合理时间获得上述文件的复制件或复印件。基金管理人和基金托管人应保证文本的内容与所公告的内容完全一致。</w:t>
      </w:r>
    </w:p>
    <w:p w14:paraId="155FBA57"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sz w:val="24"/>
        </w:rPr>
        <w:t>四</w:t>
      </w:r>
      <w:r>
        <w:rPr>
          <w:rFonts w:ascii="宋体" w:hAnsi="宋体" w:cs="Arial" w:hint="eastAsia"/>
          <w:sz w:val="24"/>
        </w:rPr>
        <w:t>）实施侧袋机制期间的信息披露</w:t>
      </w:r>
    </w:p>
    <w:p w14:paraId="147C5F0B"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本基金实施侧袋机制的，相关信息披露义务人应当根据法律法规、基金合同和招募说明书的规定进行信息披露，详见招募说明书的规定。</w:t>
      </w:r>
    </w:p>
    <w:p w14:paraId="0599E95C" w14:textId="77777777" w:rsidR="005A59EB" w:rsidRDefault="00C555D5">
      <w:bookmarkStart w:id="105" w:name="_Toc124325895"/>
      <w:r>
        <w:rPr>
          <w:rFonts w:hint="eastAsia"/>
        </w:rPr>
        <w:br w:type="page"/>
      </w:r>
    </w:p>
    <w:p w14:paraId="5C124012" w14:textId="77777777" w:rsidR="005A59EB" w:rsidRDefault="00C555D5">
      <w:pPr>
        <w:pStyle w:val="1"/>
        <w:spacing w:line="416" w:lineRule="auto"/>
        <w:ind w:firstLine="0"/>
      </w:pPr>
      <w:r>
        <w:rPr>
          <w:rFonts w:hint="eastAsia"/>
        </w:rPr>
        <w:lastRenderedPageBreak/>
        <w:t>十一、基金费用</w:t>
      </w:r>
      <w:bookmarkEnd w:id="105"/>
    </w:p>
    <w:p w14:paraId="46959A71" w14:textId="77777777" w:rsidR="005A59EB" w:rsidRDefault="00C555D5">
      <w:pPr>
        <w:pStyle w:val="2"/>
      </w:pPr>
      <w:r>
        <w:rPr>
          <w:rFonts w:hint="eastAsia"/>
        </w:rPr>
        <w:t>（一）基金管理费的计提比例和计提方法</w:t>
      </w:r>
    </w:p>
    <w:p w14:paraId="7452BAD0"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本基金的管理费按前一日基金资产净值扣除前一日所持有本基金管理人管理的公开募集的基金份额所对应</w:t>
      </w:r>
      <w:r>
        <w:rPr>
          <w:rFonts w:asciiTheme="minorEastAsia" w:eastAsiaTheme="minorEastAsia" w:hAnsiTheme="minorEastAsia" w:cs="Arial" w:hint="eastAsia"/>
          <w:sz w:val="24"/>
        </w:rPr>
        <w:t>资产净值后的余额（若为负数，则取</w:t>
      </w:r>
      <w:r>
        <w:rPr>
          <w:rFonts w:asciiTheme="minorEastAsia" w:eastAsiaTheme="minorEastAsia" w:hAnsiTheme="minorEastAsia" w:cs="Arial" w:hint="eastAsia"/>
          <w:sz w:val="24"/>
        </w:rPr>
        <w:t>0</w:t>
      </w:r>
      <w:r>
        <w:rPr>
          <w:rFonts w:asciiTheme="minorEastAsia" w:eastAsiaTheme="minorEastAsia" w:hAnsiTheme="minorEastAsia" w:cs="Arial" w:hint="eastAsia"/>
          <w:sz w:val="24"/>
        </w:rPr>
        <w:t>）的</w:t>
      </w:r>
      <w:r>
        <w:rPr>
          <w:rFonts w:asciiTheme="minorEastAsia" w:eastAsiaTheme="minorEastAsia" w:hAnsiTheme="minorEastAsia" w:cs="Arial" w:hint="eastAsia"/>
          <w:sz w:val="24"/>
        </w:rPr>
        <w:t>0.60%</w:t>
      </w:r>
      <w:r>
        <w:rPr>
          <w:rFonts w:asciiTheme="minorEastAsia" w:eastAsiaTheme="minorEastAsia" w:hAnsiTheme="minorEastAsia" w:cs="Arial" w:hint="eastAsia"/>
          <w:sz w:val="24"/>
        </w:rPr>
        <w:t>年费率计提，本基金投资于本基金管理人所管理的公开募集的基金份额的部分不收取管理费。管理费的计算方法如下：</w:t>
      </w:r>
    </w:p>
    <w:p w14:paraId="24D5AEA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w:t>
      </w:r>
      <w:r>
        <w:rPr>
          <w:rFonts w:asciiTheme="minorEastAsia" w:eastAsiaTheme="minorEastAsia" w:hAnsiTheme="minorEastAsia" w:cs="Arial"/>
          <w:sz w:val="24"/>
        </w:rPr>
        <w:t>0.</w:t>
      </w:r>
      <w:r>
        <w:rPr>
          <w:rFonts w:asciiTheme="minorEastAsia" w:eastAsiaTheme="minorEastAsia" w:hAnsiTheme="minorEastAsia" w:cs="Arial" w:hint="eastAsia"/>
          <w:sz w:val="24"/>
        </w:rPr>
        <w:t>60%</w:t>
      </w:r>
      <w:r>
        <w:rPr>
          <w:rFonts w:asciiTheme="minorEastAsia" w:eastAsiaTheme="minorEastAsia" w:hAnsiTheme="minorEastAsia" w:cs="Arial" w:hint="eastAsia"/>
          <w:sz w:val="24"/>
        </w:rPr>
        <w:t>÷当年天数</w:t>
      </w:r>
    </w:p>
    <w:p w14:paraId="3499341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为每日应计提的基金管理费</w:t>
      </w:r>
    </w:p>
    <w:p w14:paraId="746F91B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w:t>
      </w:r>
      <w:r>
        <w:rPr>
          <w:rFonts w:asciiTheme="minorEastAsia" w:eastAsiaTheme="minorEastAsia" w:hAnsiTheme="minorEastAsia" w:cs="Arial" w:hint="eastAsia"/>
          <w:sz w:val="24"/>
        </w:rPr>
        <w:t>为前一日的基金资产净值（扣除前一日所持有的基金管理人管理的公开募集的基金份额所对应资产净值后的余额），若为负数，则</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取</w:t>
      </w:r>
      <w:r>
        <w:rPr>
          <w:rFonts w:asciiTheme="minorEastAsia" w:eastAsiaTheme="minorEastAsia" w:hAnsiTheme="minorEastAsia" w:cs="Arial" w:hint="eastAsia"/>
          <w:sz w:val="24"/>
        </w:rPr>
        <w:t>0</w:t>
      </w:r>
    </w:p>
    <w:p w14:paraId="7736315B" w14:textId="77777777" w:rsidR="005A59EB" w:rsidRDefault="00C555D5">
      <w:pPr>
        <w:pStyle w:val="2"/>
      </w:pPr>
      <w:r>
        <w:rPr>
          <w:rFonts w:hint="eastAsia"/>
        </w:rPr>
        <w:t>（二）基金托管费的计提比例和计提方法</w:t>
      </w:r>
    </w:p>
    <w:p w14:paraId="7510777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本基金的托管费按前一日基金资产净值扣除前一日所持有基金托管人托管的公开募集的基金份额所对应资产净值后的余额（若为负数，则取</w:t>
      </w:r>
      <w:r>
        <w:rPr>
          <w:rFonts w:asciiTheme="minorEastAsia" w:eastAsiaTheme="minorEastAsia" w:hAnsiTheme="minorEastAsia" w:cs="Arial" w:hint="eastAsia"/>
          <w:sz w:val="24"/>
        </w:rPr>
        <w:t>0</w:t>
      </w:r>
      <w:r>
        <w:rPr>
          <w:rFonts w:asciiTheme="minorEastAsia" w:eastAsiaTheme="minorEastAsia" w:hAnsiTheme="minorEastAsia" w:cs="Arial" w:hint="eastAsia"/>
          <w:sz w:val="24"/>
        </w:rPr>
        <w:t>）的</w:t>
      </w:r>
      <w:r>
        <w:rPr>
          <w:rFonts w:asciiTheme="minorEastAsia" w:eastAsiaTheme="minorEastAsia" w:hAnsiTheme="minorEastAsia" w:cs="Arial" w:hint="eastAsia"/>
          <w:sz w:val="24"/>
        </w:rPr>
        <w:t>0.</w:t>
      </w:r>
      <w:r>
        <w:rPr>
          <w:rFonts w:asciiTheme="minorEastAsia" w:eastAsiaTheme="minorEastAsia" w:hAnsiTheme="minorEastAsia" w:cs="Arial"/>
          <w:sz w:val="24"/>
        </w:rPr>
        <w:t>15</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的年费率计提，本基金投资于本基金托管人所托管的公开募集的基金份额的部分不收取托管费。托管费的计算方法如下：</w:t>
      </w:r>
    </w:p>
    <w:p w14:paraId="13C37FA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w:t>
      </w:r>
      <w:r>
        <w:rPr>
          <w:rFonts w:asciiTheme="minorEastAsia" w:eastAsiaTheme="minorEastAsia" w:hAnsiTheme="minorEastAsia" w:cs="Arial"/>
          <w:sz w:val="24"/>
        </w:rPr>
        <w:t>0.15</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÷当年天数</w:t>
      </w:r>
    </w:p>
    <w:p w14:paraId="4E05BDEE"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为每日应计提的基金托管费</w:t>
      </w:r>
    </w:p>
    <w:p w14:paraId="4D54222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w:t>
      </w:r>
      <w:r>
        <w:rPr>
          <w:rFonts w:asciiTheme="minorEastAsia" w:eastAsiaTheme="minorEastAsia" w:hAnsiTheme="minorEastAsia" w:cs="Arial" w:hint="eastAsia"/>
          <w:sz w:val="24"/>
        </w:rPr>
        <w:t>为前一日的基金资产净值（扣除前一日所持有的基金托管人托管的公开募集的基金份额所对应资产净值后的余额），若为负数，则</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取</w:t>
      </w:r>
      <w:r>
        <w:rPr>
          <w:rFonts w:asciiTheme="minorEastAsia" w:eastAsiaTheme="minorEastAsia" w:hAnsiTheme="minorEastAsia" w:cs="Arial" w:hint="eastAsia"/>
          <w:sz w:val="24"/>
        </w:rPr>
        <w:t>0</w:t>
      </w:r>
    </w:p>
    <w:p w14:paraId="2FAE67EA" w14:textId="77777777" w:rsidR="005A59EB" w:rsidRDefault="00C555D5">
      <w:pPr>
        <w:pStyle w:val="2"/>
      </w:pPr>
      <w:r>
        <w:rPr>
          <w:rFonts w:hint="eastAsia"/>
        </w:rPr>
        <w:t>（三）基金销售服务费的计提比例和计提方法</w:t>
      </w:r>
    </w:p>
    <w:p w14:paraId="223D2DC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本基金基金份额分为不同的类别，适用不同的销售服务费率。其中，</w:t>
      </w:r>
      <w:r>
        <w:rPr>
          <w:rFonts w:asciiTheme="minorEastAsia" w:eastAsiaTheme="minorEastAsia" w:hAnsiTheme="minorEastAsia" w:cs="Arial" w:hint="eastAsia"/>
          <w:sz w:val="24"/>
        </w:rPr>
        <w:t>A</w:t>
      </w:r>
      <w:r>
        <w:rPr>
          <w:rFonts w:asciiTheme="minorEastAsia" w:eastAsiaTheme="minorEastAsia" w:hAnsiTheme="minorEastAsia" w:cs="Arial" w:hint="eastAsia"/>
          <w:sz w:val="24"/>
        </w:rPr>
        <w:t>类基金份额不收取销售服务费。本基金</w:t>
      </w:r>
      <w:r>
        <w:rPr>
          <w:rFonts w:asciiTheme="minorEastAsia" w:eastAsiaTheme="minorEastAsia" w:hAnsiTheme="minorEastAsia" w:cs="Arial" w:hint="eastAsia"/>
          <w:sz w:val="24"/>
        </w:rPr>
        <w:t>C</w:t>
      </w:r>
      <w:r>
        <w:rPr>
          <w:rFonts w:asciiTheme="minorEastAsia" w:eastAsiaTheme="minorEastAsia" w:hAnsiTheme="minorEastAsia" w:cs="Arial" w:hint="eastAsia"/>
          <w:sz w:val="24"/>
        </w:rPr>
        <w:t>类基金份额销售服务费按前一日</w:t>
      </w:r>
      <w:r>
        <w:rPr>
          <w:rFonts w:asciiTheme="minorEastAsia" w:eastAsiaTheme="minorEastAsia" w:hAnsiTheme="minorEastAsia" w:cs="Arial" w:hint="eastAsia"/>
          <w:sz w:val="24"/>
        </w:rPr>
        <w:t>C</w:t>
      </w:r>
      <w:r>
        <w:rPr>
          <w:rFonts w:asciiTheme="minorEastAsia" w:eastAsiaTheme="minorEastAsia" w:hAnsiTheme="minorEastAsia" w:cs="Arial" w:hint="eastAsia"/>
          <w:sz w:val="24"/>
        </w:rPr>
        <w:t>类基金份额的基金资产净值的</w:t>
      </w:r>
      <w:r>
        <w:rPr>
          <w:rFonts w:asciiTheme="minorEastAsia" w:eastAsiaTheme="minorEastAsia" w:hAnsiTheme="minorEastAsia" w:cs="Arial" w:hint="eastAsia"/>
          <w:sz w:val="24"/>
        </w:rPr>
        <w:t>0.</w:t>
      </w:r>
      <w:r>
        <w:rPr>
          <w:rFonts w:asciiTheme="minorEastAsia" w:eastAsiaTheme="minorEastAsia" w:hAnsiTheme="minorEastAsia" w:cs="Arial"/>
          <w:sz w:val="24"/>
        </w:rPr>
        <w:t>20</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年费率计提。计算方法如下：</w:t>
      </w:r>
    </w:p>
    <w:p w14:paraId="2011EF1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E</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0.</w:t>
      </w:r>
      <w:r>
        <w:rPr>
          <w:rFonts w:asciiTheme="minorEastAsia" w:eastAsiaTheme="minorEastAsia" w:hAnsiTheme="minorEastAsia" w:cs="Arial"/>
          <w:sz w:val="24"/>
        </w:rPr>
        <w:t>20</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÷当年天数</w:t>
      </w:r>
    </w:p>
    <w:p w14:paraId="6B0EA10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w:t>
      </w:r>
      <w:r>
        <w:rPr>
          <w:rFonts w:asciiTheme="minorEastAsia" w:eastAsiaTheme="minorEastAsia" w:hAnsiTheme="minorEastAsia" w:cs="Arial" w:hint="eastAsia"/>
          <w:sz w:val="24"/>
        </w:rPr>
        <w:t>为</w:t>
      </w:r>
      <w:r>
        <w:rPr>
          <w:rFonts w:asciiTheme="minorEastAsia" w:eastAsiaTheme="minorEastAsia" w:hAnsiTheme="minorEastAsia" w:cs="Arial" w:hint="eastAsia"/>
          <w:sz w:val="24"/>
        </w:rPr>
        <w:t>C</w:t>
      </w:r>
      <w:r>
        <w:rPr>
          <w:rFonts w:asciiTheme="minorEastAsia" w:eastAsiaTheme="minorEastAsia" w:hAnsiTheme="minorEastAsia" w:cs="Arial" w:hint="eastAsia"/>
          <w:sz w:val="24"/>
        </w:rPr>
        <w:t>类基金份额每日应计提的销售服务费</w:t>
      </w:r>
    </w:p>
    <w:p w14:paraId="2B4512B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w:t>
      </w:r>
      <w:r>
        <w:rPr>
          <w:rFonts w:asciiTheme="minorEastAsia" w:eastAsiaTheme="minorEastAsia" w:hAnsiTheme="minorEastAsia" w:cs="Arial" w:hint="eastAsia"/>
          <w:sz w:val="24"/>
        </w:rPr>
        <w:t>为</w:t>
      </w:r>
      <w:r>
        <w:rPr>
          <w:rFonts w:asciiTheme="minorEastAsia" w:eastAsiaTheme="minorEastAsia" w:hAnsiTheme="minorEastAsia" w:cs="Arial" w:hint="eastAsia"/>
          <w:sz w:val="24"/>
        </w:rPr>
        <w:t>C</w:t>
      </w:r>
      <w:r>
        <w:rPr>
          <w:rFonts w:asciiTheme="minorEastAsia" w:eastAsiaTheme="minorEastAsia" w:hAnsiTheme="minorEastAsia" w:cs="Arial" w:hint="eastAsia"/>
          <w:sz w:val="24"/>
        </w:rPr>
        <w:t>类基金份额前一日的基金资产净值</w:t>
      </w:r>
    </w:p>
    <w:p w14:paraId="13EBC9B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C</w:t>
      </w:r>
      <w:r>
        <w:rPr>
          <w:rFonts w:asciiTheme="minorEastAsia" w:eastAsiaTheme="minorEastAsia" w:hAnsiTheme="minorEastAsia" w:cs="Arial" w:hint="eastAsia"/>
          <w:sz w:val="24"/>
        </w:rPr>
        <w:t>类基金份额的销售服务费每日计提。</w:t>
      </w:r>
    </w:p>
    <w:p w14:paraId="57A6B6D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）基金管理人直销渠道：</w:t>
      </w:r>
    </w:p>
    <w:p w14:paraId="31C140E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对于基金份额计提的销售服务费，在投资者赎回基金份额或基金合同终止时，</w:t>
      </w:r>
      <w:r>
        <w:rPr>
          <w:rFonts w:asciiTheme="minorEastAsia" w:eastAsiaTheme="minorEastAsia" w:hAnsiTheme="minorEastAsia" w:cs="Arial" w:hint="eastAsia"/>
          <w:sz w:val="24"/>
        </w:rPr>
        <w:lastRenderedPageBreak/>
        <w:t>随赎回款（或清算款）一并返还给投资者，若遇法定节假日、休息日等，支付日期顺延。</w:t>
      </w:r>
    </w:p>
    <w:p w14:paraId="5DE2CB5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）其他销售代销渠道：</w:t>
      </w:r>
    </w:p>
    <w:p w14:paraId="60A0572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对于投资者持续持有期限未超过一年（即</w:t>
      </w:r>
      <w:r>
        <w:rPr>
          <w:rFonts w:asciiTheme="minorEastAsia" w:eastAsiaTheme="minorEastAsia" w:hAnsiTheme="minorEastAsia" w:cs="Arial" w:hint="eastAsia"/>
          <w:sz w:val="24"/>
        </w:rPr>
        <w:t>365</w:t>
      </w:r>
      <w:r>
        <w:rPr>
          <w:rFonts w:asciiTheme="minorEastAsia" w:eastAsiaTheme="minorEastAsia" w:hAnsiTheme="minorEastAsia" w:cs="Arial" w:hint="eastAsia"/>
          <w:sz w:val="24"/>
        </w:rPr>
        <w:t>天，下同）的基金份额收取的销售服务费，逐日累计至每月月末，按月支付。由基金托管人根据与基金管理</w:t>
      </w:r>
      <w:r>
        <w:rPr>
          <w:rFonts w:asciiTheme="minorEastAsia" w:eastAsiaTheme="minorEastAsia" w:hAnsiTheme="minorEastAsia" w:cs="Arial" w:hint="eastAsia"/>
          <w:sz w:val="24"/>
        </w:rPr>
        <w:t>人核对一致的财务数据，自动在月初</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FC72DC0"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持续持有期限超过一年的基金份额继续计提的销售服务费，在投资者赎回基金份额或基金合同终止时，随赎回款（或清算款）一并返还给投资者，若遇法定节假日、休息日等，支付日期顺延。持续持有期为基金合同生效日（针对募集期内认购的基金份额）或该笔基金份额申购、转入确认日与赎回、转出确认日</w:t>
      </w:r>
      <w:r>
        <w:rPr>
          <w:rFonts w:asciiTheme="minorEastAsia" w:eastAsiaTheme="minorEastAsia" w:hAnsiTheme="minorEastAsia" w:cs="Arial" w:hint="eastAsia"/>
          <w:sz w:val="24"/>
        </w:rPr>
        <w:t>或基金合同终止情形发生日下一工作日的间隔天数。</w:t>
      </w:r>
    </w:p>
    <w:p w14:paraId="4FFF7541" w14:textId="77777777" w:rsidR="005A59EB" w:rsidRDefault="00C555D5">
      <w:pPr>
        <w:pStyle w:val="2"/>
      </w:pPr>
      <w:r>
        <w:rPr>
          <w:rFonts w:hint="eastAsia"/>
        </w:rPr>
        <w:t>（四）《基金合同》生效后与基金相关的信息披露费用；《基金合同》生效后与基金相关的会计师费、律师费、仲裁费和诉讼费；基金份额持有人大会费用；基金的证券、期货、信用衍生品交易费用；基金的银行汇划费用；基金的开户费用、账户维护费用以及与账户相关的网银等费用；因投资港股通标的股票而产生的各项合理费用；基金投资其他基金份额产生的费用（包括但不限于申购费、赎回费以及销售服务费用等），但法律法规禁止从基金财产中列支的除外；按照国家有关规定和《基金合同》约定，可以在基金财产中</w:t>
      </w:r>
      <w:r>
        <w:rPr>
          <w:rFonts w:hint="eastAsia"/>
        </w:rPr>
        <w:t>列支的其他费用，按费用实际支出金额列入当期基金费用。</w:t>
      </w:r>
    </w:p>
    <w:p w14:paraId="7733022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基金管理人运用本基金财产申购自身管理的基金的（</w:t>
      </w:r>
      <w:r>
        <w:rPr>
          <w:rFonts w:asciiTheme="minorEastAsia" w:eastAsiaTheme="minorEastAsia" w:hAnsiTheme="minorEastAsia" w:cs="Arial" w:hint="eastAsia"/>
          <w:sz w:val="24"/>
        </w:rPr>
        <w:t>ETF</w:t>
      </w:r>
      <w:r>
        <w:rPr>
          <w:rFonts w:asciiTheme="minorEastAsia" w:eastAsiaTheme="minorEastAsia" w:hAnsiTheme="minorEastAsia" w:cs="Arial" w:hint="eastAsia"/>
          <w:sz w:val="24"/>
        </w:rPr>
        <w:t>和公募</w:t>
      </w:r>
      <w:r>
        <w:rPr>
          <w:rFonts w:asciiTheme="minorEastAsia" w:eastAsiaTheme="minorEastAsia" w:hAnsiTheme="minorEastAsia" w:cs="Arial" w:hint="eastAsia"/>
          <w:sz w:val="24"/>
        </w:rPr>
        <w:t>REITs</w:t>
      </w:r>
      <w:r>
        <w:rPr>
          <w:rFonts w:asciiTheme="minorEastAsia" w:eastAsiaTheme="minorEastAsia" w:hAnsiTheme="minorEastAsia" w:cs="Arial" w:hint="eastAsia"/>
          <w:sz w:val="24"/>
        </w:rPr>
        <w:t>除外），应当通过直销渠道申购且不得收取申购费、赎回费（按照相关法规、基金招募说明书约定应当收取，并计入基金财产的赎回费用除外）、销售服务费等销售费用。</w:t>
      </w:r>
    </w:p>
    <w:p w14:paraId="1D3F2897" w14:textId="77777777" w:rsidR="005A59EB" w:rsidRDefault="00C555D5">
      <w:pPr>
        <w:pStyle w:val="2"/>
      </w:pPr>
      <w:r>
        <w:rPr>
          <w:rFonts w:hint="eastAsia"/>
        </w:rPr>
        <w:t>（五）不列入基金费用的项目</w:t>
      </w:r>
    </w:p>
    <w:p w14:paraId="1B04E85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、基金管理人和基金托管人因未履行或未完全履行义务导致的费用支出或基金财产的损失；</w:t>
      </w:r>
    </w:p>
    <w:p w14:paraId="265165D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、基金管理人和基金托管人处理与基金运作无关的事项发生的费用；</w:t>
      </w:r>
    </w:p>
    <w:p w14:paraId="1BBD7B1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、《基金合同》生效前的相关费用；</w:t>
      </w:r>
    </w:p>
    <w:p w14:paraId="4F2911B4"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4</w:t>
      </w:r>
      <w:r>
        <w:rPr>
          <w:rFonts w:asciiTheme="minorEastAsia" w:eastAsiaTheme="minorEastAsia" w:hAnsiTheme="minorEastAsia" w:cs="Arial" w:hint="eastAsia"/>
          <w:sz w:val="24"/>
        </w:rPr>
        <w:t>、其他根据相关法律法规及</w:t>
      </w:r>
      <w:r>
        <w:rPr>
          <w:rFonts w:asciiTheme="minorEastAsia" w:eastAsiaTheme="minorEastAsia" w:hAnsiTheme="minorEastAsia" w:cs="Arial" w:hint="eastAsia"/>
          <w:sz w:val="24"/>
        </w:rPr>
        <w:t>中国证监会的有关规定不得列入基金费用的项目。</w:t>
      </w:r>
    </w:p>
    <w:p w14:paraId="095A2CBB" w14:textId="77777777" w:rsidR="005A59EB" w:rsidRDefault="00C555D5">
      <w:pPr>
        <w:pStyle w:val="2"/>
      </w:pPr>
      <w:r>
        <w:rPr>
          <w:rFonts w:hint="eastAsia"/>
        </w:rPr>
        <w:t>（六）实施侧袋机制期间的基金费用</w:t>
      </w:r>
    </w:p>
    <w:p w14:paraId="6372B568" w14:textId="77777777" w:rsidR="005A59EB" w:rsidRDefault="00C555D5">
      <w:pPr>
        <w:pStyle w:val="2"/>
      </w:pPr>
      <w:r>
        <w:rPr>
          <w:rFonts w:hint="eastAsia"/>
        </w:rPr>
        <w:t>本基金实施侧袋机制的，与侧袋账户有关的费用可以从侧袋账户中列支，但应待侧袋账户资产变现后方可列支，有关费用可酌情收取或减免，但不得收取管理费，详见招募说明书的规定或相关公告。</w:t>
      </w:r>
    </w:p>
    <w:p w14:paraId="42A64ED1" w14:textId="77777777" w:rsidR="005A59EB" w:rsidRDefault="00C555D5">
      <w:pPr>
        <w:pStyle w:val="2"/>
      </w:pPr>
      <w:r>
        <w:rPr>
          <w:rFonts w:hint="eastAsia"/>
        </w:rPr>
        <w:t>（七）基金税收</w:t>
      </w:r>
    </w:p>
    <w:p w14:paraId="012A8152" w14:textId="77777777" w:rsidR="005A59EB" w:rsidRDefault="00C555D5">
      <w:pPr>
        <w:pStyle w:val="2"/>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6AFCEA6" w14:textId="77777777" w:rsidR="005A59EB" w:rsidRDefault="00C555D5">
      <w:pPr>
        <w:pStyle w:val="2"/>
      </w:pPr>
      <w:r>
        <w:rPr>
          <w:rFonts w:hint="eastAsia"/>
        </w:rPr>
        <w:t>（八）基金管理费、基金托管费和销售服务费的复核程序、支付方式和时间</w:t>
      </w:r>
    </w:p>
    <w:p w14:paraId="3197A86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复核程序</w:t>
      </w:r>
    </w:p>
    <w:p w14:paraId="22250EAE"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基金托管人对基金管理人计提的基金管理费、基金托管费和销售服务费等，根据本托管协议和《基金合同》的有关规定进行复核。</w:t>
      </w:r>
    </w:p>
    <w:p w14:paraId="02B0DBB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支付方式和时间</w:t>
      </w:r>
    </w:p>
    <w:p w14:paraId="55E9BF4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基金管理费、基金托管费和销售服务费</w:t>
      </w:r>
      <w:r>
        <w:rPr>
          <w:rFonts w:asciiTheme="minorEastAsia" w:eastAsiaTheme="minorEastAsia" w:hAnsiTheme="minorEastAsia" w:cs="Arial" w:hint="eastAsia"/>
          <w:bCs/>
          <w:sz w:val="24"/>
        </w:rPr>
        <w:t>每日计提，按月支付。由基金托管人根据与基金管理人核对一致的财务数据，自动在次月初</w:t>
      </w:r>
      <w:r>
        <w:rPr>
          <w:rFonts w:asciiTheme="minorEastAsia" w:eastAsiaTheme="minorEastAsia" w:hAnsiTheme="minorEastAsia" w:cs="Arial" w:hint="eastAsia"/>
          <w:bCs/>
          <w:sz w:val="24"/>
        </w:rPr>
        <w:t>5</w:t>
      </w:r>
      <w:r>
        <w:rPr>
          <w:rFonts w:asciiTheme="minorEastAsia" w:eastAsiaTheme="minorEastAsia" w:hAnsiTheme="minorEastAsia" w:cs="Arial" w:hint="eastAsia"/>
          <w:bCs/>
          <w:sz w:val="24"/>
        </w:rPr>
        <w:t>个工作日内按照指定的账户路径进行支付。若遇法定节假日、休息日等，支付日期顺延。费用自动扣划后，基金管理人应进行核对，如发现数据不符，应及时联系基金托管人协商解决。</w:t>
      </w:r>
    </w:p>
    <w:p w14:paraId="035C627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在首期支付基金</w:t>
      </w:r>
      <w:r>
        <w:rPr>
          <w:rFonts w:asciiTheme="minorEastAsia" w:eastAsiaTheme="minorEastAsia" w:hAnsiTheme="minorEastAsia" w:cs="Arial" w:hint="eastAsia"/>
          <w:sz w:val="24"/>
        </w:rPr>
        <w:t>管理费、销售服务费前，基金管理人应向基金托管人出具正式函件指定相应的收款账户。基金管理人如需要变更此账户，应提前</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个工作日向基金托管人出具书面的收款账户变更通知。</w:t>
      </w:r>
    </w:p>
    <w:p w14:paraId="0A3B0F69" w14:textId="77777777" w:rsidR="005A59EB" w:rsidRDefault="00C555D5">
      <w:pPr>
        <w:pStyle w:val="2"/>
      </w:pPr>
      <w:r>
        <w:rPr>
          <w:rFonts w:hint="eastAsia"/>
        </w:rPr>
        <w:t>（九）违规处理方式</w:t>
      </w:r>
    </w:p>
    <w:p w14:paraId="16CAD2E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E091A97" w14:textId="77777777" w:rsidR="005A59EB" w:rsidRDefault="005A59EB">
      <w:pPr>
        <w:adjustRightInd w:val="0"/>
        <w:snapToGrid w:val="0"/>
        <w:rPr>
          <w:rFonts w:ascii="彩虹粗仿宋" w:eastAsia="彩虹粗仿宋" w:hAnsi="宋体" w:cs="Arial"/>
          <w:sz w:val="24"/>
        </w:rPr>
      </w:pPr>
    </w:p>
    <w:p w14:paraId="2C391D36" w14:textId="77777777" w:rsidR="005A59EB" w:rsidRDefault="00C555D5">
      <w:bookmarkStart w:id="106" w:name="_Toc124325896"/>
      <w:r>
        <w:rPr>
          <w:rFonts w:hint="eastAsia"/>
        </w:rPr>
        <w:br w:type="page"/>
      </w:r>
    </w:p>
    <w:p w14:paraId="3E4E01AD" w14:textId="77777777" w:rsidR="005A59EB" w:rsidRDefault="00C555D5">
      <w:pPr>
        <w:pStyle w:val="1"/>
        <w:spacing w:line="416" w:lineRule="auto"/>
        <w:ind w:firstLine="0"/>
      </w:pPr>
      <w:r>
        <w:rPr>
          <w:rFonts w:hint="eastAsia"/>
        </w:rPr>
        <w:lastRenderedPageBreak/>
        <w:t>十二、基金份额持有人名册的保管</w:t>
      </w:r>
      <w:bookmarkEnd w:id="106"/>
    </w:p>
    <w:p w14:paraId="51A3163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按照相关规则分别保管基金份额持有人名册，保管期限不低于法律法规或监管规则规定的最低期限。如不能妥善保管，则按相关法规承担责任。</w:t>
      </w:r>
    </w:p>
    <w:p w14:paraId="78977FE3" w14:textId="77777777" w:rsidR="005A59EB" w:rsidRDefault="00C555D5">
      <w:pPr>
        <w:adjustRightInd w:val="0"/>
        <w:snapToGrid w:val="0"/>
        <w:spacing w:line="360" w:lineRule="auto"/>
        <w:ind w:firstLineChars="200" w:firstLine="480"/>
        <w:rPr>
          <w:rFonts w:ascii="彩虹粗仿宋" w:eastAsia="彩虹粗仿宋" w:hAnsi="宋体" w:cs="Arial"/>
          <w:sz w:val="24"/>
        </w:rPr>
      </w:pPr>
      <w:r>
        <w:rPr>
          <w:rFonts w:asciiTheme="minorEastAsia" w:eastAsiaTheme="minorEastAsia" w:hAnsiTheme="minorEastAsia" w:cs="Arial" w:hint="eastAsia"/>
          <w:sz w:val="24"/>
        </w:rPr>
        <w:t>在基金托管人要求或编制中期报告和年度报告前，基金管理人应将有关资料送交基金托管人，不得无故拒绝或延误提供，并保证其的真实性、准确性和完整性。</w:t>
      </w:r>
      <w:r>
        <w:rPr>
          <w:rFonts w:asciiTheme="minorEastAsia" w:eastAsiaTheme="minorEastAsia" w:hAnsiTheme="minorEastAsia" w:hint="eastAsia"/>
          <w:kern w:val="0"/>
          <w:sz w:val="24"/>
        </w:rPr>
        <w:t>基金托管人不得将所保管的基金份额持有人名册用于基金托管业务以外的其他用途，并应遵守保密义务</w:t>
      </w:r>
      <w:r>
        <w:rPr>
          <w:rFonts w:asciiTheme="minorEastAsia" w:eastAsiaTheme="minorEastAsia" w:hAnsiTheme="minorEastAsia" w:hint="eastAsia"/>
          <w:kern w:val="0"/>
          <w:sz w:val="24"/>
        </w:rPr>
        <w:t>，除非法律、法规、规章另有规定，有权机关另有要求。</w:t>
      </w:r>
    </w:p>
    <w:p w14:paraId="67120DBD" w14:textId="77777777" w:rsidR="005A59EB" w:rsidRDefault="005A59EB">
      <w:pPr>
        <w:adjustRightInd w:val="0"/>
        <w:snapToGrid w:val="0"/>
        <w:rPr>
          <w:rFonts w:ascii="彩虹粗仿宋" w:eastAsia="彩虹粗仿宋" w:hAnsi="宋体" w:cs="Arial"/>
          <w:sz w:val="24"/>
        </w:rPr>
      </w:pPr>
    </w:p>
    <w:p w14:paraId="0E458206" w14:textId="77777777" w:rsidR="005A59EB" w:rsidRDefault="00C555D5">
      <w:bookmarkStart w:id="107" w:name="_Toc124325897"/>
      <w:r>
        <w:rPr>
          <w:rFonts w:hint="eastAsia"/>
        </w:rPr>
        <w:br w:type="page"/>
      </w:r>
    </w:p>
    <w:p w14:paraId="3AA6099E" w14:textId="77777777" w:rsidR="005A59EB" w:rsidRDefault="00C555D5">
      <w:pPr>
        <w:pStyle w:val="1"/>
        <w:spacing w:line="416" w:lineRule="auto"/>
        <w:ind w:firstLine="0"/>
      </w:pPr>
      <w:r>
        <w:rPr>
          <w:rFonts w:hint="eastAsia"/>
        </w:rPr>
        <w:lastRenderedPageBreak/>
        <w:t>十三、基金有关文件档案的保存</w:t>
      </w:r>
      <w:bookmarkEnd w:id="107"/>
    </w:p>
    <w:p w14:paraId="0ECBB2D7" w14:textId="77777777" w:rsidR="005A59EB" w:rsidRDefault="00C555D5">
      <w:pPr>
        <w:pStyle w:val="2"/>
      </w:pPr>
      <w:r>
        <w:rPr>
          <w:rFonts w:hint="eastAsia"/>
        </w:rPr>
        <w:t>（一）档案保存</w:t>
      </w:r>
    </w:p>
    <w:p w14:paraId="37989DA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或监管规则规定的最低期限。</w:t>
      </w:r>
    </w:p>
    <w:p w14:paraId="74E5B8D5" w14:textId="77777777" w:rsidR="005A59EB" w:rsidRDefault="00C555D5">
      <w:pPr>
        <w:pStyle w:val="2"/>
      </w:pPr>
      <w:r>
        <w:rPr>
          <w:rFonts w:hint="eastAsia"/>
        </w:rPr>
        <w:t>（二）合同档案的建立</w:t>
      </w:r>
    </w:p>
    <w:p w14:paraId="2BF0AC0E" w14:textId="77777777" w:rsidR="005A59EB" w:rsidRDefault="00C555D5">
      <w:pPr>
        <w:pStyle w:val="2"/>
      </w:pPr>
      <w:r>
        <w:rPr>
          <w:rFonts w:hint="eastAsia"/>
        </w:rPr>
        <w:t>1.</w:t>
      </w:r>
      <w:r>
        <w:rPr>
          <w:rFonts w:hint="eastAsia"/>
        </w:rPr>
        <w:t>基金管理人签署重大合同文本后，应及时将合同文本正本送达基金托管人处。</w:t>
      </w:r>
    </w:p>
    <w:p w14:paraId="4B05657C" w14:textId="77777777" w:rsidR="005A59EB" w:rsidRDefault="00C555D5">
      <w:pPr>
        <w:pStyle w:val="2"/>
      </w:pPr>
      <w:r>
        <w:rPr>
          <w:rFonts w:hint="eastAsia"/>
        </w:rPr>
        <w:t>2.</w:t>
      </w:r>
      <w:r>
        <w:rPr>
          <w:rFonts w:hint="eastAsia"/>
        </w:rPr>
        <w:t>基金管理人应及时将与本基金账务处理、资金划拨等有关的合同、协议传真或通过双方</w:t>
      </w:r>
      <w:r>
        <w:rPr>
          <w:rFonts w:hint="eastAsia"/>
        </w:rPr>
        <w:t>认可的其他方式发送至基金托管人。</w:t>
      </w:r>
    </w:p>
    <w:p w14:paraId="29131C11" w14:textId="77777777" w:rsidR="005A59EB" w:rsidRDefault="00C555D5">
      <w:pPr>
        <w:pStyle w:val="2"/>
      </w:pPr>
      <w:r>
        <w:rPr>
          <w:rFonts w:hint="eastAsia"/>
        </w:rPr>
        <w:t>（三）变更与协助</w:t>
      </w:r>
    </w:p>
    <w:p w14:paraId="5D287FBB" w14:textId="77777777" w:rsidR="005A59EB" w:rsidRDefault="00C555D5">
      <w:pPr>
        <w:pStyle w:val="2"/>
      </w:pPr>
      <w:r>
        <w:rPr>
          <w:rFonts w:hint="eastAsia"/>
        </w:rPr>
        <w:t>若基金管理人</w:t>
      </w:r>
      <w:r>
        <w:rPr>
          <w:rFonts w:hint="eastAsia"/>
        </w:rPr>
        <w:t>/</w:t>
      </w:r>
      <w:r>
        <w:rPr>
          <w:rFonts w:hint="eastAsia"/>
        </w:rPr>
        <w:t>基金托管人发生变更，未变更的一方有义务协助变更后的接任人接收相应文件。</w:t>
      </w:r>
    </w:p>
    <w:p w14:paraId="75B914AD" w14:textId="77777777" w:rsidR="005A59EB" w:rsidRDefault="00C555D5">
      <w:pPr>
        <w:pStyle w:val="2"/>
      </w:pPr>
      <w:r>
        <w:rPr>
          <w:rFonts w:hint="eastAsia"/>
        </w:rPr>
        <w:t>（四）基金管理人和基金托管人应按各自职责完整保存原始凭证、记账凭证、基金账册、交易记录和重要合同等，承担保密义务并保存，保存时间不低于法律法规或监管规则规定的最低期限。</w:t>
      </w:r>
    </w:p>
    <w:p w14:paraId="585B38B1" w14:textId="77777777" w:rsidR="005A59EB" w:rsidRDefault="005A59EB">
      <w:pPr>
        <w:adjustRightInd w:val="0"/>
        <w:snapToGrid w:val="0"/>
        <w:rPr>
          <w:rFonts w:ascii="彩虹粗仿宋" w:eastAsia="彩虹粗仿宋"/>
          <w:sz w:val="30"/>
          <w:szCs w:val="30"/>
        </w:rPr>
      </w:pPr>
    </w:p>
    <w:p w14:paraId="342D2618" w14:textId="77777777" w:rsidR="005A59EB" w:rsidRDefault="00C555D5">
      <w:bookmarkStart w:id="108" w:name="_Toc124325898"/>
      <w:r>
        <w:rPr>
          <w:rFonts w:hint="eastAsia"/>
        </w:rPr>
        <w:br w:type="page"/>
      </w:r>
    </w:p>
    <w:p w14:paraId="3E9AC447" w14:textId="77777777" w:rsidR="005A59EB" w:rsidRDefault="00C555D5">
      <w:pPr>
        <w:pStyle w:val="1"/>
        <w:spacing w:line="416" w:lineRule="auto"/>
        <w:ind w:firstLine="0"/>
      </w:pPr>
      <w:r>
        <w:rPr>
          <w:rFonts w:hint="eastAsia"/>
        </w:rPr>
        <w:lastRenderedPageBreak/>
        <w:t>十四、基金管理人和基金托管人的更换</w:t>
      </w:r>
      <w:bookmarkEnd w:id="108"/>
    </w:p>
    <w:p w14:paraId="16ACB76E" w14:textId="77777777" w:rsidR="005A59EB" w:rsidRDefault="00C555D5">
      <w:pPr>
        <w:pStyle w:val="2"/>
      </w:pPr>
      <w:r>
        <w:rPr>
          <w:rFonts w:hint="eastAsia"/>
        </w:rPr>
        <w:t>（一）基金管理人职责终止的情形</w:t>
      </w:r>
    </w:p>
    <w:p w14:paraId="7B05B526"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基金管理人职责终止的情形</w:t>
      </w:r>
    </w:p>
    <w:p w14:paraId="250369DE"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0F013541"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）被依法取消基金管理资格；</w:t>
      </w:r>
    </w:p>
    <w:p w14:paraId="3C64BCA8"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）被基金份额持有人大会解任；</w:t>
      </w:r>
    </w:p>
    <w:p w14:paraId="7FA63BCA"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3</w:t>
      </w:r>
      <w:r>
        <w:rPr>
          <w:rFonts w:ascii="宋体" w:hAnsi="宋体" w:cs="Arial" w:hint="eastAsia"/>
          <w:sz w:val="24"/>
        </w:rPr>
        <w:t>）依法解散、被依法撤销或被依法宣告破产；</w:t>
      </w:r>
    </w:p>
    <w:p w14:paraId="2750AE8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hint="eastAsia"/>
          <w:sz w:val="24"/>
        </w:rPr>
        <w:t>4</w:t>
      </w:r>
      <w:r>
        <w:rPr>
          <w:rFonts w:ascii="宋体" w:hAnsi="宋体" w:cs="Arial" w:hint="eastAsia"/>
          <w:sz w:val="24"/>
        </w:rPr>
        <w:t>）法律法规及中国证监会规定的和《基金合同》约定的其他情形。</w:t>
      </w:r>
    </w:p>
    <w:p w14:paraId="5D43DACA" w14:textId="77777777" w:rsidR="005A59EB" w:rsidRDefault="00C555D5">
      <w:pPr>
        <w:pStyle w:val="2"/>
      </w:pPr>
      <w:r>
        <w:rPr>
          <w:rFonts w:hint="eastAsia"/>
        </w:rPr>
        <w:t>2.</w:t>
      </w:r>
      <w:r>
        <w:rPr>
          <w:rFonts w:hint="eastAsia"/>
        </w:rPr>
        <w:t>基金管理人的更换程序</w:t>
      </w:r>
    </w:p>
    <w:p w14:paraId="0F2D5340" w14:textId="77777777" w:rsidR="005A59EB" w:rsidRDefault="00C555D5">
      <w:pPr>
        <w:pStyle w:val="2"/>
      </w:pPr>
      <w:r>
        <w:rPr>
          <w:rFonts w:hint="eastAsia"/>
        </w:rPr>
        <w:t>更换基金管理人必须依照如下程序进行：</w:t>
      </w:r>
    </w:p>
    <w:p w14:paraId="58DF65E3" w14:textId="77777777" w:rsidR="005A59EB" w:rsidRDefault="00C555D5">
      <w:pPr>
        <w:pStyle w:val="2"/>
      </w:pPr>
      <w:r>
        <w:rPr>
          <w:rFonts w:hint="eastAsia"/>
        </w:rPr>
        <w:t>（</w:t>
      </w:r>
      <w:r>
        <w:rPr>
          <w:rFonts w:hint="eastAsia"/>
        </w:rPr>
        <w:t>1</w:t>
      </w:r>
      <w:r>
        <w:rPr>
          <w:rFonts w:hint="eastAsia"/>
        </w:rPr>
        <w:t>）提名：新任基金管理人由基金托管人或由单独或合计持有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14:paraId="0D5492AE" w14:textId="77777777" w:rsidR="005A59EB" w:rsidRDefault="00C555D5">
      <w:pPr>
        <w:pStyle w:val="2"/>
      </w:pPr>
      <w:r>
        <w:rPr>
          <w:rFonts w:hint="eastAsia"/>
        </w:rPr>
        <w:t>（</w:t>
      </w: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表决通过，决议自表决通过之日起生</w:t>
      </w:r>
      <w:r>
        <w:rPr>
          <w:rFonts w:hint="eastAsia"/>
        </w:rPr>
        <w:t>效，新任基金管理人应当符合法律法规及中国证监会规定的资格条件；</w:t>
      </w:r>
    </w:p>
    <w:p w14:paraId="008BCF31" w14:textId="77777777" w:rsidR="005A59EB" w:rsidRDefault="00C555D5">
      <w:pPr>
        <w:pStyle w:val="2"/>
      </w:pPr>
      <w:r>
        <w:rPr>
          <w:rFonts w:hint="eastAsia"/>
        </w:rPr>
        <w:t>（</w:t>
      </w:r>
      <w:r>
        <w:rPr>
          <w:rFonts w:hint="eastAsia"/>
        </w:rPr>
        <w:t>3</w:t>
      </w:r>
      <w:r>
        <w:rPr>
          <w:rFonts w:hint="eastAsia"/>
        </w:rPr>
        <w:t>）临时基金管理人：新任基金管理人产生之前，由中国证监会指定临时基金管理人；</w:t>
      </w:r>
    </w:p>
    <w:p w14:paraId="0E984433" w14:textId="77777777" w:rsidR="005A59EB" w:rsidRDefault="00C555D5">
      <w:pPr>
        <w:pStyle w:val="2"/>
      </w:pPr>
      <w:r>
        <w:rPr>
          <w:rFonts w:hint="eastAsia"/>
        </w:rPr>
        <w:t>（</w:t>
      </w:r>
      <w:r>
        <w:rPr>
          <w:rFonts w:hint="eastAsia"/>
        </w:rPr>
        <w:t>4</w:t>
      </w:r>
      <w:r>
        <w:rPr>
          <w:rFonts w:hint="eastAsia"/>
        </w:rPr>
        <w:t>）备案：基金份额持有人大会更换基金管理人的决议须报中国证监会备案；</w:t>
      </w:r>
    </w:p>
    <w:p w14:paraId="027D1141" w14:textId="77777777" w:rsidR="005A59EB" w:rsidRDefault="00C555D5">
      <w:pPr>
        <w:pStyle w:val="2"/>
      </w:pPr>
      <w:r>
        <w:rPr>
          <w:rFonts w:hint="eastAsia"/>
        </w:rPr>
        <w:t>（</w:t>
      </w:r>
      <w:r>
        <w:rPr>
          <w:rFonts w:hint="eastAsia"/>
        </w:rPr>
        <w:t>5</w:t>
      </w:r>
      <w:r>
        <w:rPr>
          <w:rFonts w:hint="eastAsia"/>
        </w:rPr>
        <w:t>）公告：基金管理人更换后，由基金托管人在更换基金管理人的基金份额持有人大会决议生效后</w:t>
      </w:r>
      <w:r>
        <w:rPr>
          <w:rFonts w:hint="eastAsia"/>
        </w:rPr>
        <w:t>2</w:t>
      </w:r>
      <w:r>
        <w:rPr>
          <w:rFonts w:hint="eastAsia"/>
        </w:rPr>
        <w:t>日内在规定媒介公告；</w:t>
      </w:r>
    </w:p>
    <w:p w14:paraId="130B967D" w14:textId="77777777" w:rsidR="005A59EB" w:rsidRDefault="00C555D5">
      <w:pPr>
        <w:pStyle w:val="2"/>
      </w:pPr>
      <w:r>
        <w:rPr>
          <w:rFonts w:hint="eastAsia"/>
        </w:rPr>
        <w:t>（</w:t>
      </w:r>
      <w:r>
        <w:rPr>
          <w:rFonts w:hint="eastAsia"/>
        </w:rPr>
        <w:t>6</w:t>
      </w:r>
      <w:r>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w:t>
      </w:r>
      <w:r>
        <w:rPr>
          <w:rFonts w:hint="eastAsia"/>
        </w:rPr>
        <w:t>金管理人或临时基金管理人应与基金托管人核对基金资产总值与净值；</w:t>
      </w:r>
    </w:p>
    <w:p w14:paraId="3E98E728" w14:textId="77777777" w:rsidR="005A59EB" w:rsidRDefault="00C555D5">
      <w:pPr>
        <w:pStyle w:val="2"/>
      </w:pPr>
      <w:r>
        <w:rPr>
          <w:rFonts w:hint="eastAsia"/>
        </w:rPr>
        <w:t>（</w:t>
      </w:r>
      <w:r>
        <w:rPr>
          <w:rFonts w:hint="eastAsia"/>
        </w:rPr>
        <w:t>7</w:t>
      </w:r>
      <w:r>
        <w:rPr>
          <w:rFonts w:hint="eastAsia"/>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0AE8C309" w14:textId="77777777" w:rsidR="005A59EB" w:rsidRDefault="00C555D5">
      <w:pPr>
        <w:pStyle w:val="2"/>
      </w:pPr>
      <w:r>
        <w:rPr>
          <w:rFonts w:hint="eastAsia"/>
        </w:rPr>
        <w:t>（</w:t>
      </w:r>
      <w:r>
        <w:rPr>
          <w:rFonts w:hint="eastAsia"/>
        </w:rPr>
        <w:t>8</w:t>
      </w:r>
      <w:r>
        <w:rPr>
          <w:rFonts w:hint="eastAsia"/>
        </w:rPr>
        <w:t>）基金名称变更：基金管理人更换后，如果原任或新任基金管理人要求，</w:t>
      </w:r>
      <w:r>
        <w:rPr>
          <w:rFonts w:hint="eastAsia"/>
        </w:rPr>
        <w:lastRenderedPageBreak/>
        <w:t>应按其要求替换或删除基金名称中与原基金管理人有关的名称字样。</w:t>
      </w:r>
    </w:p>
    <w:p w14:paraId="1E8EF5CE" w14:textId="77777777" w:rsidR="005A59EB" w:rsidRDefault="00C555D5">
      <w:pPr>
        <w:pStyle w:val="2"/>
      </w:pPr>
      <w:r>
        <w:rPr>
          <w:rFonts w:hint="eastAsia"/>
        </w:rPr>
        <w:t>（二）基金托管人职责终止的情形</w:t>
      </w:r>
    </w:p>
    <w:p w14:paraId="6D78A8E3" w14:textId="77777777" w:rsidR="005A59EB" w:rsidRDefault="00C555D5">
      <w:pPr>
        <w:pStyle w:val="2"/>
      </w:pPr>
      <w:r>
        <w:rPr>
          <w:rFonts w:hint="eastAsia"/>
        </w:rPr>
        <w:t>1.</w:t>
      </w:r>
      <w:r>
        <w:rPr>
          <w:rFonts w:hint="eastAsia"/>
        </w:rPr>
        <w:t>基金托管人职责终止的情形</w:t>
      </w:r>
    </w:p>
    <w:p w14:paraId="48F4107D" w14:textId="77777777" w:rsidR="005A59EB" w:rsidRDefault="00C555D5">
      <w:pPr>
        <w:pStyle w:val="2"/>
      </w:pPr>
      <w:r>
        <w:rPr>
          <w:rFonts w:hint="eastAsia"/>
        </w:rPr>
        <w:t>有下列情形之一的，基金托管人职责终止：</w:t>
      </w:r>
    </w:p>
    <w:p w14:paraId="56296759" w14:textId="77777777" w:rsidR="005A59EB" w:rsidRDefault="00C555D5">
      <w:pPr>
        <w:pStyle w:val="2"/>
      </w:pPr>
      <w:r>
        <w:rPr>
          <w:rFonts w:hint="eastAsia"/>
        </w:rPr>
        <w:t>（</w:t>
      </w:r>
      <w:r>
        <w:rPr>
          <w:rFonts w:hint="eastAsia"/>
        </w:rPr>
        <w:t>1</w:t>
      </w:r>
      <w:r>
        <w:rPr>
          <w:rFonts w:hint="eastAsia"/>
        </w:rPr>
        <w:t>）被依法取消基金托管资格；</w:t>
      </w:r>
    </w:p>
    <w:p w14:paraId="0D6E964E" w14:textId="77777777" w:rsidR="005A59EB" w:rsidRDefault="00C555D5">
      <w:pPr>
        <w:pStyle w:val="2"/>
      </w:pPr>
      <w:r>
        <w:rPr>
          <w:rFonts w:hint="eastAsia"/>
        </w:rPr>
        <w:t>（</w:t>
      </w:r>
      <w:r>
        <w:rPr>
          <w:rFonts w:hint="eastAsia"/>
        </w:rPr>
        <w:t>2</w:t>
      </w:r>
      <w:r>
        <w:rPr>
          <w:rFonts w:hint="eastAsia"/>
        </w:rPr>
        <w:t>）被基金份额持有人大会解任；</w:t>
      </w:r>
    </w:p>
    <w:p w14:paraId="6688E10F" w14:textId="77777777" w:rsidR="005A59EB" w:rsidRDefault="00C555D5">
      <w:pPr>
        <w:pStyle w:val="2"/>
      </w:pPr>
      <w:r>
        <w:rPr>
          <w:rFonts w:hint="eastAsia"/>
        </w:rPr>
        <w:t>（</w:t>
      </w:r>
      <w:r>
        <w:rPr>
          <w:rFonts w:hint="eastAsia"/>
        </w:rPr>
        <w:t>3</w:t>
      </w:r>
      <w:r>
        <w:rPr>
          <w:rFonts w:hint="eastAsia"/>
        </w:rPr>
        <w:t>）依法解散、被依法撤销或被依法宣告破产；</w:t>
      </w:r>
    </w:p>
    <w:p w14:paraId="2C2EFB87" w14:textId="77777777" w:rsidR="005A59EB" w:rsidRDefault="00C555D5">
      <w:pPr>
        <w:pStyle w:val="2"/>
      </w:pPr>
      <w:r>
        <w:rPr>
          <w:rFonts w:hint="eastAsia"/>
        </w:rPr>
        <w:t>（</w:t>
      </w:r>
      <w:r>
        <w:rPr>
          <w:rFonts w:hint="eastAsia"/>
        </w:rPr>
        <w:t>4</w:t>
      </w:r>
      <w:r>
        <w:rPr>
          <w:rFonts w:hint="eastAsia"/>
        </w:rPr>
        <w:t>）法律法规及中国证监会规定的和《基金合同》约定的其他情形。</w:t>
      </w:r>
    </w:p>
    <w:p w14:paraId="21744648" w14:textId="77777777" w:rsidR="005A59EB" w:rsidRDefault="00C555D5">
      <w:pPr>
        <w:pStyle w:val="2"/>
      </w:pPr>
      <w:r>
        <w:rPr>
          <w:rFonts w:hint="eastAsia"/>
        </w:rPr>
        <w:t>2.</w:t>
      </w:r>
      <w:r>
        <w:rPr>
          <w:rFonts w:hint="eastAsia"/>
        </w:rPr>
        <w:t>基金托管人的更换程序</w:t>
      </w:r>
    </w:p>
    <w:p w14:paraId="04B902A4" w14:textId="77777777" w:rsidR="005A59EB" w:rsidRDefault="00C555D5">
      <w:pPr>
        <w:pStyle w:val="2"/>
      </w:pPr>
      <w:r>
        <w:rPr>
          <w:rFonts w:hint="eastAsia"/>
        </w:rPr>
        <w:t>（</w:t>
      </w:r>
      <w:r>
        <w:rPr>
          <w:rFonts w:hint="eastAsia"/>
        </w:rPr>
        <w:t>1</w:t>
      </w:r>
      <w:r>
        <w:rPr>
          <w:rFonts w:hint="eastAsia"/>
        </w:rPr>
        <w:t>）提名：新任基金托管人由基金管理人或由单独或合计持有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14:paraId="48A6EFD2" w14:textId="77777777" w:rsidR="005A59EB" w:rsidRDefault="00C555D5">
      <w:pPr>
        <w:pStyle w:val="2"/>
      </w:pPr>
      <w:r>
        <w:rPr>
          <w:rFonts w:hint="eastAsia"/>
        </w:rPr>
        <w:t>（</w:t>
      </w: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表决通过，决议自表决通过之日起生效，新任基金托管人应当符合法律法规及中国证监会规定的资格条件；</w:t>
      </w:r>
    </w:p>
    <w:p w14:paraId="474B2581" w14:textId="77777777" w:rsidR="005A59EB" w:rsidRDefault="00C555D5">
      <w:pPr>
        <w:pStyle w:val="2"/>
      </w:pPr>
      <w:r>
        <w:rPr>
          <w:rFonts w:hint="eastAsia"/>
        </w:rPr>
        <w:t>（</w:t>
      </w:r>
      <w:r>
        <w:rPr>
          <w:rFonts w:hint="eastAsia"/>
        </w:rPr>
        <w:t>3</w:t>
      </w:r>
      <w:r>
        <w:rPr>
          <w:rFonts w:hint="eastAsia"/>
        </w:rPr>
        <w:t>）临时基金托管人：新任基金托管人产生之前，由中国证监会指定临时基金托管人；</w:t>
      </w:r>
    </w:p>
    <w:p w14:paraId="28EA9404" w14:textId="77777777" w:rsidR="005A59EB" w:rsidRDefault="00C555D5">
      <w:pPr>
        <w:pStyle w:val="2"/>
      </w:pPr>
      <w:r>
        <w:rPr>
          <w:rFonts w:hint="eastAsia"/>
        </w:rPr>
        <w:t>（</w:t>
      </w:r>
      <w:r>
        <w:rPr>
          <w:rFonts w:hint="eastAsia"/>
        </w:rPr>
        <w:t>4</w:t>
      </w:r>
      <w:r>
        <w:rPr>
          <w:rFonts w:hint="eastAsia"/>
        </w:rPr>
        <w:t>）备案：基金份额持有人大会更换基金托管人的决议须报中国证监会备案；</w:t>
      </w:r>
    </w:p>
    <w:p w14:paraId="4A3D223D" w14:textId="77777777" w:rsidR="005A59EB" w:rsidRDefault="00C555D5">
      <w:pPr>
        <w:pStyle w:val="2"/>
      </w:pPr>
      <w:r>
        <w:rPr>
          <w:rFonts w:hint="eastAsia"/>
        </w:rPr>
        <w:t>（</w:t>
      </w:r>
      <w:r>
        <w:rPr>
          <w:rFonts w:hint="eastAsia"/>
        </w:rPr>
        <w:t>5</w:t>
      </w:r>
      <w:r>
        <w:rPr>
          <w:rFonts w:hint="eastAsia"/>
        </w:rPr>
        <w:t>）公告：基金托管人更换后，由基金管理人在更换基金托管人的基金份额持有人大会决议生效后</w:t>
      </w:r>
      <w:r>
        <w:rPr>
          <w:rFonts w:hint="eastAsia"/>
        </w:rPr>
        <w:t>2</w:t>
      </w:r>
      <w:r>
        <w:rPr>
          <w:rFonts w:hint="eastAsia"/>
        </w:rPr>
        <w:t>日内在规定媒</w:t>
      </w:r>
      <w:r>
        <w:rPr>
          <w:rFonts w:hint="eastAsia"/>
        </w:rPr>
        <w:t>介公告；</w:t>
      </w:r>
    </w:p>
    <w:p w14:paraId="26574E43" w14:textId="77777777" w:rsidR="005A59EB" w:rsidRDefault="00C555D5">
      <w:pPr>
        <w:pStyle w:val="2"/>
      </w:pPr>
      <w:r>
        <w:rPr>
          <w:rFonts w:hint="eastAsia"/>
        </w:rPr>
        <w:t>（</w:t>
      </w:r>
      <w:r>
        <w:rPr>
          <w:rFonts w:hint="eastAsia"/>
        </w:rPr>
        <w:t>6</w:t>
      </w:r>
      <w:r>
        <w:rPr>
          <w:rFonts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与净值；</w:t>
      </w:r>
    </w:p>
    <w:p w14:paraId="7E621A7B" w14:textId="77777777" w:rsidR="005A59EB" w:rsidRDefault="00C555D5">
      <w:pPr>
        <w:pStyle w:val="2"/>
      </w:pPr>
      <w:r>
        <w:rPr>
          <w:rFonts w:hint="eastAsia"/>
        </w:rPr>
        <w:t>（</w:t>
      </w:r>
      <w:r>
        <w:rPr>
          <w:rFonts w:hint="eastAsia"/>
        </w:rPr>
        <w:t>7</w:t>
      </w:r>
      <w:r>
        <w:rPr>
          <w:rFonts w:hint="eastAsia"/>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149EDF17" w14:textId="77777777" w:rsidR="005A59EB" w:rsidRDefault="00C555D5">
      <w:pPr>
        <w:pStyle w:val="2"/>
      </w:pPr>
      <w:r>
        <w:rPr>
          <w:rFonts w:hint="eastAsia"/>
        </w:rPr>
        <w:t>（三）基金管理人与基金托管人同时更换的条件和程序</w:t>
      </w:r>
    </w:p>
    <w:p w14:paraId="2DE13951" w14:textId="77777777" w:rsidR="005A59EB" w:rsidRDefault="00C555D5">
      <w:pPr>
        <w:pStyle w:val="2"/>
      </w:pPr>
      <w:r>
        <w:rPr>
          <w:rFonts w:hint="eastAsia"/>
        </w:rPr>
        <w:t>（</w:t>
      </w:r>
      <w:r>
        <w:rPr>
          <w:rFonts w:hint="eastAsia"/>
        </w:rPr>
        <w:t>1</w:t>
      </w:r>
      <w:r>
        <w:rPr>
          <w:rFonts w:hint="eastAsia"/>
        </w:rPr>
        <w:t>）提名：如果基金管理</w:t>
      </w:r>
      <w:r>
        <w:rPr>
          <w:rFonts w:hint="eastAsia"/>
        </w:rPr>
        <w:t>人和基金托管人同时更换，由单独或合计持有基金总份额</w:t>
      </w:r>
      <w:r>
        <w:rPr>
          <w:rFonts w:hint="eastAsia"/>
        </w:rPr>
        <w:t>10%</w:t>
      </w:r>
      <w:r>
        <w:rPr>
          <w:rFonts w:hint="eastAsia"/>
        </w:rPr>
        <w:t>以上</w:t>
      </w:r>
      <w:r>
        <w:rPr>
          <w:rFonts w:hint="eastAsia"/>
        </w:rPr>
        <w:t>(</w:t>
      </w:r>
      <w:r>
        <w:rPr>
          <w:rFonts w:hint="eastAsia"/>
        </w:rPr>
        <w:t>含</w:t>
      </w:r>
      <w:r>
        <w:rPr>
          <w:rFonts w:hint="eastAsia"/>
        </w:rPr>
        <w:t>10%)</w:t>
      </w:r>
      <w:r>
        <w:rPr>
          <w:rFonts w:hint="eastAsia"/>
        </w:rPr>
        <w:t>的基金份额持有人提名新的基金管理人和基金托管人；</w:t>
      </w:r>
    </w:p>
    <w:p w14:paraId="3460A89A" w14:textId="77777777" w:rsidR="005A59EB" w:rsidRDefault="00C555D5">
      <w:pPr>
        <w:pStyle w:val="2"/>
      </w:pPr>
      <w:r>
        <w:rPr>
          <w:rFonts w:hint="eastAsia"/>
        </w:rPr>
        <w:lastRenderedPageBreak/>
        <w:t>（</w:t>
      </w:r>
      <w:r>
        <w:rPr>
          <w:rFonts w:hint="eastAsia"/>
        </w:rPr>
        <w:t>2</w:t>
      </w:r>
      <w:r>
        <w:rPr>
          <w:rFonts w:hint="eastAsia"/>
        </w:rPr>
        <w:t>）基金管理人和基金托管人的更换分别按上述程序进行；</w:t>
      </w:r>
    </w:p>
    <w:p w14:paraId="7B30DD0E" w14:textId="77777777" w:rsidR="005A59EB" w:rsidRDefault="00C555D5">
      <w:pPr>
        <w:pStyle w:val="2"/>
      </w:pPr>
      <w:r>
        <w:rPr>
          <w:rFonts w:hint="eastAsia"/>
        </w:rPr>
        <w:t>（</w:t>
      </w:r>
      <w:r>
        <w:rPr>
          <w:rFonts w:hint="eastAsia"/>
        </w:rPr>
        <w:t>3</w:t>
      </w:r>
      <w:r>
        <w:rPr>
          <w:rFonts w:hint="eastAsia"/>
        </w:rPr>
        <w:t>）公告：新任基金管理人和新任基金托管人应在更换基金管理人和基金托管人的基金份额持有人大会决议生效后</w:t>
      </w:r>
      <w:r>
        <w:rPr>
          <w:rFonts w:hint="eastAsia"/>
        </w:rPr>
        <w:t>2</w:t>
      </w:r>
      <w:r>
        <w:rPr>
          <w:rFonts w:hint="eastAsia"/>
        </w:rPr>
        <w:t>日内在规定媒介上联合公告。</w:t>
      </w:r>
    </w:p>
    <w:p w14:paraId="1C9D5C5F" w14:textId="77777777" w:rsidR="005A59EB" w:rsidRDefault="00C555D5">
      <w:pPr>
        <w:pStyle w:val="2"/>
      </w:pPr>
      <w:r>
        <w:rPr>
          <w:rFonts w:hint="eastAsia"/>
        </w:rPr>
        <w:t>（四）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w:t>
      </w:r>
      <w:r>
        <w:rPr>
          <w:rFonts w:hint="eastAsia"/>
        </w:rPr>
        <w:t>出对基金份额持有人的利益造成损害的行为。原任基金管理人或原任基金托管人在继续履行相关职责期间，仍有权按照基金合同的规定收取基金管理费或基金托管费。</w:t>
      </w:r>
    </w:p>
    <w:p w14:paraId="5BED6CC5" w14:textId="77777777" w:rsidR="005A59EB" w:rsidRDefault="00C555D5">
      <w:pPr>
        <w:pStyle w:val="2"/>
        <w:rPr>
          <w:rFonts w:ascii="宋体" w:hAnsi="宋体"/>
        </w:rPr>
      </w:pPr>
      <w:r>
        <w:rPr>
          <w:rFonts w:hint="eastAsia"/>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E72AD9D" w14:textId="77777777" w:rsidR="005A59EB" w:rsidRDefault="005A59EB">
      <w:pPr>
        <w:adjustRightInd w:val="0"/>
        <w:snapToGrid w:val="0"/>
        <w:rPr>
          <w:rFonts w:ascii="彩虹粗仿宋" w:eastAsia="彩虹粗仿宋" w:hAnsi="宋体" w:cs="Arial"/>
          <w:sz w:val="24"/>
        </w:rPr>
      </w:pPr>
    </w:p>
    <w:p w14:paraId="69613D73" w14:textId="77777777" w:rsidR="005A59EB" w:rsidRDefault="00C555D5">
      <w:bookmarkStart w:id="109" w:name="_Toc124325899"/>
      <w:r>
        <w:rPr>
          <w:rFonts w:hint="eastAsia"/>
        </w:rPr>
        <w:br w:type="page"/>
      </w:r>
    </w:p>
    <w:p w14:paraId="507B3707" w14:textId="77777777" w:rsidR="005A59EB" w:rsidRDefault="00C555D5">
      <w:pPr>
        <w:pStyle w:val="1"/>
        <w:spacing w:line="416" w:lineRule="auto"/>
        <w:ind w:firstLine="0"/>
      </w:pPr>
      <w:r>
        <w:rPr>
          <w:rFonts w:hint="eastAsia"/>
        </w:rPr>
        <w:lastRenderedPageBreak/>
        <w:t>十五、禁止行为</w:t>
      </w:r>
      <w:bookmarkEnd w:id="109"/>
    </w:p>
    <w:p w14:paraId="21FADCF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本协议当事人禁止从事的行为，包括但不限于：</w:t>
      </w:r>
    </w:p>
    <w:p w14:paraId="2FFBA5E8" w14:textId="77777777" w:rsidR="005A59EB" w:rsidRDefault="00C555D5">
      <w:pPr>
        <w:pStyle w:val="2"/>
      </w:pPr>
      <w:r>
        <w:rPr>
          <w:rFonts w:hint="eastAsia"/>
        </w:rPr>
        <w:t>（一）基金管理人、基金托管人将其固</w:t>
      </w:r>
      <w:r>
        <w:rPr>
          <w:rFonts w:hint="eastAsia"/>
        </w:rPr>
        <w:t>有财产或者他人财产混同于基金财产从事证券投资。</w:t>
      </w:r>
    </w:p>
    <w:p w14:paraId="64187545" w14:textId="77777777" w:rsidR="005A59EB" w:rsidRDefault="00C555D5">
      <w:pPr>
        <w:pStyle w:val="2"/>
      </w:pPr>
      <w:r>
        <w:rPr>
          <w:rFonts w:hint="eastAsia"/>
        </w:rPr>
        <w:t>（二）基金管理人不公平地对待其管理的不同基金财产，基金托管人不公平地对待其托管的不同基金财产。</w:t>
      </w:r>
    </w:p>
    <w:p w14:paraId="1957B68E" w14:textId="77777777" w:rsidR="005A59EB" w:rsidRDefault="00C555D5">
      <w:pPr>
        <w:pStyle w:val="2"/>
      </w:pPr>
      <w:r>
        <w:rPr>
          <w:rFonts w:hint="eastAsia"/>
        </w:rPr>
        <w:t>（三）基金管理人、基金托管人利用基金财产或职务之便为基金份额持有人以外的第三人牟取利益。</w:t>
      </w:r>
    </w:p>
    <w:p w14:paraId="55031AEF" w14:textId="77777777" w:rsidR="005A59EB" w:rsidRDefault="00C555D5">
      <w:pPr>
        <w:pStyle w:val="2"/>
      </w:pPr>
      <w:r>
        <w:rPr>
          <w:rFonts w:hint="eastAsia"/>
        </w:rPr>
        <w:t>（四）基金管理人、基金托管人向基金份额持有人违规承诺收益或者承担损失。</w:t>
      </w:r>
    </w:p>
    <w:p w14:paraId="732D2940" w14:textId="77777777" w:rsidR="005A59EB" w:rsidRDefault="00C555D5">
      <w:pPr>
        <w:pStyle w:val="2"/>
      </w:pPr>
      <w:r>
        <w:rPr>
          <w:rFonts w:hint="eastAsia"/>
        </w:rPr>
        <w:t>（五）基金管理人、基金托管人对他人泄露基金运作和管理过程中任何尚未按法律法规规定的方式公开披露的信息。</w:t>
      </w:r>
    </w:p>
    <w:p w14:paraId="269461B4" w14:textId="77777777" w:rsidR="005A59EB" w:rsidRDefault="00C555D5">
      <w:pPr>
        <w:pStyle w:val="2"/>
      </w:pPr>
      <w:r>
        <w:rPr>
          <w:rFonts w:hint="eastAsia"/>
        </w:rPr>
        <w:t>（六）基金管理人在没有充足资金的情况下向基金托管人发出投资指令和赎回、分红资金的划拨指令，或违规向基金</w:t>
      </w:r>
      <w:r>
        <w:rPr>
          <w:rFonts w:hint="eastAsia"/>
        </w:rPr>
        <w:t>托管人发出指令。</w:t>
      </w:r>
    </w:p>
    <w:p w14:paraId="25750E22" w14:textId="77777777" w:rsidR="005A59EB" w:rsidRDefault="00C555D5">
      <w:pPr>
        <w:pStyle w:val="2"/>
        <w:rPr>
          <w:shd w:val="pct10" w:color="auto" w:fill="FFFFFF"/>
        </w:rPr>
      </w:pPr>
      <w:r>
        <w:rPr>
          <w:rFonts w:hint="eastAsia"/>
        </w:rPr>
        <w:t>（七）基金管理人、基金托管人在行政上、财务上不独立，其高级管理人员和其他从业人员相互兼职。</w:t>
      </w:r>
    </w:p>
    <w:p w14:paraId="16ABFCBB" w14:textId="77777777" w:rsidR="005A59EB" w:rsidRDefault="00C555D5">
      <w:pPr>
        <w:pStyle w:val="2"/>
      </w:pPr>
      <w:r>
        <w:rPr>
          <w:rFonts w:hint="eastAsia"/>
        </w:rPr>
        <w:t>（八）基金托管人私自动用或处分基金财产，根据基金管理人的合法指令、《基金合同》或托管协议的规定进行处分的除外。</w:t>
      </w:r>
    </w:p>
    <w:p w14:paraId="5F0B4542" w14:textId="77777777" w:rsidR="005A59EB" w:rsidRDefault="00C555D5">
      <w:pPr>
        <w:pStyle w:val="2"/>
      </w:pPr>
      <w:r>
        <w:rPr>
          <w:rFonts w:hint="eastAsia"/>
        </w:rPr>
        <w:t>（九）基金财产用于下列投资或者活动：</w:t>
      </w:r>
      <w:r>
        <w:rPr>
          <w:rFonts w:hint="eastAsia"/>
        </w:rPr>
        <w:t>1.</w:t>
      </w:r>
      <w:r>
        <w:rPr>
          <w:rFonts w:hint="eastAsia"/>
        </w:rPr>
        <w:t>承销证券；</w:t>
      </w:r>
      <w:r>
        <w:rPr>
          <w:rFonts w:hint="eastAsia"/>
        </w:rPr>
        <w:t>2.</w:t>
      </w:r>
      <w:r>
        <w:rPr>
          <w:rFonts w:hint="eastAsia"/>
        </w:rPr>
        <w:t>违反规定向他人贷款或者提供担保；</w:t>
      </w:r>
      <w:r>
        <w:rPr>
          <w:rFonts w:hint="eastAsia"/>
        </w:rPr>
        <w:t>3.</w:t>
      </w:r>
      <w:r>
        <w:rPr>
          <w:rFonts w:hint="eastAsia"/>
        </w:rPr>
        <w:t>从事承担无限责任的投资；</w:t>
      </w:r>
      <w:r>
        <w:rPr>
          <w:rFonts w:hint="eastAsia"/>
        </w:rPr>
        <w:t>4.</w:t>
      </w:r>
      <w:r>
        <w:rPr>
          <w:rFonts w:hint="eastAsia"/>
          <w:bCs/>
        </w:rPr>
        <w:t>投资基金中基金、可投资其他基金的非基金中基金和本基金基金经理管理的其他基金，但是中国证监会另有规定的除外；持有具有复杂、衍生品性质的基金份额，包括分级基金和中国证监会认定的其他基金份额</w:t>
      </w:r>
      <w:r>
        <w:rPr>
          <w:bCs/>
        </w:rPr>
        <w:t>；</w:t>
      </w:r>
      <w:r>
        <w:rPr>
          <w:rFonts w:hint="eastAsia"/>
          <w:bCs/>
        </w:rPr>
        <w:t>5</w:t>
      </w:r>
      <w:r>
        <w:rPr>
          <w:rFonts w:hint="eastAsia"/>
        </w:rPr>
        <w:t>.</w:t>
      </w:r>
      <w:r>
        <w:rPr>
          <w:rFonts w:hint="eastAsia"/>
        </w:rPr>
        <w:t>向其基金管理人、基金托管人出资；</w:t>
      </w:r>
      <w:r>
        <w:rPr>
          <w:rFonts w:hint="eastAsia"/>
        </w:rPr>
        <w:t>6.</w:t>
      </w:r>
      <w:r>
        <w:rPr>
          <w:rFonts w:hint="eastAsia"/>
        </w:rPr>
        <w:t>从事内幕交易、操纵证券交易价格及其他不正当的证券交易活动；</w:t>
      </w:r>
      <w:r>
        <w:rPr>
          <w:rFonts w:hint="eastAsia"/>
        </w:rPr>
        <w:t>7.</w:t>
      </w:r>
      <w:r>
        <w:rPr>
          <w:rFonts w:hint="eastAsia"/>
        </w:rPr>
        <w:t>法律、行政法规和中国证监会规定禁止的其他活动。</w:t>
      </w:r>
    </w:p>
    <w:p w14:paraId="41B6BD89" w14:textId="77777777" w:rsidR="005A59EB" w:rsidRDefault="00C555D5">
      <w:pPr>
        <w:pStyle w:val="2"/>
      </w:pPr>
      <w:r>
        <w:rPr>
          <w:rFonts w:hint="eastAsia"/>
        </w:rPr>
        <w:t>（十）基金管理人、基金托管人以对方名义违规宣传。</w:t>
      </w:r>
    </w:p>
    <w:p w14:paraId="6DD389AE" w14:textId="77777777" w:rsidR="005A59EB" w:rsidRDefault="00C555D5">
      <w:pPr>
        <w:pStyle w:val="2"/>
      </w:pPr>
      <w:r>
        <w:rPr>
          <w:rFonts w:hint="eastAsia"/>
        </w:rPr>
        <w:t>（十一）法律法规和《基金合同》禁止的其他行为，以及依照法律、行政法规有关规定，由中国证监会规定禁止基金管理人、基金托管人从事的其他行为。</w:t>
      </w:r>
    </w:p>
    <w:p w14:paraId="61B59F30" w14:textId="77777777" w:rsidR="005A59EB" w:rsidRDefault="00C555D5">
      <w:pPr>
        <w:adjustRightInd w:val="0"/>
        <w:snapToGrid w:val="0"/>
        <w:spacing w:line="360" w:lineRule="auto"/>
        <w:ind w:firstLineChars="200" w:firstLine="480"/>
        <w:rPr>
          <w:rFonts w:ascii="彩虹粗仿宋" w:eastAsia="彩虹粗仿宋"/>
          <w:sz w:val="30"/>
          <w:szCs w:val="30"/>
        </w:rPr>
      </w:pPr>
      <w:r>
        <w:rPr>
          <w:rFonts w:asciiTheme="minorEastAsia" w:eastAsiaTheme="minorEastAsia" w:hAnsiTheme="minorEastAsia" w:cs="Arial" w:hint="eastAsia"/>
          <w:sz w:val="24"/>
        </w:rPr>
        <w:t>法律、行政法规或监管部门取消</w:t>
      </w:r>
      <w:r>
        <w:rPr>
          <w:rFonts w:hint="eastAsia"/>
          <w:bCs/>
          <w:sz w:val="24"/>
        </w:rPr>
        <w:t>或调整上述禁止性规定的</w:t>
      </w:r>
      <w:r>
        <w:rPr>
          <w:rFonts w:asciiTheme="minorEastAsia" w:eastAsiaTheme="minorEastAsia" w:hAnsiTheme="minorEastAsia" w:cs="Arial" w:hint="eastAsia"/>
          <w:sz w:val="24"/>
        </w:rPr>
        <w:t>，如适用于本基金，</w:t>
      </w:r>
      <w:r>
        <w:rPr>
          <w:rFonts w:hint="eastAsia"/>
          <w:bCs/>
          <w:sz w:val="24"/>
        </w:rPr>
        <w:t>基金管理人在履行适当程序后，</w:t>
      </w:r>
      <w:r>
        <w:rPr>
          <w:rFonts w:asciiTheme="minorEastAsia" w:eastAsiaTheme="minorEastAsia" w:hAnsiTheme="minorEastAsia" w:cs="Arial" w:hint="eastAsia"/>
          <w:sz w:val="24"/>
        </w:rPr>
        <w:t>则本基金投资不再受相关限制</w:t>
      </w:r>
      <w:r>
        <w:rPr>
          <w:rFonts w:hint="eastAsia"/>
          <w:bCs/>
          <w:sz w:val="24"/>
        </w:rPr>
        <w:t>或按调整后的规定</w:t>
      </w:r>
      <w:r>
        <w:rPr>
          <w:rFonts w:hint="eastAsia"/>
          <w:bCs/>
          <w:sz w:val="24"/>
        </w:rPr>
        <w:lastRenderedPageBreak/>
        <w:t>执行</w:t>
      </w:r>
      <w:r>
        <w:rPr>
          <w:rFonts w:asciiTheme="minorEastAsia" w:eastAsiaTheme="minorEastAsia" w:hAnsiTheme="minorEastAsia" w:cs="Arial" w:hint="eastAsia"/>
          <w:sz w:val="24"/>
        </w:rPr>
        <w:t>。</w:t>
      </w:r>
    </w:p>
    <w:p w14:paraId="58C50034" w14:textId="77777777" w:rsidR="005A59EB" w:rsidRDefault="00C555D5">
      <w:bookmarkStart w:id="110" w:name="_Toc124325900"/>
      <w:r>
        <w:rPr>
          <w:rFonts w:hint="eastAsia"/>
        </w:rPr>
        <w:br w:type="page"/>
      </w:r>
    </w:p>
    <w:p w14:paraId="0FA8EC2D" w14:textId="77777777" w:rsidR="005A59EB" w:rsidRDefault="00C555D5">
      <w:pPr>
        <w:pStyle w:val="1"/>
        <w:spacing w:line="416" w:lineRule="auto"/>
        <w:ind w:firstLine="0"/>
      </w:pPr>
      <w:r>
        <w:rPr>
          <w:rFonts w:hint="eastAsia"/>
        </w:rPr>
        <w:lastRenderedPageBreak/>
        <w:t>十六、托管协议的变更、终止与基金财产的清算</w:t>
      </w:r>
      <w:bookmarkEnd w:id="110"/>
    </w:p>
    <w:p w14:paraId="5E7937DD" w14:textId="77777777" w:rsidR="005A59EB" w:rsidRDefault="00C555D5">
      <w:pPr>
        <w:pStyle w:val="2"/>
      </w:pPr>
      <w:bookmarkStart w:id="111" w:name="_Hlk177558970"/>
      <w:r>
        <w:rPr>
          <w:rFonts w:hint="eastAsia"/>
        </w:rPr>
        <w:t>（一）托管协议的变更程序</w:t>
      </w:r>
    </w:p>
    <w:p w14:paraId="6B60F7FE" w14:textId="77777777" w:rsidR="005A59EB" w:rsidRDefault="00C555D5">
      <w:pPr>
        <w:adjustRightInd w:val="0"/>
        <w:snapToGrid w:val="0"/>
        <w:spacing w:line="360" w:lineRule="auto"/>
        <w:ind w:firstLineChars="200" w:firstLine="480"/>
        <w:rPr>
          <w:rFonts w:asciiTheme="minorEastAsia" w:eastAsiaTheme="minorEastAsia" w:hAnsiTheme="minorEastAsia"/>
          <w:sz w:val="30"/>
          <w:szCs w:val="30"/>
        </w:rPr>
      </w:pPr>
      <w:r>
        <w:rPr>
          <w:rFonts w:asciiTheme="minorEastAsia" w:eastAsiaTheme="minorEastAsia" w:hAnsiTheme="minorEastAsia" w:cs="Arial" w:hint="eastAsia"/>
          <w:sz w:val="24"/>
        </w:rPr>
        <w:t>本协议双方当事人经协商一致，可以对协议进行修改。修改后的新协议，其内容不得与《基金合同》的规定有任何冲突。</w:t>
      </w:r>
    </w:p>
    <w:p w14:paraId="0216BBE5" w14:textId="77777777" w:rsidR="005A59EB" w:rsidRDefault="00C555D5">
      <w:pPr>
        <w:pStyle w:val="2"/>
      </w:pPr>
      <w:r>
        <w:rPr>
          <w:rFonts w:hint="eastAsia"/>
        </w:rPr>
        <w:t>（二）基金托管协议终止出现的情形</w:t>
      </w:r>
    </w:p>
    <w:p w14:paraId="3D32F3F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《基金合</w:t>
      </w:r>
      <w:r>
        <w:rPr>
          <w:rFonts w:asciiTheme="minorEastAsia" w:eastAsiaTheme="minorEastAsia" w:hAnsiTheme="minorEastAsia" w:cs="Arial" w:hint="eastAsia"/>
          <w:sz w:val="24"/>
        </w:rPr>
        <w:t>同》终止；</w:t>
      </w:r>
    </w:p>
    <w:p w14:paraId="66C6384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基金托管人因解散、破产、撤销等事由，不能继续担任基金托管人的职务，而在</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个月内无其他适当的托管机构承接其原有权利义务；</w:t>
      </w:r>
    </w:p>
    <w:p w14:paraId="5D69DBB3"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基金管理人因解散、破产、撤销等事由，不能继续担任基金管理人的职务，而在</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个月内无其他适当的基金管理公司承接其原有权利义务；</w:t>
      </w:r>
    </w:p>
    <w:p w14:paraId="75A33264"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基金托管人发现基金管理人有下列情形的，有权终止本协议，并要求基金管理人赔偿损失：</w:t>
      </w:r>
    </w:p>
    <w:p w14:paraId="5A46D5A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①违反基金合同的投资目的，不当处分基金财产的；</w:t>
      </w:r>
    </w:p>
    <w:p w14:paraId="22A73CE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②未能遵守或履行基金合同及本协议约定的有关承诺、义务、陈述或保证；</w:t>
      </w:r>
    </w:p>
    <w:p w14:paraId="05C25F5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③被依法取消基金管理人资质或经营异常；</w:t>
      </w:r>
    </w:p>
    <w:p w14:paraId="411E4F0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发</w:t>
      </w:r>
      <w:r>
        <w:rPr>
          <w:rFonts w:asciiTheme="minorEastAsia" w:eastAsiaTheme="minorEastAsia" w:hAnsiTheme="minorEastAsia" w:cs="Arial" w:hint="eastAsia"/>
          <w:sz w:val="24"/>
        </w:rPr>
        <w:t>生法律法规规定或《基金合同》约定的其他终止事项。</w:t>
      </w:r>
    </w:p>
    <w:p w14:paraId="42CB6437" w14:textId="77777777" w:rsidR="005A59EB" w:rsidRDefault="00C555D5">
      <w:pPr>
        <w:pStyle w:val="2"/>
      </w:pPr>
      <w:r>
        <w:rPr>
          <w:rFonts w:hint="eastAsia"/>
        </w:rPr>
        <w:t>（三）基金财产的清算</w:t>
      </w:r>
    </w:p>
    <w:p w14:paraId="46D40AD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基金财产清算小组：自出现基金合同终止事由之日起</w:t>
      </w:r>
      <w:r>
        <w:rPr>
          <w:rFonts w:asciiTheme="minorEastAsia" w:eastAsiaTheme="minorEastAsia" w:hAnsiTheme="minorEastAsia" w:cs="Arial" w:hint="eastAsia"/>
          <w:sz w:val="24"/>
        </w:rPr>
        <w:t>30</w:t>
      </w:r>
      <w:r>
        <w:rPr>
          <w:rFonts w:asciiTheme="minorEastAsia" w:eastAsiaTheme="minorEastAsia" w:hAnsiTheme="minorEastAsia" w:cs="Arial" w:hint="eastAsia"/>
          <w:sz w:val="24"/>
        </w:rPr>
        <w:t>个工作日内成立基金财产清算小组，基金管理人组织基金财产清算小组并在中国证监会的监督下进行基金清算。</w:t>
      </w:r>
    </w:p>
    <w:p w14:paraId="4FB0DF6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F775194"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基金财产清算小组职责：基金财产清算小组负责基金财产的保管、清理、估价、变现和分配。基金财</w:t>
      </w:r>
      <w:r>
        <w:rPr>
          <w:rFonts w:asciiTheme="minorEastAsia" w:eastAsiaTheme="minorEastAsia" w:hAnsiTheme="minorEastAsia" w:cs="Arial" w:hint="eastAsia"/>
          <w:sz w:val="24"/>
        </w:rPr>
        <w:t>产清算小组可以依法进行必要的民事活动。</w:t>
      </w:r>
    </w:p>
    <w:p w14:paraId="2F81687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基金财产清算程序：</w:t>
      </w:r>
    </w:p>
    <w:p w14:paraId="129184E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）基金合同终止情形出现时，由基金财产清算小组统一接管基金财产；</w:t>
      </w:r>
    </w:p>
    <w:p w14:paraId="73A5874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2</w:t>
      </w:r>
      <w:r>
        <w:rPr>
          <w:rFonts w:asciiTheme="minorEastAsia" w:eastAsiaTheme="minorEastAsia" w:hAnsiTheme="minorEastAsia" w:cs="Arial" w:hint="eastAsia"/>
          <w:sz w:val="24"/>
        </w:rPr>
        <w:t>）对基金财产和债权债务进行清理和确认；</w:t>
      </w:r>
    </w:p>
    <w:p w14:paraId="3043D9C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3</w:t>
      </w:r>
      <w:r>
        <w:rPr>
          <w:rFonts w:asciiTheme="minorEastAsia" w:eastAsiaTheme="minorEastAsia" w:hAnsiTheme="minorEastAsia" w:cs="Arial" w:hint="eastAsia"/>
          <w:sz w:val="24"/>
        </w:rPr>
        <w:t>）对基金财产进行估值和变现；</w:t>
      </w:r>
    </w:p>
    <w:p w14:paraId="3606949D"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w:t>
      </w:r>
      <w:r>
        <w:rPr>
          <w:rFonts w:asciiTheme="minorEastAsia" w:eastAsiaTheme="minorEastAsia" w:hAnsiTheme="minorEastAsia" w:cs="Arial" w:hint="eastAsia"/>
          <w:sz w:val="24"/>
        </w:rPr>
        <w:t>4</w:t>
      </w:r>
      <w:r>
        <w:rPr>
          <w:rFonts w:asciiTheme="minorEastAsia" w:eastAsiaTheme="minorEastAsia" w:hAnsiTheme="minorEastAsia" w:cs="Arial" w:hint="eastAsia"/>
          <w:sz w:val="24"/>
        </w:rPr>
        <w:t>）制作清算报告；</w:t>
      </w:r>
    </w:p>
    <w:p w14:paraId="35802566"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）聘请会计师事务所对清算报告进行外部审计，聘请律师事务所对清算报告出具法律意见书；</w:t>
      </w:r>
    </w:p>
    <w:p w14:paraId="10279625"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）将清算报告报中国证监会备案并公告；</w:t>
      </w:r>
    </w:p>
    <w:p w14:paraId="59B7C5F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）对基金剩余财产进行分配。</w:t>
      </w:r>
    </w:p>
    <w:p w14:paraId="7A332564"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hint="eastAsia"/>
          <w:sz w:val="24"/>
        </w:rPr>
        <w:t>基金财产清算的期限为</w:t>
      </w:r>
      <w:r>
        <w:rPr>
          <w:rFonts w:asciiTheme="minorEastAsia" w:eastAsiaTheme="minorEastAsia" w:hAnsiTheme="minorEastAsia" w:cs="Arial" w:hint="eastAsia"/>
          <w:sz w:val="24"/>
        </w:rPr>
        <w:t>6</w:t>
      </w:r>
      <w:r>
        <w:rPr>
          <w:rFonts w:asciiTheme="minorEastAsia" w:eastAsiaTheme="minorEastAsia" w:hAnsiTheme="minorEastAsia" w:cs="Arial" w:hint="eastAsia"/>
          <w:sz w:val="24"/>
        </w:rPr>
        <w:t>个月，但因本基金所持证券的流动性受到限制而不能及时变现的，清算期限相应顺延。</w:t>
      </w:r>
    </w:p>
    <w:p w14:paraId="172E6D29"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hint="eastAsia"/>
          <w:sz w:val="24"/>
        </w:rPr>
        <w:t>清算费用</w:t>
      </w:r>
    </w:p>
    <w:p w14:paraId="6B1E6CDF"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清算费用是指基金财产清算小组在进行基金清算过程中发生的所有合理费用，清算费用由基金财产清算小组优先从基金剩余财产中支付。</w:t>
      </w:r>
    </w:p>
    <w:p w14:paraId="0943A2F2"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Pr>
          <w:rFonts w:asciiTheme="minorEastAsia" w:eastAsiaTheme="minorEastAsia" w:hAnsiTheme="minorEastAsia" w:cs="Arial" w:hint="eastAsia"/>
          <w:sz w:val="24"/>
        </w:rPr>
        <w:t>基金财产清算剩余资产的分配</w:t>
      </w:r>
    </w:p>
    <w:p w14:paraId="02CEE22E"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w:t>
      </w:r>
      <w:r>
        <w:rPr>
          <w:bCs/>
          <w:sz w:val="24"/>
        </w:rPr>
        <w:t>按基金份额持有人持有的基金份额比例进行分配。</w:t>
      </w:r>
    </w:p>
    <w:p w14:paraId="55C79E0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hint="eastAsia"/>
          <w:sz w:val="24"/>
        </w:rPr>
        <w:t>基金财产清算的公告</w:t>
      </w:r>
    </w:p>
    <w:p w14:paraId="66066FE6"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清算过程中的有关重大事项须及时公告；基金财产清算报告经</w:t>
      </w:r>
      <w:r>
        <w:rPr>
          <w:rFonts w:hint="eastAsia"/>
          <w:bCs/>
          <w:sz w:val="24"/>
        </w:rPr>
        <w:t>符合《中华人民共和国证券法》规定的</w:t>
      </w:r>
      <w:r>
        <w:rPr>
          <w:rFonts w:asciiTheme="minorEastAsia" w:eastAsiaTheme="minorEastAsia" w:hAnsiTheme="minorEastAsia" w:cs="Arial" w:hint="eastAsia"/>
          <w:sz w:val="24"/>
        </w:rPr>
        <w:t>会计师事务所审计并由律师事务所出具法律意见书后报中国证监会备案并公告。基金财产清算公告于基金财产清算报告报中国证监会备案后</w:t>
      </w:r>
      <w:r>
        <w:rPr>
          <w:rFonts w:asciiTheme="minorEastAsia" w:eastAsiaTheme="minorEastAsia" w:hAnsiTheme="minorEastAsia" w:cs="Arial" w:hint="eastAsia"/>
          <w:sz w:val="24"/>
        </w:rPr>
        <w:t>5</w:t>
      </w:r>
      <w:r>
        <w:rPr>
          <w:rFonts w:asciiTheme="minorEastAsia" w:eastAsiaTheme="minorEastAsia" w:hAnsiTheme="minorEastAsia" w:cs="Arial" w:hint="eastAsia"/>
          <w:sz w:val="24"/>
        </w:rPr>
        <w:t>个工作日内由基金财产清算小组进行公告，基金财产清算小组应当将清算报告登载在规定网站上，并将清算报告提示性公告登载在规定报刊上。</w:t>
      </w:r>
    </w:p>
    <w:p w14:paraId="1FFFB6FA"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w:t>
      </w:r>
      <w:r>
        <w:rPr>
          <w:rFonts w:asciiTheme="minorEastAsia" w:eastAsiaTheme="minorEastAsia" w:hAnsiTheme="minorEastAsia" w:cs="Arial" w:hint="eastAsia"/>
          <w:sz w:val="24"/>
        </w:rPr>
        <w:t>基金财产清算账册及文件的保存</w:t>
      </w:r>
    </w:p>
    <w:p w14:paraId="301B684B"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基金财产清算账册及有关文件由基金托管人保存，保存年限不低于法律法规或监管规则规定的最低期限。</w:t>
      </w:r>
      <w:bookmarkEnd w:id="111"/>
    </w:p>
    <w:p w14:paraId="267CC610" w14:textId="77777777" w:rsidR="005A59EB" w:rsidRDefault="005A59EB">
      <w:pPr>
        <w:adjustRightInd w:val="0"/>
        <w:snapToGrid w:val="0"/>
        <w:rPr>
          <w:rFonts w:ascii="彩虹粗仿宋" w:eastAsia="彩虹粗仿宋" w:hAnsi="宋体" w:cs="Arial"/>
          <w:sz w:val="24"/>
        </w:rPr>
      </w:pPr>
    </w:p>
    <w:p w14:paraId="08FF0AC2" w14:textId="77777777" w:rsidR="005A59EB" w:rsidRDefault="00C555D5">
      <w:bookmarkStart w:id="112" w:name="_Toc124325901"/>
      <w:r>
        <w:rPr>
          <w:rFonts w:hint="eastAsia"/>
        </w:rPr>
        <w:br w:type="page"/>
      </w:r>
    </w:p>
    <w:p w14:paraId="1BC70BDD" w14:textId="77777777" w:rsidR="005A59EB" w:rsidRDefault="00C555D5">
      <w:pPr>
        <w:pStyle w:val="1"/>
        <w:spacing w:line="416" w:lineRule="auto"/>
        <w:ind w:firstLine="0"/>
      </w:pPr>
      <w:r>
        <w:rPr>
          <w:rFonts w:hint="eastAsia"/>
        </w:rPr>
        <w:lastRenderedPageBreak/>
        <w:t>十七、违约责任</w:t>
      </w:r>
      <w:bookmarkEnd w:id="112"/>
    </w:p>
    <w:p w14:paraId="3E1ECBAB" w14:textId="77777777" w:rsidR="005A59EB" w:rsidRDefault="00C555D5">
      <w:pPr>
        <w:pStyle w:val="2"/>
      </w:pPr>
      <w:r>
        <w:rPr>
          <w:rFonts w:hint="eastAsia"/>
        </w:rPr>
        <w:t>（一）基金管理人、基金托管人不履行本协议或履行本协议不符合约定的，应当承担违约责任。</w:t>
      </w:r>
    </w:p>
    <w:p w14:paraId="3E78234E" w14:textId="77777777" w:rsidR="005A59EB" w:rsidRDefault="00C555D5">
      <w:pPr>
        <w:pStyle w:val="2"/>
      </w:pPr>
      <w:r>
        <w:rPr>
          <w:rFonts w:hint="eastAsia"/>
        </w:rPr>
        <w:t>（二）基金管理人、基金托</w:t>
      </w:r>
      <w:r>
        <w:rPr>
          <w:rFonts w:hint="eastAsia"/>
        </w:rPr>
        <w:t>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Pr>
          <w:bCs/>
        </w:rPr>
        <w:t>对损失的赔偿，仅限于直接损失。</w:t>
      </w:r>
    </w:p>
    <w:p w14:paraId="21EF4C6B" w14:textId="77777777" w:rsidR="005A59EB" w:rsidRDefault="00C555D5">
      <w:pPr>
        <w:pStyle w:val="2"/>
      </w:pPr>
      <w:r>
        <w:rPr>
          <w:rFonts w:hint="eastAsia"/>
        </w:rPr>
        <w:t>（三）一方当事人违约，给另一方当事人造成损失的，应就直接损失进行赔偿；给基金财产造成损失的，应就直接损失进行赔偿，另一方当事人有权利及义务代表基金向违约方追偿。但是发生下列情况之一的，当事人免责：</w:t>
      </w:r>
    </w:p>
    <w:p w14:paraId="7453599E"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hint="eastAsia"/>
          <w:sz w:val="24"/>
        </w:rPr>
        <w:t>基金管理人、基金托管人按照届时有效的</w:t>
      </w:r>
      <w:r>
        <w:rPr>
          <w:rFonts w:asciiTheme="minorEastAsia" w:eastAsiaTheme="minorEastAsia" w:hAnsiTheme="minorEastAsia" w:cs="Arial" w:hint="eastAsia"/>
          <w:sz w:val="24"/>
        </w:rPr>
        <w:t>法律法规或中国证监会的规定作为或不作为而造成的损失；</w:t>
      </w:r>
    </w:p>
    <w:p w14:paraId="2D92A7F8" w14:textId="77777777" w:rsidR="005A59EB" w:rsidRDefault="00C555D5">
      <w:pPr>
        <w:adjustRightInd w:val="0"/>
        <w:snapToGrid w:val="0"/>
        <w:spacing w:line="360" w:lineRule="auto"/>
        <w:ind w:firstLineChars="200" w:firstLine="480"/>
        <w:rPr>
          <w:rFonts w:asciiTheme="minorEastAsia" w:eastAsiaTheme="minorEastAsia" w:hAnsiTheme="minorEastAsia" w:cs="Arial"/>
          <w:bCs/>
          <w:sz w:val="24"/>
        </w:rPr>
      </w:pPr>
      <w:r>
        <w:rPr>
          <w:rFonts w:asciiTheme="minorEastAsia" w:eastAsiaTheme="minorEastAsia" w:hAnsiTheme="minorEastAsia" w:cs="Arial"/>
          <w:sz w:val="24"/>
        </w:rPr>
        <w:t>2</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基金管理人由于按照《基金合同》规定的投资原则</w:t>
      </w:r>
      <w:r>
        <w:rPr>
          <w:rFonts w:asciiTheme="minorEastAsia" w:eastAsiaTheme="minorEastAsia" w:hAnsiTheme="minorEastAsia" w:cs="Arial" w:hint="eastAsia"/>
          <w:bCs/>
          <w:sz w:val="24"/>
        </w:rPr>
        <w:t>行使或不行使其投资权而造成的损失等；</w:t>
      </w:r>
    </w:p>
    <w:p w14:paraId="6E42B0A7"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bCs/>
          <w:sz w:val="24"/>
        </w:rPr>
        <w:t>3.</w:t>
      </w:r>
      <w:r>
        <w:rPr>
          <w:rFonts w:asciiTheme="minorEastAsia" w:eastAsiaTheme="minorEastAsia" w:hAnsiTheme="minorEastAsia" w:cs="Arial" w:hint="eastAsia"/>
          <w:bCs/>
          <w:sz w:val="24"/>
        </w:rPr>
        <w:t>不可抗力。</w:t>
      </w:r>
    </w:p>
    <w:p w14:paraId="0F7FF586" w14:textId="77777777" w:rsidR="005A59EB" w:rsidRDefault="00C555D5">
      <w:pPr>
        <w:pStyle w:val="2"/>
      </w:pPr>
      <w:r>
        <w:rPr>
          <w:rFonts w:hint="eastAsia"/>
        </w:rPr>
        <w:t>（四）一方当事人违约，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AFADD16" w14:textId="77777777" w:rsidR="005A59EB" w:rsidRDefault="00C555D5">
      <w:pPr>
        <w:pStyle w:val="2"/>
      </w:pPr>
      <w:r>
        <w:rPr>
          <w:rFonts w:hint="eastAsia"/>
        </w:rPr>
        <w:t>（五）违约行为虽已发生，但本托管协议能够继续履行的，在最大限度地保护基金份额持有人利益的前提下，基金管理人和基金托管人应当继续履行本协议。若基金</w:t>
      </w:r>
      <w:r>
        <w:rPr>
          <w:rFonts w:hint="eastAsia"/>
        </w:rPr>
        <w:t>管理人或基金托管人因履行本协议而被起诉，另一方应提供合理的必要支持。</w:t>
      </w:r>
    </w:p>
    <w:p w14:paraId="0A23CCD1" w14:textId="77777777" w:rsidR="005A59EB" w:rsidRDefault="00C555D5">
      <w:pPr>
        <w:pStyle w:val="2"/>
      </w:pPr>
      <w:r>
        <w:rPr>
          <w:rFonts w:hint="eastAsia"/>
        </w:rPr>
        <w:t>（六）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w:t>
      </w:r>
      <w:r>
        <w:rPr>
          <w:rFonts w:hint="eastAsia"/>
          <w:bCs/>
        </w:rPr>
        <w:t>减轻或</w:t>
      </w:r>
      <w:r>
        <w:rPr>
          <w:rFonts w:hint="eastAsia"/>
        </w:rPr>
        <w:t>消除由此造成的影响。</w:t>
      </w:r>
    </w:p>
    <w:p w14:paraId="450072CD" w14:textId="77777777" w:rsidR="005A59EB" w:rsidRDefault="00C555D5">
      <w:r>
        <w:rPr>
          <w:rFonts w:hint="eastAsia"/>
        </w:rPr>
        <w:br w:type="page"/>
      </w:r>
    </w:p>
    <w:p w14:paraId="037DBF52" w14:textId="77777777" w:rsidR="005A59EB" w:rsidRDefault="00C555D5">
      <w:pPr>
        <w:pStyle w:val="1"/>
        <w:spacing w:line="416" w:lineRule="auto"/>
        <w:ind w:firstLine="0"/>
      </w:pPr>
      <w:bookmarkStart w:id="113" w:name="_Toc124325902"/>
      <w:r>
        <w:rPr>
          <w:rFonts w:hint="eastAsia"/>
        </w:rPr>
        <w:lastRenderedPageBreak/>
        <w:t>十八、争议解决方式</w:t>
      </w:r>
      <w:bookmarkEnd w:id="113"/>
    </w:p>
    <w:p w14:paraId="00480328"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双方</w:t>
      </w:r>
      <w:r>
        <w:rPr>
          <w:rFonts w:asciiTheme="minorEastAsia" w:eastAsiaTheme="minorEastAsia" w:hAnsiTheme="minorEastAsia" w:cs="Arial" w:hint="eastAsia"/>
          <w:sz w:val="24"/>
        </w:rPr>
        <w:t>当事人同意，因《托管协议》而产生的或与《托管协议》有关的一切争议，如经友好协商未能解决的，应将争议提交中国国际经济贸易仲裁委员会，仲裁地点为北京市，按照中国国际经济贸易仲裁委员会届时有效的仲裁规则进行仲裁。仲裁裁决是终局的，对双方当事人均有约束力。除非仲裁裁决另有决定，仲裁费用、律师费用由败诉方承担。</w:t>
      </w:r>
    </w:p>
    <w:p w14:paraId="07192905"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争议处理期间，基金管理人和基金托管人应恪守各自职责，继续忠实、勤勉、尽责地履行基金合同和托管协议规定的义务，维护基金份额持有人的合法权益。</w:t>
      </w:r>
    </w:p>
    <w:p w14:paraId="7718D63C"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《托管协议》受中华人民共和国法律（为本协议之目的，不包括香港特别行政</w:t>
      </w:r>
      <w:r>
        <w:rPr>
          <w:rFonts w:asciiTheme="minorEastAsia" w:eastAsiaTheme="minorEastAsia" w:hAnsiTheme="minorEastAsia" w:cs="Arial" w:hint="eastAsia"/>
          <w:sz w:val="24"/>
        </w:rPr>
        <w:t>区、澳门特别行政区法律和台湾地区的有关规定）管辖。</w:t>
      </w:r>
    </w:p>
    <w:p w14:paraId="36EBCCF4" w14:textId="77777777" w:rsidR="005A59EB" w:rsidRDefault="005A59EB">
      <w:pPr>
        <w:adjustRightInd w:val="0"/>
        <w:snapToGrid w:val="0"/>
        <w:rPr>
          <w:rFonts w:ascii="彩虹粗仿宋" w:eastAsia="彩虹粗仿宋" w:hAnsi="宋体" w:cs="Arial"/>
          <w:sz w:val="24"/>
        </w:rPr>
      </w:pPr>
    </w:p>
    <w:p w14:paraId="2F7D9796" w14:textId="77777777" w:rsidR="005A59EB" w:rsidRDefault="00C555D5">
      <w:bookmarkStart w:id="114" w:name="_Toc124325903"/>
      <w:r>
        <w:rPr>
          <w:rFonts w:hint="eastAsia"/>
        </w:rPr>
        <w:br w:type="page"/>
      </w:r>
    </w:p>
    <w:p w14:paraId="0F228369" w14:textId="77777777" w:rsidR="005A59EB" w:rsidRDefault="00C555D5">
      <w:pPr>
        <w:pStyle w:val="1"/>
        <w:spacing w:line="416" w:lineRule="auto"/>
        <w:ind w:firstLine="0"/>
      </w:pPr>
      <w:r>
        <w:rPr>
          <w:rFonts w:hint="eastAsia"/>
        </w:rPr>
        <w:lastRenderedPageBreak/>
        <w:t>十九、托管协议的效力</w:t>
      </w:r>
      <w:bookmarkEnd w:id="114"/>
    </w:p>
    <w:p w14:paraId="3A1813A9"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双方对托管协议的效力约定如下：</w:t>
      </w:r>
    </w:p>
    <w:p w14:paraId="48B6FCEE" w14:textId="77777777" w:rsidR="005A59EB" w:rsidRDefault="00C555D5">
      <w:pPr>
        <w:pStyle w:val="2"/>
      </w:pPr>
      <w:r>
        <w:rPr>
          <w:rFonts w:hint="eastAsia"/>
        </w:rPr>
        <w:t>（一）基金管理人在向中国证监会申请</w:t>
      </w:r>
      <w:r>
        <w:rPr>
          <w:rFonts w:ascii="宋体" w:hAnsi="宋体" w:hint="eastAsia"/>
          <w:szCs w:val="21"/>
        </w:rPr>
        <w:t>募集注册</w:t>
      </w:r>
      <w:r>
        <w:rPr>
          <w:rFonts w:hint="eastAsia"/>
        </w:rPr>
        <w:t>时提交的托管协议草案，应经托管协议当事人双方加盖公章</w:t>
      </w:r>
      <w:r>
        <w:t>或合同专用章</w:t>
      </w:r>
      <w:r>
        <w:rPr>
          <w:rFonts w:hint="eastAsia"/>
        </w:rPr>
        <w:t>以及双方法定代表人或授权代表签字（章），协议当事人双方根据中国证监会的意见修改托管协议草案。托管协议以中国证监会注册的文本为正式文本。</w:t>
      </w:r>
    </w:p>
    <w:p w14:paraId="2F121BB1" w14:textId="77777777" w:rsidR="005A59EB" w:rsidRDefault="00C555D5">
      <w:pPr>
        <w:pStyle w:val="2"/>
      </w:pPr>
      <w:r>
        <w:rPr>
          <w:rFonts w:hint="eastAsia"/>
        </w:rPr>
        <w:t>（二）托管协议自双方签订本协议且《基金合同》成立之日起成立，自《基金合同》生效之日起生效。托管协议的有效期自其生效之日起至基金财产清算结果报中国证监会备案并公告之日止。</w:t>
      </w:r>
    </w:p>
    <w:p w14:paraId="64BD17FC" w14:textId="77777777" w:rsidR="005A59EB" w:rsidRDefault="00C555D5">
      <w:pPr>
        <w:pStyle w:val="2"/>
      </w:pPr>
      <w:r>
        <w:rPr>
          <w:rFonts w:hint="eastAsia"/>
        </w:rPr>
        <w:t>（三）托管协议自生效之日起对托管协议当事人具有同等的法律约束力。</w:t>
      </w:r>
    </w:p>
    <w:p w14:paraId="454E11B6" w14:textId="77777777" w:rsidR="005A59EB" w:rsidRDefault="00C555D5">
      <w:pPr>
        <w:pStyle w:val="2"/>
        <w:rPr>
          <w:sz w:val="30"/>
          <w:szCs w:val="30"/>
        </w:rPr>
      </w:pPr>
      <w:r>
        <w:rPr>
          <w:rFonts w:hint="eastAsia"/>
        </w:rPr>
        <w:t>（四）本协议一式叁份，协议双方各持壹份，上报监管机构壹份，每份具有同等的法律效力。</w:t>
      </w:r>
    </w:p>
    <w:p w14:paraId="5F0A53EC" w14:textId="77777777" w:rsidR="005A59EB" w:rsidRDefault="005A59EB">
      <w:pPr>
        <w:adjustRightInd w:val="0"/>
        <w:snapToGrid w:val="0"/>
        <w:rPr>
          <w:rFonts w:ascii="彩虹粗仿宋" w:eastAsia="彩虹粗仿宋" w:hAnsi="宋体" w:cs="Arial"/>
          <w:sz w:val="24"/>
        </w:rPr>
      </w:pPr>
    </w:p>
    <w:p w14:paraId="58002E9B" w14:textId="77777777" w:rsidR="005A59EB" w:rsidRDefault="00C555D5">
      <w:bookmarkStart w:id="115" w:name="_Toc124325904"/>
      <w:r>
        <w:rPr>
          <w:rFonts w:hint="eastAsia"/>
        </w:rPr>
        <w:br w:type="page"/>
      </w:r>
    </w:p>
    <w:p w14:paraId="2A4278A6" w14:textId="77777777" w:rsidR="005A59EB" w:rsidRDefault="00C555D5">
      <w:pPr>
        <w:pStyle w:val="1"/>
        <w:spacing w:line="416" w:lineRule="auto"/>
        <w:ind w:firstLine="0"/>
      </w:pPr>
      <w:r>
        <w:rPr>
          <w:rFonts w:hint="eastAsia"/>
        </w:rPr>
        <w:lastRenderedPageBreak/>
        <w:t>二十、其他事项</w:t>
      </w:r>
      <w:bookmarkEnd w:id="115"/>
    </w:p>
    <w:p w14:paraId="531B5211"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如发生有权司法机关依法冻结基金份额持有人的基金份额时，基金管理人应予以配合，承担司法协助义务。</w:t>
      </w:r>
    </w:p>
    <w:p w14:paraId="5A28473E" w14:textId="77777777" w:rsidR="005A59EB" w:rsidRDefault="00C555D5">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除本协议有明确定义外，本协议的用语定义适用《基金合同》的约定。本协议未尽事</w:t>
      </w:r>
      <w:r>
        <w:rPr>
          <w:rFonts w:asciiTheme="minorEastAsia" w:eastAsiaTheme="minorEastAsia" w:hAnsiTheme="minorEastAsia" w:cs="Arial" w:hint="eastAsia"/>
          <w:sz w:val="24"/>
        </w:rPr>
        <w:t>宜，当事人依据《基金合同》、有关法律法规等规定协商办理。</w:t>
      </w:r>
    </w:p>
    <w:p w14:paraId="5641F308" w14:textId="77777777" w:rsidR="005A59EB" w:rsidRDefault="005A59EB">
      <w:pPr>
        <w:adjustRightInd w:val="0"/>
        <w:snapToGrid w:val="0"/>
        <w:rPr>
          <w:rFonts w:ascii="彩虹粗仿宋" w:eastAsia="彩虹粗仿宋"/>
          <w:b/>
          <w:bCs/>
        </w:rPr>
      </w:pPr>
    </w:p>
    <w:p w14:paraId="2FEA35FF" w14:textId="77777777" w:rsidR="005A59EB" w:rsidRDefault="00C555D5">
      <w:bookmarkStart w:id="116" w:name="_Toc124325905"/>
      <w:r>
        <w:rPr>
          <w:rFonts w:hint="eastAsia"/>
        </w:rPr>
        <w:br w:type="page"/>
      </w:r>
    </w:p>
    <w:p w14:paraId="3B156E1F" w14:textId="77777777" w:rsidR="005A59EB" w:rsidRDefault="00C555D5">
      <w:pPr>
        <w:pStyle w:val="1"/>
        <w:spacing w:line="416" w:lineRule="auto"/>
        <w:ind w:firstLine="0"/>
      </w:pPr>
      <w:r>
        <w:rPr>
          <w:rFonts w:hint="eastAsia"/>
        </w:rPr>
        <w:lastRenderedPageBreak/>
        <w:t>二十一、托管协议的签订</w:t>
      </w:r>
      <w:bookmarkEnd w:id="116"/>
    </w:p>
    <w:p w14:paraId="402E6A89"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本协议双方法定代表人或授权代表签章（签字或加盖名章）并</w:t>
      </w:r>
      <w:r>
        <w:rPr>
          <w:rFonts w:ascii="宋体" w:hAnsi="宋体" w:cs="Arial"/>
          <w:sz w:val="24"/>
        </w:rPr>
        <w:t>加盖公章或合同专用章</w:t>
      </w:r>
      <w:r>
        <w:rPr>
          <w:rFonts w:ascii="宋体" w:hAnsi="宋体" w:cs="Arial" w:hint="eastAsia"/>
          <w:sz w:val="24"/>
        </w:rPr>
        <w:t>、签订地、签订日。</w:t>
      </w:r>
    </w:p>
    <w:p w14:paraId="09E063DE" w14:textId="77777777" w:rsidR="005A59EB" w:rsidRDefault="005A59EB">
      <w:pPr>
        <w:adjustRightInd w:val="0"/>
        <w:snapToGrid w:val="0"/>
        <w:ind w:firstLineChars="200" w:firstLine="480"/>
        <w:rPr>
          <w:rFonts w:ascii="彩虹粗仿宋" w:eastAsia="彩虹粗仿宋" w:hAnsi="宋体" w:cs="Arial"/>
          <w:sz w:val="24"/>
        </w:rPr>
        <w:sectPr w:rsidR="005A59EB">
          <w:type w:val="continuous"/>
          <w:pgSz w:w="11906" w:h="16838"/>
          <w:pgMar w:top="1418" w:right="1701" w:bottom="1418" w:left="1701" w:header="851" w:footer="992" w:gutter="0"/>
          <w:cols w:space="425"/>
          <w:docGrid w:type="lines" w:linePitch="312"/>
        </w:sectPr>
      </w:pPr>
    </w:p>
    <w:p w14:paraId="2A605DB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本页无正文，为《大成元信合利</w:t>
      </w:r>
      <w:r>
        <w:rPr>
          <w:rFonts w:ascii="宋体" w:hAnsi="宋体" w:cs="Arial" w:hint="eastAsia"/>
          <w:sz w:val="24"/>
        </w:rPr>
        <w:t>6</w:t>
      </w:r>
      <w:r>
        <w:rPr>
          <w:rFonts w:ascii="宋体" w:hAnsi="宋体" w:cs="Arial" w:hint="eastAsia"/>
          <w:sz w:val="24"/>
        </w:rPr>
        <w:t>个月持有期债券型证券投资基金</w:t>
      </w:r>
      <w:bookmarkStart w:id="117" w:name="_GoBack"/>
      <w:bookmarkEnd w:id="117"/>
      <w:r>
        <w:rPr>
          <w:rFonts w:ascii="宋体" w:hAnsi="宋体" w:cs="Arial" w:hint="eastAsia"/>
          <w:sz w:val="24"/>
        </w:rPr>
        <w:t>托管协议》的签字盖章页。</w:t>
      </w:r>
    </w:p>
    <w:p w14:paraId="4DF7A884" w14:textId="77777777" w:rsidR="005A59EB" w:rsidRDefault="005A59EB">
      <w:pPr>
        <w:adjustRightInd w:val="0"/>
        <w:snapToGrid w:val="0"/>
        <w:spacing w:line="360" w:lineRule="auto"/>
        <w:ind w:firstLineChars="200" w:firstLine="480"/>
        <w:rPr>
          <w:rFonts w:ascii="宋体" w:hAnsi="宋体" w:cs="Arial"/>
          <w:sz w:val="24"/>
        </w:rPr>
      </w:pPr>
    </w:p>
    <w:p w14:paraId="3108BFE6" w14:textId="77777777" w:rsidR="005A59EB" w:rsidRDefault="005A59EB">
      <w:pPr>
        <w:adjustRightInd w:val="0"/>
        <w:snapToGrid w:val="0"/>
        <w:spacing w:line="360" w:lineRule="auto"/>
        <w:ind w:firstLineChars="200" w:firstLine="480"/>
        <w:rPr>
          <w:rFonts w:ascii="宋体" w:hAnsi="宋体" w:cs="Arial"/>
          <w:sz w:val="24"/>
        </w:rPr>
      </w:pPr>
    </w:p>
    <w:p w14:paraId="37B69C4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基金管理人：大成基金管理有限公司（公章或合同专用章）</w:t>
      </w:r>
    </w:p>
    <w:p w14:paraId="7395C201" w14:textId="77777777" w:rsidR="005A59EB" w:rsidRDefault="005A59EB">
      <w:pPr>
        <w:adjustRightInd w:val="0"/>
        <w:snapToGrid w:val="0"/>
        <w:spacing w:line="360" w:lineRule="auto"/>
        <w:ind w:firstLineChars="200" w:firstLine="480"/>
        <w:rPr>
          <w:rFonts w:ascii="宋体" w:hAnsi="宋体" w:cs="Arial"/>
          <w:sz w:val="24"/>
        </w:rPr>
      </w:pPr>
    </w:p>
    <w:p w14:paraId="53409061" w14:textId="77777777" w:rsidR="005A59EB" w:rsidRDefault="005A59EB">
      <w:pPr>
        <w:adjustRightInd w:val="0"/>
        <w:snapToGrid w:val="0"/>
        <w:spacing w:line="360" w:lineRule="auto"/>
        <w:ind w:firstLineChars="200" w:firstLine="480"/>
        <w:rPr>
          <w:rFonts w:ascii="宋体" w:hAnsi="宋体" w:cs="Arial"/>
          <w:sz w:val="24"/>
        </w:rPr>
      </w:pPr>
    </w:p>
    <w:p w14:paraId="6EEFC85B" w14:textId="77777777" w:rsidR="005A59EB" w:rsidRDefault="005A59EB">
      <w:pPr>
        <w:adjustRightInd w:val="0"/>
        <w:snapToGrid w:val="0"/>
        <w:spacing w:line="360" w:lineRule="auto"/>
        <w:ind w:firstLineChars="200" w:firstLine="480"/>
        <w:rPr>
          <w:rFonts w:ascii="宋体" w:hAnsi="宋体" w:cs="Arial"/>
          <w:sz w:val="24"/>
        </w:rPr>
      </w:pPr>
    </w:p>
    <w:p w14:paraId="7FE6333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法定代表人或授权代表（签章）：</w:t>
      </w:r>
      <w:r>
        <w:rPr>
          <w:rFonts w:ascii="宋体" w:hAnsi="宋体" w:cs="Arial" w:hint="eastAsia"/>
          <w:sz w:val="24"/>
        </w:rPr>
        <w:t xml:space="preserve">  </w:t>
      </w:r>
    </w:p>
    <w:p w14:paraId="3D4764AD" w14:textId="77777777" w:rsidR="005A59EB" w:rsidRDefault="005A59EB">
      <w:pPr>
        <w:adjustRightInd w:val="0"/>
        <w:snapToGrid w:val="0"/>
        <w:spacing w:line="360" w:lineRule="auto"/>
        <w:ind w:firstLineChars="200" w:firstLine="480"/>
        <w:rPr>
          <w:rFonts w:ascii="宋体" w:hAnsi="宋体" w:cs="Arial"/>
          <w:sz w:val="24"/>
        </w:rPr>
      </w:pPr>
    </w:p>
    <w:p w14:paraId="76EE1464" w14:textId="77777777" w:rsidR="005A59EB" w:rsidRDefault="005A59EB">
      <w:pPr>
        <w:adjustRightInd w:val="0"/>
        <w:snapToGrid w:val="0"/>
        <w:spacing w:line="360" w:lineRule="auto"/>
        <w:ind w:firstLineChars="200" w:firstLine="480"/>
        <w:rPr>
          <w:rFonts w:ascii="宋体" w:hAnsi="宋体" w:cs="Arial"/>
          <w:sz w:val="24"/>
        </w:rPr>
      </w:pPr>
    </w:p>
    <w:p w14:paraId="26912E79"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签订地点：中国深圳</w:t>
      </w:r>
    </w:p>
    <w:p w14:paraId="2AB0B266"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签订日：</w:t>
      </w:r>
      <w:r>
        <w:rPr>
          <w:rFonts w:ascii="宋体" w:hAnsi="宋体" w:cs="Arial" w:hint="eastAsia"/>
          <w:sz w:val="24"/>
        </w:rPr>
        <w:t xml:space="preserve">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r>
        <w:rPr>
          <w:rFonts w:ascii="宋体" w:hAnsi="宋体" w:cs="Arial" w:hint="eastAsia"/>
          <w:sz w:val="24"/>
        </w:rPr>
        <w:t xml:space="preserve">  </w:t>
      </w:r>
      <w:r>
        <w:rPr>
          <w:rFonts w:ascii="宋体" w:hAnsi="宋体" w:cs="Arial" w:hint="eastAsia"/>
          <w:sz w:val="24"/>
        </w:rPr>
        <w:t>日</w:t>
      </w:r>
    </w:p>
    <w:p w14:paraId="57B8AFBF" w14:textId="77777777" w:rsidR="005A59EB" w:rsidRDefault="005A59EB">
      <w:pPr>
        <w:adjustRightInd w:val="0"/>
        <w:snapToGrid w:val="0"/>
        <w:spacing w:line="360" w:lineRule="auto"/>
        <w:ind w:firstLineChars="200" w:firstLine="480"/>
        <w:rPr>
          <w:rFonts w:ascii="宋体" w:hAnsi="宋体" w:cs="Arial"/>
          <w:sz w:val="24"/>
        </w:rPr>
      </w:pPr>
    </w:p>
    <w:p w14:paraId="633B112B" w14:textId="77777777" w:rsidR="005A59EB" w:rsidRDefault="005A59EB">
      <w:pPr>
        <w:adjustRightInd w:val="0"/>
        <w:snapToGrid w:val="0"/>
        <w:spacing w:line="360" w:lineRule="auto"/>
        <w:ind w:firstLineChars="200" w:firstLine="480"/>
        <w:rPr>
          <w:rFonts w:ascii="宋体" w:hAnsi="宋体" w:cs="Arial"/>
          <w:sz w:val="24"/>
        </w:rPr>
      </w:pPr>
    </w:p>
    <w:p w14:paraId="6C0E9634" w14:textId="77777777" w:rsidR="005A59EB" w:rsidRDefault="005A59EB">
      <w:pPr>
        <w:adjustRightInd w:val="0"/>
        <w:snapToGrid w:val="0"/>
        <w:spacing w:line="360" w:lineRule="auto"/>
        <w:ind w:firstLineChars="200" w:firstLine="480"/>
        <w:rPr>
          <w:rFonts w:ascii="宋体" w:hAnsi="宋体" w:cs="Arial"/>
          <w:sz w:val="24"/>
        </w:rPr>
      </w:pPr>
    </w:p>
    <w:p w14:paraId="06A54533" w14:textId="77777777" w:rsidR="005A59EB" w:rsidRDefault="005A59EB">
      <w:pPr>
        <w:adjustRightInd w:val="0"/>
        <w:snapToGrid w:val="0"/>
        <w:spacing w:line="360" w:lineRule="auto"/>
        <w:ind w:firstLineChars="200" w:firstLine="480"/>
        <w:rPr>
          <w:rFonts w:ascii="宋体" w:hAnsi="宋体" w:cs="Arial"/>
          <w:sz w:val="24"/>
        </w:rPr>
      </w:pPr>
    </w:p>
    <w:p w14:paraId="0D5C7632"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基金托管人：中信银行股份有限公司（公章或合同专用章）</w:t>
      </w:r>
    </w:p>
    <w:p w14:paraId="2F2F0646" w14:textId="77777777" w:rsidR="005A59EB" w:rsidRDefault="005A59EB">
      <w:pPr>
        <w:adjustRightInd w:val="0"/>
        <w:snapToGrid w:val="0"/>
        <w:spacing w:line="360" w:lineRule="auto"/>
        <w:ind w:firstLineChars="200" w:firstLine="480"/>
        <w:rPr>
          <w:rFonts w:ascii="宋体" w:hAnsi="宋体" w:cs="Arial"/>
          <w:sz w:val="24"/>
        </w:rPr>
      </w:pPr>
    </w:p>
    <w:p w14:paraId="3A10886B" w14:textId="77777777" w:rsidR="005A59EB" w:rsidRDefault="005A59EB">
      <w:pPr>
        <w:adjustRightInd w:val="0"/>
        <w:snapToGrid w:val="0"/>
        <w:spacing w:line="360" w:lineRule="auto"/>
        <w:ind w:firstLineChars="200" w:firstLine="480"/>
        <w:rPr>
          <w:rFonts w:ascii="宋体" w:hAnsi="宋体" w:cs="Arial"/>
          <w:sz w:val="24"/>
        </w:rPr>
      </w:pPr>
    </w:p>
    <w:p w14:paraId="274E344F" w14:textId="77777777" w:rsidR="005A59EB" w:rsidRDefault="005A59EB">
      <w:pPr>
        <w:adjustRightInd w:val="0"/>
        <w:snapToGrid w:val="0"/>
        <w:spacing w:line="360" w:lineRule="auto"/>
        <w:ind w:firstLineChars="200" w:firstLine="480"/>
        <w:rPr>
          <w:rFonts w:ascii="宋体" w:hAnsi="宋体" w:cs="Arial"/>
          <w:sz w:val="24"/>
        </w:rPr>
      </w:pPr>
    </w:p>
    <w:p w14:paraId="7E398074"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法定代表人或授权代表（签章）：</w:t>
      </w:r>
      <w:r>
        <w:rPr>
          <w:rFonts w:ascii="宋体" w:hAnsi="宋体" w:cs="Arial" w:hint="eastAsia"/>
          <w:sz w:val="24"/>
        </w:rPr>
        <w:t xml:space="preserve">                   </w:t>
      </w:r>
    </w:p>
    <w:p w14:paraId="7F01E676" w14:textId="77777777" w:rsidR="005A59EB" w:rsidRDefault="005A59EB">
      <w:pPr>
        <w:adjustRightInd w:val="0"/>
        <w:snapToGrid w:val="0"/>
        <w:spacing w:line="360" w:lineRule="auto"/>
        <w:ind w:firstLineChars="200" w:firstLine="480"/>
        <w:rPr>
          <w:rFonts w:ascii="宋体" w:hAnsi="宋体" w:cs="Arial"/>
          <w:sz w:val="24"/>
        </w:rPr>
      </w:pPr>
    </w:p>
    <w:p w14:paraId="06F334AE" w14:textId="77777777" w:rsidR="005A59EB" w:rsidRDefault="005A59EB">
      <w:pPr>
        <w:adjustRightInd w:val="0"/>
        <w:snapToGrid w:val="0"/>
        <w:spacing w:line="360" w:lineRule="auto"/>
        <w:ind w:firstLineChars="200" w:firstLine="480"/>
        <w:rPr>
          <w:rFonts w:ascii="宋体" w:hAnsi="宋体" w:cs="Arial"/>
          <w:sz w:val="24"/>
        </w:rPr>
      </w:pPr>
    </w:p>
    <w:p w14:paraId="3B38BBC5"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签订地点：中国北京</w:t>
      </w:r>
    </w:p>
    <w:p w14:paraId="0A885620" w14:textId="77777777" w:rsidR="005A59EB" w:rsidRDefault="00C555D5">
      <w:pPr>
        <w:adjustRightInd w:val="0"/>
        <w:snapToGrid w:val="0"/>
        <w:spacing w:line="360" w:lineRule="auto"/>
        <w:ind w:firstLineChars="200" w:firstLine="480"/>
        <w:rPr>
          <w:rFonts w:ascii="宋体" w:hAnsi="宋体" w:cs="Arial"/>
          <w:sz w:val="24"/>
        </w:rPr>
      </w:pPr>
      <w:r>
        <w:rPr>
          <w:rFonts w:ascii="宋体" w:hAnsi="宋体" w:cs="Arial" w:hint="eastAsia"/>
          <w:sz w:val="24"/>
        </w:rPr>
        <w:t>签订日：</w:t>
      </w:r>
      <w:r>
        <w:rPr>
          <w:rFonts w:ascii="宋体" w:hAnsi="宋体" w:cs="Arial" w:hint="eastAsia"/>
          <w:sz w:val="24"/>
        </w:rPr>
        <w:t xml:space="preserve">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r>
        <w:rPr>
          <w:rFonts w:ascii="宋体" w:hAnsi="宋体" w:cs="Arial" w:hint="eastAsia"/>
          <w:sz w:val="24"/>
        </w:rPr>
        <w:t xml:space="preserve">  </w:t>
      </w:r>
      <w:r>
        <w:rPr>
          <w:rFonts w:ascii="宋体" w:hAnsi="宋体" w:cs="Arial" w:hint="eastAsia"/>
          <w:sz w:val="24"/>
        </w:rPr>
        <w:t>日</w:t>
      </w:r>
    </w:p>
    <w:p w14:paraId="0854F328" w14:textId="77777777" w:rsidR="005A59EB" w:rsidRDefault="005A59EB"/>
    <w:sectPr w:rsidR="005A59EB">
      <w:headerReference w:type="default" r:id="rId8"/>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25886" w14:textId="77777777" w:rsidR="00C555D5" w:rsidRDefault="00C555D5">
      <w:r>
        <w:separator/>
      </w:r>
    </w:p>
  </w:endnote>
  <w:endnote w:type="continuationSeparator" w:id="0">
    <w:p w14:paraId="2E3E7DA3" w14:textId="77777777" w:rsidR="00C555D5" w:rsidRDefault="00C5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彩虹粗仿宋">
    <w:altName w:val="微软雅黑"/>
    <w:charset w:val="86"/>
    <w:family w:val="script"/>
    <w:pitch w:val="default"/>
    <w:sig w:usb0="00000000" w:usb1="00000000" w:usb2="00000000" w:usb3="00000000" w:csb0="00040000" w:csb1="00000000"/>
    <w:embedBold r:id="rId1" w:fontKey="{BE652003-B973-4228-9EF9-6A7F75405CAC}"/>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00"/>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628B" w14:textId="015F8F21" w:rsidR="005A59EB" w:rsidRDefault="00C555D5">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23219B">
      <w:rPr>
        <w:rStyle w:val="af6"/>
        <w:noProof/>
      </w:rPr>
      <w:t>53</w:t>
    </w:r>
    <w:r>
      <w:rPr>
        <w:rStyle w:val="af6"/>
      </w:rPr>
      <w:fldChar w:fldCharType="end"/>
    </w:r>
  </w:p>
  <w:p w14:paraId="32324244" w14:textId="77777777" w:rsidR="005A59EB" w:rsidRDefault="005A59E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D09B" w14:textId="77777777" w:rsidR="005A59EB" w:rsidRDefault="005A59E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50E8A" w14:textId="77777777" w:rsidR="00C555D5" w:rsidRDefault="00C555D5">
      <w:r>
        <w:separator/>
      </w:r>
    </w:p>
  </w:footnote>
  <w:footnote w:type="continuationSeparator" w:id="0">
    <w:p w14:paraId="30D7132A" w14:textId="77777777" w:rsidR="00C555D5" w:rsidRDefault="00C5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7F45" w14:textId="77777777" w:rsidR="005A59EB" w:rsidRPr="00DC4178" w:rsidRDefault="005A59EB" w:rsidP="00DC41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37"/>
    <w:rsid w:val="BBBF8B7C"/>
    <w:rsid w:val="00000278"/>
    <w:rsid w:val="000023AE"/>
    <w:rsid w:val="00003774"/>
    <w:rsid w:val="00003C0A"/>
    <w:rsid w:val="00004EF7"/>
    <w:rsid w:val="0000514B"/>
    <w:rsid w:val="00006FAC"/>
    <w:rsid w:val="0001039D"/>
    <w:rsid w:val="00014869"/>
    <w:rsid w:val="00015113"/>
    <w:rsid w:val="000157B9"/>
    <w:rsid w:val="00021A8C"/>
    <w:rsid w:val="000225EF"/>
    <w:rsid w:val="00025156"/>
    <w:rsid w:val="000252ED"/>
    <w:rsid w:val="0002607A"/>
    <w:rsid w:val="000312DC"/>
    <w:rsid w:val="000316C6"/>
    <w:rsid w:val="0003177B"/>
    <w:rsid w:val="00033761"/>
    <w:rsid w:val="00035BA1"/>
    <w:rsid w:val="00041444"/>
    <w:rsid w:val="00041A36"/>
    <w:rsid w:val="00050150"/>
    <w:rsid w:val="00050C83"/>
    <w:rsid w:val="00054132"/>
    <w:rsid w:val="0005435C"/>
    <w:rsid w:val="00055533"/>
    <w:rsid w:val="00056589"/>
    <w:rsid w:val="00056723"/>
    <w:rsid w:val="000606CC"/>
    <w:rsid w:val="00060B2C"/>
    <w:rsid w:val="00061394"/>
    <w:rsid w:val="0006697B"/>
    <w:rsid w:val="0007085C"/>
    <w:rsid w:val="0007626A"/>
    <w:rsid w:val="00076609"/>
    <w:rsid w:val="000779B9"/>
    <w:rsid w:val="00086CBE"/>
    <w:rsid w:val="000911CF"/>
    <w:rsid w:val="00092C0A"/>
    <w:rsid w:val="00096E47"/>
    <w:rsid w:val="000A1747"/>
    <w:rsid w:val="000A5149"/>
    <w:rsid w:val="000A51D1"/>
    <w:rsid w:val="000A7C45"/>
    <w:rsid w:val="000B4146"/>
    <w:rsid w:val="000B418C"/>
    <w:rsid w:val="000B4800"/>
    <w:rsid w:val="000B6554"/>
    <w:rsid w:val="000C2541"/>
    <w:rsid w:val="000C3C87"/>
    <w:rsid w:val="000C50D4"/>
    <w:rsid w:val="000C5B99"/>
    <w:rsid w:val="000C6D4F"/>
    <w:rsid w:val="000C7A06"/>
    <w:rsid w:val="000D0983"/>
    <w:rsid w:val="000D2959"/>
    <w:rsid w:val="000D57C3"/>
    <w:rsid w:val="000E217F"/>
    <w:rsid w:val="000E382B"/>
    <w:rsid w:val="000E709E"/>
    <w:rsid w:val="000E7A39"/>
    <w:rsid w:val="000E7F7C"/>
    <w:rsid w:val="000F056D"/>
    <w:rsid w:val="000F2BBA"/>
    <w:rsid w:val="000F3670"/>
    <w:rsid w:val="000F470A"/>
    <w:rsid w:val="000F584B"/>
    <w:rsid w:val="000F59B7"/>
    <w:rsid w:val="000F5B35"/>
    <w:rsid w:val="000F6428"/>
    <w:rsid w:val="000F7395"/>
    <w:rsid w:val="00100E7B"/>
    <w:rsid w:val="00101FD7"/>
    <w:rsid w:val="00102B86"/>
    <w:rsid w:val="0010640A"/>
    <w:rsid w:val="00107D98"/>
    <w:rsid w:val="00111246"/>
    <w:rsid w:val="00113DB5"/>
    <w:rsid w:val="00114D87"/>
    <w:rsid w:val="001251AB"/>
    <w:rsid w:val="001255A0"/>
    <w:rsid w:val="00125CD9"/>
    <w:rsid w:val="00133387"/>
    <w:rsid w:val="001339E2"/>
    <w:rsid w:val="00137893"/>
    <w:rsid w:val="00142FB6"/>
    <w:rsid w:val="001447CC"/>
    <w:rsid w:val="00144E0D"/>
    <w:rsid w:val="00144ED9"/>
    <w:rsid w:val="001453B0"/>
    <w:rsid w:val="00151E0A"/>
    <w:rsid w:val="00153C43"/>
    <w:rsid w:val="00154886"/>
    <w:rsid w:val="00155FF6"/>
    <w:rsid w:val="001560C3"/>
    <w:rsid w:val="001570E9"/>
    <w:rsid w:val="0015721D"/>
    <w:rsid w:val="0016163E"/>
    <w:rsid w:val="0016333F"/>
    <w:rsid w:val="00163D5C"/>
    <w:rsid w:val="00165539"/>
    <w:rsid w:val="00167683"/>
    <w:rsid w:val="001715A3"/>
    <w:rsid w:val="00172D0F"/>
    <w:rsid w:val="00176ACF"/>
    <w:rsid w:val="001824AD"/>
    <w:rsid w:val="00190EE0"/>
    <w:rsid w:val="00191520"/>
    <w:rsid w:val="00192575"/>
    <w:rsid w:val="00192E5D"/>
    <w:rsid w:val="00193E6C"/>
    <w:rsid w:val="00194CF9"/>
    <w:rsid w:val="00197509"/>
    <w:rsid w:val="001A021D"/>
    <w:rsid w:val="001A5784"/>
    <w:rsid w:val="001B188A"/>
    <w:rsid w:val="001B369E"/>
    <w:rsid w:val="001B4921"/>
    <w:rsid w:val="001B5A11"/>
    <w:rsid w:val="001B7E67"/>
    <w:rsid w:val="001C20AC"/>
    <w:rsid w:val="001C60E6"/>
    <w:rsid w:val="001C6F37"/>
    <w:rsid w:val="001D08A9"/>
    <w:rsid w:val="001D6957"/>
    <w:rsid w:val="001D6AC9"/>
    <w:rsid w:val="001E2E9E"/>
    <w:rsid w:val="001E3EF4"/>
    <w:rsid w:val="002040FF"/>
    <w:rsid w:val="002072AF"/>
    <w:rsid w:val="00207481"/>
    <w:rsid w:val="0021469C"/>
    <w:rsid w:val="002171B2"/>
    <w:rsid w:val="00220E5F"/>
    <w:rsid w:val="002227DD"/>
    <w:rsid w:val="00227663"/>
    <w:rsid w:val="00230395"/>
    <w:rsid w:val="00231D2B"/>
    <w:rsid w:val="0023219B"/>
    <w:rsid w:val="00232A90"/>
    <w:rsid w:val="00233FD4"/>
    <w:rsid w:val="00235846"/>
    <w:rsid w:val="00245E26"/>
    <w:rsid w:val="00246274"/>
    <w:rsid w:val="0024665F"/>
    <w:rsid w:val="002471FF"/>
    <w:rsid w:val="002535A7"/>
    <w:rsid w:val="0025525D"/>
    <w:rsid w:val="00255CFE"/>
    <w:rsid w:val="002566D1"/>
    <w:rsid w:val="002567D7"/>
    <w:rsid w:val="002569AF"/>
    <w:rsid w:val="0026187B"/>
    <w:rsid w:val="0026413F"/>
    <w:rsid w:val="002648F4"/>
    <w:rsid w:val="002656CE"/>
    <w:rsid w:val="002746D4"/>
    <w:rsid w:val="002806A7"/>
    <w:rsid w:val="002816BD"/>
    <w:rsid w:val="0028235D"/>
    <w:rsid w:val="00283C1D"/>
    <w:rsid w:val="002848F0"/>
    <w:rsid w:val="00285360"/>
    <w:rsid w:val="00290F1B"/>
    <w:rsid w:val="002921B8"/>
    <w:rsid w:val="00293258"/>
    <w:rsid w:val="00294B1E"/>
    <w:rsid w:val="00297005"/>
    <w:rsid w:val="0029701F"/>
    <w:rsid w:val="00297783"/>
    <w:rsid w:val="00297B26"/>
    <w:rsid w:val="002A09DB"/>
    <w:rsid w:val="002A56F9"/>
    <w:rsid w:val="002A7A46"/>
    <w:rsid w:val="002A7F32"/>
    <w:rsid w:val="002B0FBA"/>
    <w:rsid w:val="002B5627"/>
    <w:rsid w:val="002C1A29"/>
    <w:rsid w:val="002C1D5F"/>
    <w:rsid w:val="002C7CF0"/>
    <w:rsid w:val="002D2B12"/>
    <w:rsid w:val="002D2D7A"/>
    <w:rsid w:val="002D3745"/>
    <w:rsid w:val="002D5AD1"/>
    <w:rsid w:val="002D630D"/>
    <w:rsid w:val="002D6836"/>
    <w:rsid w:val="002E3F71"/>
    <w:rsid w:val="002F2893"/>
    <w:rsid w:val="002F34D3"/>
    <w:rsid w:val="002F3905"/>
    <w:rsid w:val="002F43F0"/>
    <w:rsid w:val="002F5E00"/>
    <w:rsid w:val="00300910"/>
    <w:rsid w:val="00300E6C"/>
    <w:rsid w:val="00301104"/>
    <w:rsid w:val="003028E4"/>
    <w:rsid w:val="00303A02"/>
    <w:rsid w:val="00307B02"/>
    <w:rsid w:val="00310A03"/>
    <w:rsid w:val="00311688"/>
    <w:rsid w:val="00313524"/>
    <w:rsid w:val="003137C6"/>
    <w:rsid w:val="00315765"/>
    <w:rsid w:val="00320701"/>
    <w:rsid w:val="003247CF"/>
    <w:rsid w:val="0033030F"/>
    <w:rsid w:val="003335B0"/>
    <w:rsid w:val="003358D5"/>
    <w:rsid w:val="003378E2"/>
    <w:rsid w:val="00337B54"/>
    <w:rsid w:val="00337C7B"/>
    <w:rsid w:val="003430A3"/>
    <w:rsid w:val="00344D8A"/>
    <w:rsid w:val="00344EE3"/>
    <w:rsid w:val="00351C42"/>
    <w:rsid w:val="0035310F"/>
    <w:rsid w:val="00357F6E"/>
    <w:rsid w:val="00360AE0"/>
    <w:rsid w:val="00362BB8"/>
    <w:rsid w:val="00362DB6"/>
    <w:rsid w:val="00364096"/>
    <w:rsid w:val="0036475C"/>
    <w:rsid w:val="00365209"/>
    <w:rsid w:val="00365ADB"/>
    <w:rsid w:val="00370B6F"/>
    <w:rsid w:val="00372487"/>
    <w:rsid w:val="00372BC7"/>
    <w:rsid w:val="00373045"/>
    <w:rsid w:val="00373DCF"/>
    <w:rsid w:val="00374250"/>
    <w:rsid w:val="00375394"/>
    <w:rsid w:val="00375FC2"/>
    <w:rsid w:val="00376D98"/>
    <w:rsid w:val="0037773C"/>
    <w:rsid w:val="00390255"/>
    <w:rsid w:val="00394829"/>
    <w:rsid w:val="0039681B"/>
    <w:rsid w:val="003A3CB4"/>
    <w:rsid w:val="003A6622"/>
    <w:rsid w:val="003A693C"/>
    <w:rsid w:val="003A7FF1"/>
    <w:rsid w:val="003B0778"/>
    <w:rsid w:val="003B5CF9"/>
    <w:rsid w:val="003B79D3"/>
    <w:rsid w:val="003C0283"/>
    <w:rsid w:val="003C2123"/>
    <w:rsid w:val="003C4160"/>
    <w:rsid w:val="003C4508"/>
    <w:rsid w:val="003C55CC"/>
    <w:rsid w:val="003C7BE1"/>
    <w:rsid w:val="003C7EC3"/>
    <w:rsid w:val="003D1958"/>
    <w:rsid w:val="003D2F08"/>
    <w:rsid w:val="003E0ED1"/>
    <w:rsid w:val="003E23E6"/>
    <w:rsid w:val="003E411B"/>
    <w:rsid w:val="003E419A"/>
    <w:rsid w:val="003E5D0C"/>
    <w:rsid w:val="003E5ECD"/>
    <w:rsid w:val="003E5F44"/>
    <w:rsid w:val="003F2FFC"/>
    <w:rsid w:val="003F3285"/>
    <w:rsid w:val="003F4A8F"/>
    <w:rsid w:val="003F5C8A"/>
    <w:rsid w:val="003F6B05"/>
    <w:rsid w:val="0040390E"/>
    <w:rsid w:val="00405B88"/>
    <w:rsid w:val="00405ECB"/>
    <w:rsid w:val="004102AF"/>
    <w:rsid w:val="0041091C"/>
    <w:rsid w:val="00410DA2"/>
    <w:rsid w:val="00411AC9"/>
    <w:rsid w:val="00412045"/>
    <w:rsid w:val="00413421"/>
    <w:rsid w:val="00413440"/>
    <w:rsid w:val="00413D09"/>
    <w:rsid w:val="004142F9"/>
    <w:rsid w:val="00417E0F"/>
    <w:rsid w:val="00422E14"/>
    <w:rsid w:val="00426195"/>
    <w:rsid w:val="00426968"/>
    <w:rsid w:val="00430E5A"/>
    <w:rsid w:val="004316B0"/>
    <w:rsid w:val="00435470"/>
    <w:rsid w:val="00440CA7"/>
    <w:rsid w:val="00441E74"/>
    <w:rsid w:val="00443BF6"/>
    <w:rsid w:val="004442B0"/>
    <w:rsid w:val="00444FC0"/>
    <w:rsid w:val="004470A5"/>
    <w:rsid w:val="0045071C"/>
    <w:rsid w:val="00452E9C"/>
    <w:rsid w:val="0045306D"/>
    <w:rsid w:val="004534B6"/>
    <w:rsid w:val="00456F88"/>
    <w:rsid w:val="00461F8B"/>
    <w:rsid w:val="004635DC"/>
    <w:rsid w:val="004647FB"/>
    <w:rsid w:val="00475CB7"/>
    <w:rsid w:val="0048125B"/>
    <w:rsid w:val="004818BE"/>
    <w:rsid w:val="004821BD"/>
    <w:rsid w:val="00482A4D"/>
    <w:rsid w:val="00485A51"/>
    <w:rsid w:val="004860A3"/>
    <w:rsid w:val="004864B9"/>
    <w:rsid w:val="00487B5C"/>
    <w:rsid w:val="00492239"/>
    <w:rsid w:val="0049295F"/>
    <w:rsid w:val="00492D57"/>
    <w:rsid w:val="004931D9"/>
    <w:rsid w:val="00493C25"/>
    <w:rsid w:val="00497633"/>
    <w:rsid w:val="004A3AF9"/>
    <w:rsid w:val="004B3985"/>
    <w:rsid w:val="004B4372"/>
    <w:rsid w:val="004B43AB"/>
    <w:rsid w:val="004B67DD"/>
    <w:rsid w:val="004B7A6B"/>
    <w:rsid w:val="004B7D1A"/>
    <w:rsid w:val="004C0ACE"/>
    <w:rsid w:val="004C6002"/>
    <w:rsid w:val="004C7798"/>
    <w:rsid w:val="004D26BB"/>
    <w:rsid w:val="004D47C3"/>
    <w:rsid w:val="004E03E7"/>
    <w:rsid w:val="004E2431"/>
    <w:rsid w:val="004E3B40"/>
    <w:rsid w:val="004E4F56"/>
    <w:rsid w:val="004F0103"/>
    <w:rsid w:val="004F08B9"/>
    <w:rsid w:val="004F3BA6"/>
    <w:rsid w:val="004F666C"/>
    <w:rsid w:val="004F79CD"/>
    <w:rsid w:val="00500353"/>
    <w:rsid w:val="005006E1"/>
    <w:rsid w:val="00502E16"/>
    <w:rsid w:val="00506C9C"/>
    <w:rsid w:val="00507E7B"/>
    <w:rsid w:val="00510633"/>
    <w:rsid w:val="00511D6E"/>
    <w:rsid w:val="00512E15"/>
    <w:rsid w:val="005206CA"/>
    <w:rsid w:val="00521933"/>
    <w:rsid w:val="005222FF"/>
    <w:rsid w:val="00523750"/>
    <w:rsid w:val="005241A8"/>
    <w:rsid w:val="00526074"/>
    <w:rsid w:val="00530C0F"/>
    <w:rsid w:val="00533A62"/>
    <w:rsid w:val="0053613D"/>
    <w:rsid w:val="00536636"/>
    <w:rsid w:val="005372C3"/>
    <w:rsid w:val="00537FF1"/>
    <w:rsid w:val="00540CD7"/>
    <w:rsid w:val="0054280C"/>
    <w:rsid w:val="00543E95"/>
    <w:rsid w:val="0054426C"/>
    <w:rsid w:val="00544929"/>
    <w:rsid w:val="005450F6"/>
    <w:rsid w:val="005456FC"/>
    <w:rsid w:val="00546873"/>
    <w:rsid w:val="00550CD8"/>
    <w:rsid w:val="005527EC"/>
    <w:rsid w:val="00553930"/>
    <w:rsid w:val="00554058"/>
    <w:rsid w:val="005559AD"/>
    <w:rsid w:val="00557062"/>
    <w:rsid w:val="00560436"/>
    <w:rsid w:val="005657ED"/>
    <w:rsid w:val="00567310"/>
    <w:rsid w:val="00570649"/>
    <w:rsid w:val="00572C40"/>
    <w:rsid w:val="00574A59"/>
    <w:rsid w:val="00574AF0"/>
    <w:rsid w:val="00577229"/>
    <w:rsid w:val="00577805"/>
    <w:rsid w:val="00577F03"/>
    <w:rsid w:val="00580C4E"/>
    <w:rsid w:val="00581016"/>
    <w:rsid w:val="005829E1"/>
    <w:rsid w:val="005840BC"/>
    <w:rsid w:val="005859A7"/>
    <w:rsid w:val="00585A0B"/>
    <w:rsid w:val="00585E27"/>
    <w:rsid w:val="00586C36"/>
    <w:rsid w:val="00586FE0"/>
    <w:rsid w:val="00587A96"/>
    <w:rsid w:val="00592C4C"/>
    <w:rsid w:val="00596A76"/>
    <w:rsid w:val="00597FCF"/>
    <w:rsid w:val="005A18DB"/>
    <w:rsid w:val="005A36A9"/>
    <w:rsid w:val="005A416B"/>
    <w:rsid w:val="005A59EB"/>
    <w:rsid w:val="005B1395"/>
    <w:rsid w:val="005B6480"/>
    <w:rsid w:val="005C2D50"/>
    <w:rsid w:val="005C2EF0"/>
    <w:rsid w:val="005C566E"/>
    <w:rsid w:val="005C59CA"/>
    <w:rsid w:val="005C6A96"/>
    <w:rsid w:val="005C76E4"/>
    <w:rsid w:val="005C7DAA"/>
    <w:rsid w:val="005D248D"/>
    <w:rsid w:val="005D2EF4"/>
    <w:rsid w:val="005D6BE8"/>
    <w:rsid w:val="005D7BA3"/>
    <w:rsid w:val="005E0749"/>
    <w:rsid w:val="005E4438"/>
    <w:rsid w:val="005E6AD7"/>
    <w:rsid w:val="005F1294"/>
    <w:rsid w:val="005F22F0"/>
    <w:rsid w:val="005F3183"/>
    <w:rsid w:val="005F5B1A"/>
    <w:rsid w:val="005F6C71"/>
    <w:rsid w:val="005F7086"/>
    <w:rsid w:val="006055AE"/>
    <w:rsid w:val="00607086"/>
    <w:rsid w:val="00612B69"/>
    <w:rsid w:val="00614FC5"/>
    <w:rsid w:val="00616E4D"/>
    <w:rsid w:val="00617B32"/>
    <w:rsid w:val="0062426D"/>
    <w:rsid w:val="00624E7C"/>
    <w:rsid w:val="00636CD9"/>
    <w:rsid w:val="00637CA5"/>
    <w:rsid w:val="00641F0D"/>
    <w:rsid w:val="0064413F"/>
    <w:rsid w:val="006464A1"/>
    <w:rsid w:val="006464A9"/>
    <w:rsid w:val="006542F6"/>
    <w:rsid w:val="00654F00"/>
    <w:rsid w:val="006562A7"/>
    <w:rsid w:val="006618E7"/>
    <w:rsid w:val="006638F9"/>
    <w:rsid w:val="0066401D"/>
    <w:rsid w:val="00664029"/>
    <w:rsid w:val="00666B5C"/>
    <w:rsid w:val="00671AD5"/>
    <w:rsid w:val="00672075"/>
    <w:rsid w:val="00674F47"/>
    <w:rsid w:val="00675373"/>
    <w:rsid w:val="00676C29"/>
    <w:rsid w:val="00676CB1"/>
    <w:rsid w:val="00682207"/>
    <w:rsid w:val="00682FA6"/>
    <w:rsid w:val="00685D18"/>
    <w:rsid w:val="00690844"/>
    <w:rsid w:val="00691522"/>
    <w:rsid w:val="006A525E"/>
    <w:rsid w:val="006A5520"/>
    <w:rsid w:val="006A5F64"/>
    <w:rsid w:val="006A6922"/>
    <w:rsid w:val="006A72C3"/>
    <w:rsid w:val="006B02DA"/>
    <w:rsid w:val="006B26B9"/>
    <w:rsid w:val="006B515B"/>
    <w:rsid w:val="006B5A95"/>
    <w:rsid w:val="006B5DC4"/>
    <w:rsid w:val="006B6052"/>
    <w:rsid w:val="006B7CA7"/>
    <w:rsid w:val="006C011A"/>
    <w:rsid w:val="006C09B1"/>
    <w:rsid w:val="006C1FE7"/>
    <w:rsid w:val="006C75C7"/>
    <w:rsid w:val="006D17C5"/>
    <w:rsid w:val="006D1C67"/>
    <w:rsid w:val="006D47F2"/>
    <w:rsid w:val="006D6FE5"/>
    <w:rsid w:val="006E0560"/>
    <w:rsid w:val="006E22E5"/>
    <w:rsid w:val="006E7A41"/>
    <w:rsid w:val="006F1832"/>
    <w:rsid w:val="006F29C3"/>
    <w:rsid w:val="007001EF"/>
    <w:rsid w:val="007050E4"/>
    <w:rsid w:val="00711962"/>
    <w:rsid w:val="00712E31"/>
    <w:rsid w:val="00713C25"/>
    <w:rsid w:val="00714496"/>
    <w:rsid w:val="0072064D"/>
    <w:rsid w:val="00722451"/>
    <w:rsid w:val="00722B74"/>
    <w:rsid w:val="00722BCF"/>
    <w:rsid w:val="00723C43"/>
    <w:rsid w:val="00723E5D"/>
    <w:rsid w:val="00724A58"/>
    <w:rsid w:val="007253B2"/>
    <w:rsid w:val="00731E90"/>
    <w:rsid w:val="00732599"/>
    <w:rsid w:val="00732BD4"/>
    <w:rsid w:val="00733B77"/>
    <w:rsid w:val="00734C16"/>
    <w:rsid w:val="00735DEB"/>
    <w:rsid w:val="007544B3"/>
    <w:rsid w:val="007577E7"/>
    <w:rsid w:val="0076148E"/>
    <w:rsid w:val="00763FE9"/>
    <w:rsid w:val="00766B4F"/>
    <w:rsid w:val="00770CF6"/>
    <w:rsid w:val="007727DA"/>
    <w:rsid w:val="00773F70"/>
    <w:rsid w:val="007754C1"/>
    <w:rsid w:val="00775FD5"/>
    <w:rsid w:val="00780D2E"/>
    <w:rsid w:val="00781FD6"/>
    <w:rsid w:val="007848F3"/>
    <w:rsid w:val="00785A73"/>
    <w:rsid w:val="00786F33"/>
    <w:rsid w:val="0079155C"/>
    <w:rsid w:val="007A4837"/>
    <w:rsid w:val="007B115C"/>
    <w:rsid w:val="007B2CE0"/>
    <w:rsid w:val="007B35A6"/>
    <w:rsid w:val="007B595F"/>
    <w:rsid w:val="007C0E1F"/>
    <w:rsid w:val="007C3DF3"/>
    <w:rsid w:val="007C42FB"/>
    <w:rsid w:val="007C6A66"/>
    <w:rsid w:val="007D1362"/>
    <w:rsid w:val="007D3B4B"/>
    <w:rsid w:val="007D3C05"/>
    <w:rsid w:val="007D4734"/>
    <w:rsid w:val="007D5F5C"/>
    <w:rsid w:val="007D63DF"/>
    <w:rsid w:val="007E0E39"/>
    <w:rsid w:val="007E7C47"/>
    <w:rsid w:val="007F069A"/>
    <w:rsid w:val="007F4F2A"/>
    <w:rsid w:val="007F7A8C"/>
    <w:rsid w:val="007F7B78"/>
    <w:rsid w:val="00801885"/>
    <w:rsid w:val="008029E0"/>
    <w:rsid w:val="008041E9"/>
    <w:rsid w:val="00804CAE"/>
    <w:rsid w:val="00804D62"/>
    <w:rsid w:val="00806348"/>
    <w:rsid w:val="008102DF"/>
    <w:rsid w:val="00811029"/>
    <w:rsid w:val="008112DA"/>
    <w:rsid w:val="00813707"/>
    <w:rsid w:val="00815BD3"/>
    <w:rsid w:val="00821350"/>
    <w:rsid w:val="00826B11"/>
    <w:rsid w:val="00830013"/>
    <w:rsid w:val="00837BCC"/>
    <w:rsid w:val="00837F96"/>
    <w:rsid w:val="00846716"/>
    <w:rsid w:val="00846CDC"/>
    <w:rsid w:val="00853663"/>
    <w:rsid w:val="00855B84"/>
    <w:rsid w:val="00855BB0"/>
    <w:rsid w:val="00856AB0"/>
    <w:rsid w:val="0085728B"/>
    <w:rsid w:val="00860C8C"/>
    <w:rsid w:val="0086266B"/>
    <w:rsid w:val="00863C99"/>
    <w:rsid w:val="00870FC4"/>
    <w:rsid w:val="00873336"/>
    <w:rsid w:val="00874925"/>
    <w:rsid w:val="008749AD"/>
    <w:rsid w:val="00875764"/>
    <w:rsid w:val="00877328"/>
    <w:rsid w:val="008774F7"/>
    <w:rsid w:val="00880C82"/>
    <w:rsid w:val="00882DFE"/>
    <w:rsid w:val="008842AE"/>
    <w:rsid w:val="008869C7"/>
    <w:rsid w:val="008901D4"/>
    <w:rsid w:val="008903A4"/>
    <w:rsid w:val="00895618"/>
    <w:rsid w:val="00895989"/>
    <w:rsid w:val="00896CCA"/>
    <w:rsid w:val="00897E43"/>
    <w:rsid w:val="008A3E70"/>
    <w:rsid w:val="008A5A98"/>
    <w:rsid w:val="008A5E60"/>
    <w:rsid w:val="008B243A"/>
    <w:rsid w:val="008B2A7D"/>
    <w:rsid w:val="008B385E"/>
    <w:rsid w:val="008B58DB"/>
    <w:rsid w:val="008B6F0F"/>
    <w:rsid w:val="008C6750"/>
    <w:rsid w:val="008D3135"/>
    <w:rsid w:val="008D3168"/>
    <w:rsid w:val="008D390B"/>
    <w:rsid w:val="008E38F0"/>
    <w:rsid w:val="008E4D63"/>
    <w:rsid w:val="008E5680"/>
    <w:rsid w:val="008E5797"/>
    <w:rsid w:val="008E5B68"/>
    <w:rsid w:val="008F107B"/>
    <w:rsid w:val="008F2D03"/>
    <w:rsid w:val="00904DC8"/>
    <w:rsid w:val="009069C5"/>
    <w:rsid w:val="00914F1F"/>
    <w:rsid w:val="009161A0"/>
    <w:rsid w:val="00916448"/>
    <w:rsid w:val="00917BF0"/>
    <w:rsid w:val="009222F0"/>
    <w:rsid w:val="0092362A"/>
    <w:rsid w:val="00925821"/>
    <w:rsid w:val="00931044"/>
    <w:rsid w:val="00932CB1"/>
    <w:rsid w:val="00937261"/>
    <w:rsid w:val="00937732"/>
    <w:rsid w:val="00937E8F"/>
    <w:rsid w:val="00941DE0"/>
    <w:rsid w:val="00942884"/>
    <w:rsid w:val="0094346F"/>
    <w:rsid w:val="009439D2"/>
    <w:rsid w:val="009440BC"/>
    <w:rsid w:val="00946245"/>
    <w:rsid w:val="00947703"/>
    <w:rsid w:val="00954DFE"/>
    <w:rsid w:val="00957882"/>
    <w:rsid w:val="00960063"/>
    <w:rsid w:val="009605B8"/>
    <w:rsid w:val="00960A15"/>
    <w:rsid w:val="00964206"/>
    <w:rsid w:val="00964277"/>
    <w:rsid w:val="00967AE7"/>
    <w:rsid w:val="00971A42"/>
    <w:rsid w:val="00972F56"/>
    <w:rsid w:val="00974063"/>
    <w:rsid w:val="009741E3"/>
    <w:rsid w:val="00977A27"/>
    <w:rsid w:val="009804BD"/>
    <w:rsid w:val="00983593"/>
    <w:rsid w:val="00986115"/>
    <w:rsid w:val="00994EC8"/>
    <w:rsid w:val="0099640D"/>
    <w:rsid w:val="009970C3"/>
    <w:rsid w:val="00997381"/>
    <w:rsid w:val="009A325A"/>
    <w:rsid w:val="009A399D"/>
    <w:rsid w:val="009A4ADA"/>
    <w:rsid w:val="009A5ED7"/>
    <w:rsid w:val="009B0678"/>
    <w:rsid w:val="009C1E40"/>
    <w:rsid w:val="009C2963"/>
    <w:rsid w:val="009C2B87"/>
    <w:rsid w:val="009C4417"/>
    <w:rsid w:val="009C4AA2"/>
    <w:rsid w:val="009D0380"/>
    <w:rsid w:val="009D04B2"/>
    <w:rsid w:val="009D31E1"/>
    <w:rsid w:val="009D3757"/>
    <w:rsid w:val="009D4E13"/>
    <w:rsid w:val="009D6E19"/>
    <w:rsid w:val="009E3866"/>
    <w:rsid w:val="009E4342"/>
    <w:rsid w:val="009E4E9F"/>
    <w:rsid w:val="009E6386"/>
    <w:rsid w:val="009E778A"/>
    <w:rsid w:val="009F178B"/>
    <w:rsid w:val="009F4812"/>
    <w:rsid w:val="009F56E8"/>
    <w:rsid w:val="00A00632"/>
    <w:rsid w:val="00A0275D"/>
    <w:rsid w:val="00A02EF4"/>
    <w:rsid w:val="00A03933"/>
    <w:rsid w:val="00A04ADC"/>
    <w:rsid w:val="00A11CA6"/>
    <w:rsid w:val="00A125BA"/>
    <w:rsid w:val="00A17008"/>
    <w:rsid w:val="00A207EF"/>
    <w:rsid w:val="00A2333C"/>
    <w:rsid w:val="00A26480"/>
    <w:rsid w:val="00A26535"/>
    <w:rsid w:val="00A266F2"/>
    <w:rsid w:val="00A316FE"/>
    <w:rsid w:val="00A35FE0"/>
    <w:rsid w:val="00A36178"/>
    <w:rsid w:val="00A36291"/>
    <w:rsid w:val="00A4008D"/>
    <w:rsid w:val="00A40107"/>
    <w:rsid w:val="00A42DCC"/>
    <w:rsid w:val="00A4419B"/>
    <w:rsid w:val="00A45A6D"/>
    <w:rsid w:val="00A46718"/>
    <w:rsid w:val="00A47F0B"/>
    <w:rsid w:val="00A50F5E"/>
    <w:rsid w:val="00A52E9F"/>
    <w:rsid w:val="00A53132"/>
    <w:rsid w:val="00A55BC5"/>
    <w:rsid w:val="00A6036F"/>
    <w:rsid w:val="00A64713"/>
    <w:rsid w:val="00A6549B"/>
    <w:rsid w:val="00A65640"/>
    <w:rsid w:val="00A6691B"/>
    <w:rsid w:val="00A7043A"/>
    <w:rsid w:val="00A71C49"/>
    <w:rsid w:val="00A724E5"/>
    <w:rsid w:val="00A73249"/>
    <w:rsid w:val="00A7358C"/>
    <w:rsid w:val="00A73C6A"/>
    <w:rsid w:val="00A74AFD"/>
    <w:rsid w:val="00A75960"/>
    <w:rsid w:val="00A7784C"/>
    <w:rsid w:val="00A80C1C"/>
    <w:rsid w:val="00A81EF2"/>
    <w:rsid w:val="00A871CF"/>
    <w:rsid w:val="00A875BA"/>
    <w:rsid w:val="00A91E99"/>
    <w:rsid w:val="00A933E2"/>
    <w:rsid w:val="00A95E1F"/>
    <w:rsid w:val="00A96BEB"/>
    <w:rsid w:val="00A972A9"/>
    <w:rsid w:val="00AA3F7B"/>
    <w:rsid w:val="00AA4DD9"/>
    <w:rsid w:val="00AA67C8"/>
    <w:rsid w:val="00AA77BA"/>
    <w:rsid w:val="00AB37D0"/>
    <w:rsid w:val="00AB404C"/>
    <w:rsid w:val="00AB4B78"/>
    <w:rsid w:val="00AB516B"/>
    <w:rsid w:val="00AB56A3"/>
    <w:rsid w:val="00AC333F"/>
    <w:rsid w:val="00AC5376"/>
    <w:rsid w:val="00AC5558"/>
    <w:rsid w:val="00AC7182"/>
    <w:rsid w:val="00AC7833"/>
    <w:rsid w:val="00AD0619"/>
    <w:rsid w:val="00AD22B3"/>
    <w:rsid w:val="00AD6731"/>
    <w:rsid w:val="00AD68CF"/>
    <w:rsid w:val="00AE2ED0"/>
    <w:rsid w:val="00AE36DB"/>
    <w:rsid w:val="00AE3EF0"/>
    <w:rsid w:val="00AF0FBB"/>
    <w:rsid w:val="00AF2CE7"/>
    <w:rsid w:val="00B00033"/>
    <w:rsid w:val="00B001CA"/>
    <w:rsid w:val="00B02091"/>
    <w:rsid w:val="00B1123F"/>
    <w:rsid w:val="00B172E8"/>
    <w:rsid w:val="00B17D8E"/>
    <w:rsid w:val="00B227D1"/>
    <w:rsid w:val="00B22837"/>
    <w:rsid w:val="00B2327D"/>
    <w:rsid w:val="00B26A5D"/>
    <w:rsid w:val="00B31BD8"/>
    <w:rsid w:val="00B33E22"/>
    <w:rsid w:val="00B3439D"/>
    <w:rsid w:val="00B3487E"/>
    <w:rsid w:val="00B36C91"/>
    <w:rsid w:val="00B40079"/>
    <w:rsid w:val="00B41C5C"/>
    <w:rsid w:val="00B43C2D"/>
    <w:rsid w:val="00B43E15"/>
    <w:rsid w:val="00B44F2B"/>
    <w:rsid w:val="00B46969"/>
    <w:rsid w:val="00B476AC"/>
    <w:rsid w:val="00B51B2E"/>
    <w:rsid w:val="00B51C39"/>
    <w:rsid w:val="00B5272B"/>
    <w:rsid w:val="00B543B7"/>
    <w:rsid w:val="00B55DDE"/>
    <w:rsid w:val="00B55FE3"/>
    <w:rsid w:val="00B574C2"/>
    <w:rsid w:val="00B63724"/>
    <w:rsid w:val="00B65443"/>
    <w:rsid w:val="00B67790"/>
    <w:rsid w:val="00B73021"/>
    <w:rsid w:val="00B73858"/>
    <w:rsid w:val="00B8039A"/>
    <w:rsid w:val="00B80BA8"/>
    <w:rsid w:val="00B843B2"/>
    <w:rsid w:val="00B854D6"/>
    <w:rsid w:val="00B87054"/>
    <w:rsid w:val="00B872CB"/>
    <w:rsid w:val="00B91C33"/>
    <w:rsid w:val="00B9252D"/>
    <w:rsid w:val="00B92D3D"/>
    <w:rsid w:val="00B932E3"/>
    <w:rsid w:val="00B942A2"/>
    <w:rsid w:val="00BA361B"/>
    <w:rsid w:val="00BA4254"/>
    <w:rsid w:val="00BB120A"/>
    <w:rsid w:val="00BB1253"/>
    <w:rsid w:val="00BB1C31"/>
    <w:rsid w:val="00BB79CA"/>
    <w:rsid w:val="00BC0AA6"/>
    <w:rsid w:val="00BC2B3A"/>
    <w:rsid w:val="00BD2F20"/>
    <w:rsid w:val="00BD30D7"/>
    <w:rsid w:val="00BD546E"/>
    <w:rsid w:val="00BE3B74"/>
    <w:rsid w:val="00BE3C71"/>
    <w:rsid w:val="00BF1D82"/>
    <w:rsid w:val="00BF336E"/>
    <w:rsid w:val="00BF4931"/>
    <w:rsid w:val="00BF6603"/>
    <w:rsid w:val="00C01846"/>
    <w:rsid w:val="00C033FA"/>
    <w:rsid w:val="00C0457C"/>
    <w:rsid w:val="00C11705"/>
    <w:rsid w:val="00C11941"/>
    <w:rsid w:val="00C12132"/>
    <w:rsid w:val="00C159C6"/>
    <w:rsid w:val="00C16CD8"/>
    <w:rsid w:val="00C259B9"/>
    <w:rsid w:val="00C30F99"/>
    <w:rsid w:val="00C31940"/>
    <w:rsid w:val="00C33DA9"/>
    <w:rsid w:val="00C35D2D"/>
    <w:rsid w:val="00C363C9"/>
    <w:rsid w:val="00C3680C"/>
    <w:rsid w:val="00C404C6"/>
    <w:rsid w:val="00C43CE6"/>
    <w:rsid w:val="00C510BD"/>
    <w:rsid w:val="00C52085"/>
    <w:rsid w:val="00C537A6"/>
    <w:rsid w:val="00C5506F"/>
    <w:rsid w:val="00C555D5"/>
    <w:rsid w:val="00C57FD3"/>
    <w:rsid w:val="00C62444"/>
    <w:rsid w:val="00C625E1"/>
    <w:rsid w:val="00C66D4B"/>
    <w:rsid w:val="00C71CC1"/>
    <w:rsid w:val="00C71D54"/>
    <w:rsid w:val="00C752F9"/>
    <w:rsid w:val="00C77376"/>
    <w:rsid w:val="00C80852"/>
    <w:rsid w:val="00C810FB"/>
    <w:rsid w:val="00C81234"/>
    <w:rsid w:val="00C85488"/>
    <w:rsid w:val="00C870C3"/>
    <w:rsid w:val="00C91E8E"/>
    <w:rsid w:val="00C91F84"/>
    <w:rsid w:val="00C94164"/>
    <w:rsid w:val="00CA4263"/>
    <w:rsid w:val="00CA4502"/>
    <w:rsid w:val="00CA77E2"/>
    <w:rsid w:val="00CA7860"/>
    <w:rsid w:val="00CB3963"/>
    <w:rsid w:val="00CC0BA7"/>
    <w:rsid w:val="00CD0637"/>
    <w:rsid w:val="00CD12BB"/>
    <w:rsid w:val="00CD2BC9"/>
    <w:rsid w:val="00CD3F41"/>
    <w:rsid w:val="00CD64D3"/>
    <w:rsid w:val="00CD742B"/>
    <w:rsid w:val="00CD75F7"/>
    <w:rsid w:val="00CE10CC"/>
    <w:rsid w:val="00CE3F81"/>
    <w:rsid w:val="00CF7D2D"/>
    <w:rsid w:val="00D01978"/>
    <w:rsid w:val="00D01A4A"/>
    <w:rsid w:val="00D12A4A"/>
    <w:rsid w:val="00D136C1"/>
    <w:rsid w:val="00D14777"/>
    <w:rsid w:val="00D17985"/>
    <w:rsid w:val="00D23B05"/>
    <w:rsid w:val="00D24097"/>
    <w:rsid w:val="00D24475"/>
    <w:rsid w:val="00D30ABF"/>
    <w:rsid w:val="00D31EAE"/>
    <w:rsid w:val="00D3618E"/>
    <w:rsid w:val="00D404AC"/>
    <w:rsid w:val="00D40894"/>
    <w:rsid w:val="00D40AEC"/>
    <w:rsid w:val="00D417C5"/>
    <w:rsid w:val="00D4266C"/>
    <w:rsid w:val="00D42D90"/>
    <w:rsid w:val="00D47695"/>
    <w:rsid w:val="00D478B8"/>
    <w:rsid w:val="00D47928"/>
    <w:rsid w:val="00D47EC9"/>
    <w:rsid w:val="00D501CE"/>
    <w:rsid w:val="00D574EA"/>
    <w:rsid w:val="00D60C94"/>
    <w:rsid w:val="00D60E57"/>
    <w:rsid w:val="00D63A35"/>
    <w:rsid w:val="00D64F79"/>
    <w:rsid w:val="00D71892"/>
    <w:rsid w:val="00D72A99"/>
    <w:rsid w:val="00D72EC9"/>
    <w:rsid w:val="00D764CD"/>
    <w:rsid w:val="00D77029"/>
    <w:rsid w:val="00D77166"/>
    <w:rsid w:val="00D82B4E"/>
    <w:rsid w:val="00D83000"/>
    <w:rsid w:val="00D84D9B"/>
    <w:rsid w:val="00D852F9"/>
    <w:rsid w:val="00D900F9"/>
    <w:rsid w:val="00D93367"/>
    <w:rsid w:val="00D93F0F"/>
    <w:rsid w:val="00D94A40"/>
    <w:rsid w:val="00DA04BD"/>
    <w:rsid w:val="00DA225F"/>
    <w:rsid w:val="00DA23AD"/>
    <w:rsid w:val="00DB07C9"/>
    <w:rsid w:val="00DB1B02"/>
    <w:rsid w:val="00DB2CC1"/>
    <w:rsid w:val="00DB3FDB"/>
    <w:rsid w:val="00DB4208"/>
    <w:rsid w:val="00DC3D78"/>
    <w:rsid w:val="00DC4178"/>
    <w:rsid w:val="00DC7352"/>
    <w:rsid w:val="00DD30DB"/>
    <w:rsid w:val="00DD34FE"/>
    <w:rsid w:val="00DD6773"/>
    <w:rsid w:val="00DD68A7"/>
    <w:rsid w:val="00DD6F7D"/>
    <w:rsid w:val="00DE0307"/>
    <w:rsid w:val="00DE08C1"/>
    <w:rsid w:val="00DE3AEB"/>
    <w:rsid w:val="00DE577A"/>
    <w:rsid w:val="00DE5C7D"/>
    <w:rsid w:val="00DE5C99"/>
    <w:rsid w:val="00DE5FBD"/>
    <w:rsid w:val="00DE6588"/>
    <w:rsid w:val="00DE763F"/>
    <w:rsid w:val="00DE78DE"/>
    <w:rsid w:val="00DF08F4"/>
    <w:rsid w:val="00DF30EA"/>
    <w:rsid w:val="00DF3F29"/>
    <w:rsid w:val="00DF4BD6"/>
    <w:rsid w:val="00DF5C61"/>
    <w:rsid w:val="00DF736C"/>
    <w:rsid w:val="00E00368"/>
    <w:rsid w:val="00E01182"/>
    <w:rsid w:val="00E111D2"/>
    <w:rsid w:val="00E1190A"/>
    <w:rsid w:val="00E1276F"/>
    <w:rsid w:val="00E17389"/>
    <w:rsid w:val="00E1782E"/>
    <w:rsid w:val="00E17C26"/>
    <w:rsid w:val="00E215D9"/>
    <w:rsid w:val="00E22032"/>
    <w:rsid w:val="00E221E4"/>
    <w:rsid w:val="00E27D78"/>
    <w:rsid w:val="00E30D25"/>
    <w:rsid w:val="00E31281"/>
    <w:rsid w:val="00E34042"/>
    <w:rsid w:val="00E355FF"/>
    <w:rsid w:val="00E367BE"/>
    <w:rsid w:val="00E36D0A"/>
    <w:rsid w:val="00E371C5"/>
    <w:rsid w:val="00E37650"/>
    <w:rsid w:val="00E41CC5"/>
    <w:rsid w:val="00E41F5D"/>
    <w:rsid w:val="00E41F75"/>
    <w:rsid w:val="00E42306"/>
    <w:rsid w:val="00E454E4"/>
    <w:rsid w:val="00E46725"/>
    <w:rsid w:val="00E50A52"/>
    <w:rsid w:val="00E516F4"/>
    <w:rsid w:val="00E544AE"/>
    <w:rsid w:val="00E55CD6"/>
    <w:rsid w:val="00E56926"/>
    <w:rsid w:val="00E5739D"/>
    <w:rsid w:val="00E61FF9"/>
    <w:rsid w:val="00E62094"/>
    <w:rsid w:val="00E63A02"/>
    <w:rsid w:val="00E63D3C"/>
    <w:rsid w:val="00E67028"/>
    <w:rsid w:val="00E7017F"/>
    <w:rsid w:val="00E717C2"/>
    <w:rsid w:val="00E728CB"/>
    <w:rsid w:val="00E72CBD"/>
    <w:rsid w:val="00E731FF"/>
    <w:rsid w:val="00E73FC5"/>
    <w:rsid w:val="00E8067F"/>
    <w:rsid w:val="00E92078"/>
    <w:rsid w:val="00E927B9"/>
    <w:rsid w:val="00EA3814"/>
    <w:rsid w:val="00EA5D2E"/>
    <w:rsid w:val="00EA604F"/>
    <w:rsid w:val="00EA7A31"/>
    <w:rsid w:val="00EB53AB"/>
    <w:rsid w:val="00EB545F"/>
    <w:rsid w:val="00EB661A"/>
    <w:rsid w:val="00EB6CB8"/>
    <w:rsid w:val="00EC1099"/>
    <w:rsid w:val="00EC11F3"/>
    <w:rsid w:val="00EC2C2D"/>
    <w:rsid w:val="00EC2C6A"/>
    <w:rsid w:val="00EC3E84"/>
    <w:rsid w:val="00ED37CE"/>
    <w:rsid w:val="00ED3D2A"/>
    <w:rsid w:val="00ED473D"/>
    <w:rsid w:val="00ED606C"/>
    <w:rsid w:val="00EE7ABE"/>
    <w:rsid w:val="00EE7D65"/>
    <w:rsid w:val="00EF09B1"/>
    <w:rsid w:val="00EF0B6D"/>
    <w:rsid w:val="00EF6566"/>
    <w:rsid w:val="00EF6F56"/>
    <w:rsid w:val="00F0495E"/>
    <w:rsid w:val="00F0556D"/>
    <w:rsid w:val="00F07531"/>
    <w:rsid w:val="00F0797B"/>
    <w:rsid w:val="00F137E1"/>
    <w:rsid w:val="00F139B2"/>
    <w:rsid w:val="00F17A40"/>
    <w:rsid w:val="00F17EEE"/>
    <w:rsid w:val="00F21376"/>
    <w:rsid w:val="00F229DF"/>
    <w:rsid w:val="00F27C6C"/>
    <w:rsid w:val="00F30241"/>
    <w:rsid w:val="00F314B1"/>
    <w:rsid w:val="00F3191C"/>
    <w:rsid w:val="00F347CD"/>
    <w:rsid w:val="00F352EE"/>
    <w:rsid w:val="00F40352"/>
    <w:rsid w:val="00F42477"/>
    <w:rsid w:val="00F46AAC"/>
    <w:rsid w:val="00F47594"/>
    <w:rsid w:val="00F52129"/>
    <w:rsid w:val="00F524A6"/>
    <w:rsid w:val="00F56EFE"/>
    <w:rsid w:val="00F6029B"/>
    <w:rsid w:val="00F6057E"/>
    <w:rsid w:val="00F60BAE"/>
    <w:rsid w:val="00F65DE0"/>
    <w:rsid w:val="00F66853"/>
    <w:rsid w:val="00F74D8A"/>
    <w:rsid w:val="00F82122"/>
    <w:rsid w:val="00F83BC0"/>
    <w:rsid w:val="00F83FE8"/>
    <w:rsid w:val="00F85E64"/>
    <w:rsid w:val="00F90AC8"/>
    <w:rsid w:val="00F96668"/>
    <w:rsid w:val="00F96D1A"/>
    <w:rsid w:val="00FA2AFF"/>
    <w:rsid w:val="00FA3136"/>
    <w:rsid w:val="00FA320C"/>
    <w:rsid w:val="00FA5D73"/>
    <w:rsid w:val="00FA69AE"/>
    <w:rsid w:val="00FA74E8"/>
    <w:rsid w:val="00FB0C13"/>
    <w:rsid w:val="00FB139A"/>
    <w:rsid w:val="00FB20C4"/>
    <w:rsid w:val="00FB34C6"/>
    <w:rsid w:val="00FB4304"/>
    <w:rsid w:val="00FB5678"/>
    <w:rsid w:val="00FB5EA1"/>
    <w:rsid w:val="00FC0DF4"/>
    <w:rsid w:val="00FC2504"/>
    <w:rsid w:val="00FC3735"/>
    <w:rsid w:val="00FC5B5E"/>
    <w:rsid w:val="00FC6D5F"/>
    <w:rsid w:val="00FD4FE1"/>
    <w:rsid w:val="00FD6887"/>
    <w:rsid w:val="00FD7FEB"/>
    <w:rsid w:val="00FE0BE9"/>
    <w:rsid w:val="00FE3EFA"/>
    <w:rsid w:val="00FE6ABE"/>
    <w:rsid w:val="00FE710C"/>
    <w:rsid w:val="00FE7430"/>
    <w:rsid w:val="00FF17ED"/>
    <w:rsid w:val="00FF1A0D"/>
    <w:rsid w:val="00FF1F98"/>
    <w:rsid w:val="02B31247"/>
    <w:rsid w:val="038A3960"/>
    <w:rsid w:val="03BD3D36"/>
    <w:rsid w:val="04620439"/>
    <w:rsid w:val="075B4D74"/>
    <w:rsid w:val="0773452E"/>
    <w:rsid w:val="19C06506"/>
    <w:rsid w:val="19D22333"/>
    <w:rsid w:val="1AF6505B"/>
    <w:rsid w:val="1AFF47DC"/>
    <w:rsid w:val="1B0F030B"/>
    <w:rsid w:val="1D26451D"/>
    <w:rsid w:val="1D8E1E1A"/>
    <w:rsid w:val="20DC70FE"/>
    <w:rsid w:val="26F56CBA"/>
    <w:rsid w:val="27F627B6"/>
    <w:rsid w:val="298330DE"/>
    <w:rsid w:val="31B41A25"/>
    <w:rsid w:val="33CD3272"/>
    <w:rsid w:val="37660F61"/>
    <w:rsid w:val="3C0E6701"/>
    <w:rsid w:val="3F0578E5"/>
    <w:rsid w:val="40803280"/>
    <w:rsid w:val="41261B16"/>
    <w:rsid w:val="41CC190C"/>
    <w:rsid w:val="43655505"/>
    <w:rsid w:val="43D47975"/>
    <w:rsid w:val="44A22F94"/>
    <w:rsid w:val="469F5E53"/>
    <w:rsid w:val="47F5500A"/>
    <w:rsid w:val="4BE4150A"/>
    <w:rsid w:val="4E3275E8"/>
    <w:rsid w:val="500876B4"/>
    <w:rsid w:val="5482480F"/>
    <w:rsid w:val="54F363EA"/>
    <w:rsid w:val="58CF0B89"/>
    <w:rsid w:val="5E693A40"/>
    <w:rsid w:val="5FE1072A"/>
    <w:rsid w:val="628F59C8"/>
    <w:rsid w:val="62FD0D31"/>
    <w:rsid w:val="668B029F"/>
    <w:rsid w:val="6804547D"/>
    <w:rsid w:val="68921DB9"/>
    <w:rsid w:val="69B75D71"/>
    <w:rsid w:val="6B3E43D3"/>
    <w:rsid w:val="6B973A7D"/>
    <w:rsid w:val="6C8E6E94"/>
    <w:rsid w:val="72095D23"/>
    <w:rsid w:val="79B33A11"/>
    <w:rsid w:val="7BFC15CB"/>
    <w:rsid w:val="7D894BA9"/>
    <w:rsid w:val="7ECA3C03"/>
    <w:rsid w:val="7FA272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5DB759-03FC-4362-B3E7-376180C8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260" w:after="260" w:line="415" w:lineRule="auto"/>
      <w:ind w:firstLine="640"/>
      <w:jc w:val="center"/>
      <w:outlineLvl w:val="0"/>
    </w:pPr>
    <w:rPr>
      <w:rFonts w:ascii="彩虹粗仿宋" w:eastAsia="彩虹粗仿宋" w:hAnsi="Arial"/>
      <w:b/>
      <w:sz w:val="32"/>
      <w:szCs w:val="20"/>
    </w:rPr>
  </w:style>
  <w:style w:type="paragraph" w:styleId="2">
    <w:name w:val="heading 2"/>
    <w:basedOn w:val="a"/>
    <w:next w:val="a0"/>
    <w:link w:val="20"/>
    <w:qFormat/>
    <w:pPr>
      <w:adjustRightInd w:val="0"/>
      <w:snapToGrid w:val="0"/>
      <w:spacing w:line="360" w:lineRule="auto"/>
      <w:ind w:firstLineChars="200" w:firstLine="480"/>
      <w:outlineLvl w:val="1"/>
    </w:pPr>
    <w:rPr>
      <w:rFonts w:asciiTheme="minorEastAsia" w:eastAsiaTheme="minorEastAsia" w:hAnsiTheme="minorEastAsia" w:cs="Arial"/>
      <w:sz w:val="24"/>
    </w:rPr>
  </w:style>
  <w:style w:type="paragraph" w:styleId="3">
    <w:name w:val="heading 3"/>
    <w:basedOn w:val="a"/>
    <w:next w:val="a"/>
    <w:link w:val="30"/>
    <w:uiPriority w:val="9"/>
    <w:unhideWhenUsed/>
    <w:qFormat/>
    <w:pPr>
      <w:adjustRightInd w:val="0"/>
      <w:snapToGrid w:val="0"/>
      <w:spacing w:line="360" w:lineRule="auto"/>
      <w:ind w:firstLineChars="200" w:firstLine="200"/>
      <w:outlineLvl w:val="2"/>
    </w:pPr>
    <w:rPr>
      <w:rFonts w:ascii="宋体" w:hAnsi="宋体" w:cs="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uiPriority w:val="39"/>
    <w:qFormat/>
    <w:pPr>
      <w:ind w:leftChars="1200" w:left="2520"/>
    </w:p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qFormat/>
    <w:pPr>
      <w:jc w:val="left"/>
    </w:pPr>
  </w:style>
  <w:style w:type="paragraph" w:styleId="a8">
    <w:name w:val="Body Text"/>
    <w:basedOn w:val="a"/>
    <w:link w:val="a9"/>
    <w:qFormat/>
    <w:pPr>
      <w:spacing w:line="360" w:lineRule="auto"/>
    </w:pPr>
    <w:rPr>
      <w:rFonts w:ascii="仿宋" w:eastAsia="仿宋"/>
      <w:color w:val="000000"/>
      <w:kern w:val="0"/>
      <w:sz w:val="24"/>
      <w:szCs w:val="28"/>
    </w:rPr>
  </w:style>
  <w:style w:type="paragraph" w:styleId="aa">
    <w:name w:val="Body Text Indent"/>
    <w:basedOn w:val="a"/>
    <w:link w:val="ab"/>
    <w:qFormat/>
    <w:pPr>
      <w:adjustRightInd w:val="0"/>
      <w:snapToGrid w:val="0"/>
      <w:spacing w:line="560" w:lineRule="exact"/>
      <w:ind w:firstLineChars="200" w:firstLine="480"/>
    </w:pPr>
    <w:rPr>
      <w:rFonts w:eastAsia="Times New Roman"/>
      <w:sz w:val="24"/>
      <w:szCs w:val="30"/>
    </w:rPr>
  </w:style>
  <w:style w:type="paragraph" w:styleId="5">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8">
    <w:name w:val="toc 8"/>
    <w:basedOn w:val="a"/>
    <w:next w:val="a"/>
    <w:uiPriority w:val="39"/>
    <w:qFormat/>
    <w:pPr>
      <w:ind w:leftChars="1400" w:left="2940"/>
    </w:pPr>
  </w:style>
  <w:style w:type="paragraph" w:styleId="21">
    <w:name w:val="Body Text Indent 2"/>
    <w:basedOn w:val="a"/>
    <w:link w:val="22"/>
    <w:qFormat/>
    <w:pPr>
      <w:spacing w:line="360" w:lineRule="auto"/>
      <w:ind w:firstLine="525"/>
    </w:pPr>
    <w:rPr>
      <w:rFonts w:ascii="宋体" w:hAnsi="宋体"/>
      <w:sz w:val="28"/>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uiPriority w:val="39"/>
    <w:qFormat/>
    <w:pPr>
      <w:ind w:leftChars="600" w:left="1260"/>
    </w:pPr>
  </w:style>
  <w:style w:type="paragraph" w:styleId="6">
    <w:name w:val="toc 6"/>
    <w:basedOn w:val="a"/>
    <w:next w:val="a"/>
    <w:uiPriority w:val="39"/>
    <w:qFormat/>
    <w:pPr>
      <w:ind w:leftChars="1000" w:left="2100"/>
    </w:pPr>
  </w:style>
  <w:style w:type="paragraph" w:styleId="32">
    <w:name w:val="Body Text Indent 3"/>
    <w:basedOn w:val="a"/>
    <w:link w:val="33"/>
    <w:qFormat/>
    <w:pPr>
      <w:adjustRightInd w:val="0"/>
      <w:snapToGrid w:val="0"/>
      <w:ind w:firstLineChars="200" w:firstLine="480"/>
    </w:pPr>
    <w:rPr>
      <w:rFonts w:ascii="仿宋" w:eastAsia="仿宋" w:hAnsi="宋体" w:cs="Arial"/>
      <w:color w:val="000000"/>
      <w:sz w:val="24"/>
    </w:rPr>
  </w:style>
  <w:style w:type="paragraph" w:styleId="23">
    <w:name w:val="toc 2"/>
    <w:basedOn w:val="a"/>
    <w:next w:val="a"/>
    <w:uiPriority w:val="39"/>
    <w:qFormat/>
    <w:pPr>
      <w:ind w:leftChars="200" w:left="420"/>
    </w:pPr>
  </w:style>
  <w:style w:type="paragraph" w:styleId="9">
    <w:name w:val="toc 9"/>
    <w:basedOn w:val="a"/>
    <w:next w:val="a"/>
    <w:uiPriority w:val="39"/>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3">
    <w:name w:val="annotation subject"/>
    <w:basedOn w:val="a6"/>
    <w:next w:val="a6"/>
    <w:link w:val="af4"/>
    <w:qFormat/>
    <w:rPr>
      <w:b/>
      <w:bCs/>
    </w:rPr>
  </w:style>
  <w:style w:type="character" w:styleId="af5">
    <w:name w:val="Strong"/>
    <w:basedOn w:val="a1"/>
    <w:qFormat/>
    <w:rPr>
      <w:b/>
      <w:bCs/>
    </w:rPr>
  </w:style>
  <w:style w:type="character" w:styleId="af6">
    <w:name w:val="page number"/>
    <w:basedOn w:val="a1"/>
    <w:qFormat/>
  </w:style>
  <w:style w:type="character" w:styleId="af7">
    <w:name w:val="FollowedHyperlink"/>
    <w:basedOn w:val="a1"/>
    <w:qFormat/>
    <w:rPr>
      <w:color w:val="800080"/>
      <w:u w:val="single"/>
    </w:rPr>
  </w:style>
  <w:style w:type="character" w:styleId="af8">
    <w:name w:val="Hyperlink"/>
    <w:basedOn w:val="a1"/>
    <w:uiPriority w:val="99"/>
    <w:qFormat/>
    <w:rPr>
      <w:color w:val="0000FF"/>
      <w:u w:val="single"/>
    </w:rPr>
  </w:style>
  <w:style w:type="character" w:styleId="af9">
    <w:name w:val="annotation reference"/>
    <w:basedOn w:val="a1"/>
    <w:qFormat/>
    <w:rPr>
      <w:sz w:val="21"/>
      <w:szCs w:val="21"/>
    </w:rPr>
  </w:style>
  <w:style w:type="character" w:customStyle="1" w:styleId="20">
    <w:name w:val="标题 2 字符"/>
    <w:basedOn w:val="a1"/>
    <w:link w:val="2"/>
    <w:qFormat/>
    <w:rPr>
      <w:rFonts w:asciiTheme="minorEastAsia" w:hAnsiTheme="minorEastAsia" w:cs="Arial"/>
      <w:sz w:val="24"/>
      <w:szCs w:val="24"/>
    </w:rPr>
  </w:style>
  <w:style w:type="character" w:customStyle="1" w:styleId="af">
    <w:name w:val="页脚 字符"/>
    <w:basedOn w:val="a1"/>
    <w:link w:val="ae"/>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9">
    <w:name w:val="正文文本 字符"/>
    <w:basedOn w:val="a1"/>
    <w:link w:val="a8"/>
    <w:qFormat/>
    <w:rPr>
      <w:rFonts w:ascii="仿宋" w:eastAsia="仿宋" w:hAnsi="Times New Roman" w:cs="Times New Roman"/>
      <w:color w:val="000000"/>
      <w:kern w:val="0"/>
      <w:sz w:val="24"/>
      <w:szCs w:val="28"/>
    </w:rPr>
  </w:style>
  <w:style w:type="character" w:customStyle="1" w:styleId="read">
    <w:name w:val="read"/>
    <w:basedOn w:val="a1"/>
    <w:qFormat/>
  </w:style>
  <w:style w:type="character" w:customStyle="1" w:styleId="ab">
    <w:name w:val="正文文本缩进 字符"/>
    <w:basedOn w:val="a1"/>
    <w:link w:val="aa"/>
    <w:qFormat/>
    <w:rPr>
      <w:rFonts w:ascii="Times New Roman" w:eastAsia="Times New Roman"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3">
    <w:name w:val="正文文本缩进 3 字符"/>
    <w:basedOn w:val="a1"/>
    <w:link w:val="32"/>
    <w:qFormat/>
    <w:rPr>
      <w:rFonts w:ascii="仿宋" w:eastAsia="仿宋" w:hAnsi="宋体" w:cs="Arial"/>
      <w:color w:val="000000"/>
      <w:sz w:val="24"/>
      <w:szCs w:val="24"/>
    </w:rPr>
  </w:style>
  <w:style w:type="character" w:customStyle="1" w:styleId="ad">
    <w:name w:val="批注框文本 字符"/>
    <w:basedOn w:val="a1"/>
    <w:link w:val="ac"/>
    <w:semiHidden/>
    <w:qFormat/>
    <w:rPr>
      <w:rFonts w:ascii="Times New Roman" w:eastAsia="宋体" w:hAnsi="Times New Roman" w:cs="Times New Roman"/>
      <w:sz w:val="18"/>
      <w:szCs w:val="18"/>
    </w:rPr>
  </w:style>
  <w:style w:type="character" w:customStyle="1" w:styleId="af1">
    <w:name w:val="页眉 字符"/>
    <w:basedOn w:val="a1"/>
    <w:link w:val="af0"/>
    <w:qFormat/>
    <w:rPr>
      <w:rFonts w:ascii="Times New Roman" w:eastAsia="宋体" w:hAnsi="Times New Roman" w:cs="Times New Roman"/>
      <w:sz w:val="18"/>
      <w:szCs w:val="18"/>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7">
    <w:name w:val="批注文字 字符"/>
    <w:basedOn w:val="a1"/>
    <w:link w:val="a6"/>
    <w:uiPriority w:val="99"/>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f4">
    <w:name w:val="批注主题 字符"/>
    <w:basedOn w:val="a7"/>
    <w:link w:val="af3"/>
    <w:qFormat/>
    <w:rPr>
      <w:rFonts w:ascii="Times New Roman" w:eastAsia="宋体" w:hAnsi="Times New Roman" w:cs="Times New Roman"/>
      <w:b/>
      <w:bCs/>
      <w:szCs w:val="24"/>
    </w:rPr>
  </w:style>
  <w:style w:type="paragraph" w:customStyle="1" w:styleId="12">
    <w:name w:val="修订1"/>
    <w:hidden/>
    <w:uiPriority w:val="99"/>
    <w:semiHidden/>
    <w:qFormat/>
    <w:rPr>
      <w:kern w:val="2"/>
      <w:sz w:val="21"/>
      <w:szCs w:val="24"/>
    </w:rPr>
  </w:style>
  <w:style w:type="character" w:customStyle="1" w:styleId="a5">
    <w:name w:val="文档结构图 字符"/>
    <w:basedOn w:val="a1"/>
    <w:link w:val="a4"/>
    <w:uiPriority w:val="99"/>
    <w:semiHidden/>
    <w:qFormat/>
    <w:rPr>
      <w:rFonts w:ascii="宋体" w:eastAsia="宋体" w:hAnsi="Times New Roman" w:cs="Times New Roman"/>
      <w:sz w:val="18"/>
      <w:szCs w:val="18"/>
    </w:rPr>
  </w:style>
  <w:style w:type="paragraph" w:styleId="afa">
    <w:name w:val="List Paragraph"/>
    <w:basedOn w:val="a"/>
    <w:uiPriority w:val="34"/>
    <w:qFormat/>
    <w:pPr>
      <w:ind w:firstLineChars="200" w:firstLine="420"/>
    </w:pPr>
  </w:style>
  <w:style w:type="character" w:customStyle="1" w:styleId="10">
    <w:name w:val="标题 1 字符"/>
    <w:basedOn w:val="a1"/>
    <w:link w:val="1"/>
    <w:uiPriority w:val="9"/>
    <w:qFormat/>
    <w:rPr>
      <w:rFonts w:ascii="彩虹粗仿宋" w:eastAsia="彩虹粗仿宋" w:hAnsi="Arial" w:cs="Times New Roman"/>
      <w:b/>
      <w:sz w:val="32"/>
      <w:szCs w:val="20"/>
    </w:rPr>
  </w:style>
  <w:style w:type="character" w:customStyle="1" w:styleId="30">
    <w:name w:val="标题 3 字符"/>
    <w:basedOn w:val="a1"/>
    <w:link w:val="3"/>
    <w:uiPriority w:val="9"/>
    <w:qFormat/>
    <w:rPr>
      <w:rFonts w:ascii="宋体" w:eastAsia="宋体" w:hAnsi="宋体" w:cs="Arial"/>
      <w:sz w:val="24"/>
      <w:szCs w:val="24"/>
    </w:rPr>
  </w:style>
  <w:style w:type="paragraph" w:customStyle="1" w:styleId="24">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 w:type="paragraph" w:customStyle="1" w:styleId="50">
    <w:name w:val="修订5"/>
    <w:hidden/>
    <w:uiPriority w:val="99"/>
    <w:semiHidden/>
    <w:qFormat/>
    <w:rPr>
      <w:kern w:val="2"/>
      <w:sz w:val="21"/>
      <w:szCs w:val="24"/>
    </w:rPr>
  </w:style>
  <w:style w:type="paragraph" w:customStyle="1" w:styleId="60">
    <w:name w:val="修订6"/>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23490058-F302-47B7-BAA2-2ECF2C83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5577</Words>
  <Characters>31795</Characters>
  <Application>Microsoft Office Word</Application>
  <DocSecurity>0</DocSecurity>
  <Lines>264</Lines>
  <Paragraphs>74</Paragraphs>
  <ScaleCrop>false</ScaleCrop>
  <Company>中国平安保险(集团)股份有限公司</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方杰</dc:creator>
  <cp:lastModifiedBy>大成基金0521</cp:lastModifiedBy>
  <cp:revision>4</cp:revision>
  <cp:lastPrinted>2015-09-08T15:15:00Z</cp:lastPrinted>
  <dcterms:created xsi:type="dcterms:W3CDTF">2026-05-13T05:12:00Z</dcterms:created>
  <dcterms:modified xsi:type="dcterms:W3CDTF">2026-06-15T10:15:00Z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9AD6B9A8343C48EDB8660F367D8DE338_13</vt:lpwstr>
  </property>
  <property fmtid="{D5CDD505-2E9C-101B-9397-08002B2CF9AE}" pid="3" name="KSOProductBuildVer">
    <vt:lpwstr>2052-12.1.0.26895</vt:lpwstr>
  </property>
  <property fmtid="{D5CDD505-2E9C-101B-9397-08002B2CF9AE}" pid="4" name="KSOTemplateDocerSaveRecord">
    <vt:lpwstr>eyJoZGlkIjoiNWJkMGU0M2M2MWEyNmM2NzczMDk2ZDQwZDQzZDhlMTQiLCJ1c2VySWQiOiIzNjkzMDQyMjkifQ==</vt:lpwstr>
  </property>
</Properties>
</file>