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6D69D80">
      <w:pPr>
        <w:spacing w:line="520" w:lineRule="exact"/>
        <w:jc w:val="right"/>
        <w:rPr>
          <w:rFonts w:ascii="Arial" w:hAnsi="Arial" w:cs="Arial"/>
          <w:sz w:val="28"/>
          <w:szCs w:val="28"/>
          <w14:shadow w14:blurRad="50800" w14:dist="38100" w14:dir="2700000" w14:sx="100000" w14:sy="100000" w14:kx="0" w14:ky="0" w14:algn="tl">
            <w14:srgbClr w14:val="000000">
              <w14:alpha w14:val="60000"/>
            </w14:srgbClr>
          </w14:shadow>
        </w:rPr>
      </w:pPr>
    </w:p>
    <w:p w14:paraId="254D0E84">
      <w:pPr>
        <w:spacing w:line="520" w:lineRule="exact"/>
        <w:jc w:val="center"/>
        <w:rPr>
          <w:rFonts w:ascii="Arial" w:hAnsi="Arial" w:cs="Arial"/>
          <w:sz w:val="28"/>
          <w:szCs w:val="28"/>
          <w14:shadow w14:blurRad="50800" w14:dist="38100" w14:dir="2700000" w14:sx="100000" w14:sy="100000" w14:kx="0" w14:ky="0" w14:algn="tl">
            <w14:srgbClr w14:val="000000">
              <w14:alpha w14:val="60000"/>
            </w14:srgbClr>
          </w14:shadow>
        </w:rPr>
      </w:pPr>
    </w:p>
    <w:p w14:paraId="368266AF">
      <w:pPr>
        <w:spacing w:line="520" w:lineRule="exact"/>
        <w:jc w:val="center"/>
        <w:rPr>
          <w:rFonts w:ascii="Arial" w:hAnsi="Arial" w:cs="Arial"/>
          <w:sz w:val="28"/>
          <w:szCs w:val="28"/>
          <w14:shadow w14:blurRad="50800" w14:dist="38100" w14:dir="2700000" w14:sx="100000" w14:sy="100000" w14:kx="0" w14:ky="0" w14:algn="tl">
            <w14:srgbClr w14:val="000000">
              <w14:alpha w14:val="60000"/>
            </w14:srgbClr>
          </w14:shadow>
        </w:rPr>
      </w:pPr>
    </w:p>
    <w:p w14:paraId="620ABAD3">
      <w:pPr>
        <w:spacing w:line="520" w:lineRule="exact"/>
        <w:jc w:val="center"/>
        <w:rPr>
          <w:rFonts w:ascii="Arial" w:hAnsi="Arial" w:cs="Arial"/>
          <w:sz w:val="28"/>
          <w:szCs w:val="28"/>
          <w14:shadow w14:blurRad="50800" w14:dist="38100" w14:dir="2700000" w14:sx="100000" w14:sy="100000" w14:kx="0" w14:ky="0" w14:algn="tl">
            <w14:srgbClr w14:val="000000">
              <w14:alpha w14:val="60000"/>
            </w14:srgbClr>
          </w14:shadow>
        </w:rPr>
      </w:pPr>
    </w:p>
    <w:p w14:paraId="0840AEB5">
      <w:pPr>
        <w:spacing w:line="520" w:lineRule="exact"/>
        <w:jc w:val="center"/>
        <w:rPr>
          <w:rFonts w:ascii="Arial" w:hAnsi="Arial" w:cs="Arial"/>
          <w:sz w:val="28"/>
          <w:szCs w:val="28"/>
          <w14:shadow w14:blurRad="50800" w14:dist="38100" w14:dir="2700000" w14:sx="100000" w14:sy="100000" w14:kx="0" w14:ky="0" w14:algn="tl">
            <w14:srgbClr w14:val="000000">
              <w14:alpha w14:val="60000"/>
            </w14:srgbClr>
          </w14:shadow>
        </w:rPr>
      </w:pPr>
    </w:p>
    <w:p w14:paraId="48228BCF">
      <w:pPr>
        <w:spacing w:line="520" w:lineRule="exact"/>
        <w:jc w:val="center"/>
        <w:rPr>
          <w:rFonts w:ascii="Arial" w:hAnsi="Arial" w:cs="Arial"/>
          <w:sz w:val="28"/>
          <w:szCs w:val="28"/>
          <w14:shadow w14:blurRad="50800" w14:dist="38100" w14:dir="2700000" w14:sx="100000" w14:sy="100000" w14:kx="0" w14:ky="0" w14:algn="tl">
            <w14:srgbClr w14:val="000000">
              <w14:alpha w14:val="60000"/>
            </w14:srgbClr>
          </w14:shadow>
        </w:rPr>
      </w:pPr>
    </w:p>
    <w:p w14:paraId="7FCC74D0">
      <w:pPr>
        <w:spacing w:line="360" w:lineRule="auto"/>
        <w:jc w:val="center"/>
        <w:rPr>
          <w:rFonts w:hint="eastAsia" w:ascii="Arial" w:hAnsi="Arial" w:eastAsia="宋体" w:cs="Arial"/>
          <w:b/>
          <w:sz w:val="48"/>
          <w:lang w:eastAsia="zh-CN"/>
        </w:rPr>
      </w:pPr>
      <w:r>
        <w:rPr>
          <w:rFonts w:hint="eastAsia" w:ascii="宋体" w:hAnsi="宋体" w:cs="Arial"/>
          <w:b/>
          <w:sz w:val="48"/>
        </w:rPr>
        <w:t>国融聚达63个月</w:t>
      </w:r>
      <w:r>
        <w:rPr>
          <w:rFonts w:hint="eastAsia" w:ascii="Arial" w:hAnsi="Arial" w:cs="Arial"/>
          <w:b/>
          <w:sz w:val="48"/>
        </w:rPr>
        <w:t>封闭式债券型证券投资基金</w:t>
      </w:r>
      <w:r>
        <w:rPr>
          <w:rFonts w:ascii="Arial" w:hAnsi="Arial" w:cs="Arial"/>
          <w:b/>
          <w:sz w:val="48"/>
        </w:rPr>
        <w:t>托管协议</w:t>
      </w:r>
    </w:p>
    <w:p w14:paraId="023F61B9">
      <w:pPr>
        <w:pStyle w:val="11"/>
        <w:spacing w:line="520" w:lineRule="exact"/>
        <w:ind w:firstLine="560"/>
        <w:rPr>
          <w:rFonts w:ascii="Arial" w:hAnsi="Arial" w:cs="Arial"/>
          <w:sz w:val="28"/>
          <w:szCs w:val="28"/>
        </w:rPr>
      </w:pPr>
    </w:p>
    <w:p w14:paraId="02C11260">
      <w:pPr>
        <w:pStyle w:val="11"/>
        <w:spacing w:line="520" w:lineRule="exact"/>
        <w:ind w:firstLine="560"/>
        <w:rPr>
          <w:rFonts w:ascii="Arial" w:hAnsi="Arial" w:cs="Arial"/>
          <w:sz w:val="28"/>
          <w:szCs w:val="28"/>
        </w:rPr>
      </w:pPr>
    </w:p>
    <w:p w14:paraId="4865A1D2">
      <w:pPr>
        <w:pStyle w:val="11"/>
        <w:spacing w:line="520" w:lineRule="exact"/>
        <w:ind w:firstLine="560"/>
        <w:rPr>
          <w:rFonts w:ascii="Arial" w:hAnsi="Arial" w:cs="Arial"/>
          <w:sz w:val="28"/>
          <w:szCs w:val="28"/>
        </w:rPr>
      </w:pPr>
    </w:p>
    <w:p w14:paraId="5113B457">
      <w:pPr>
        <w:pStyle w:val="11"/>
        <w:spacing w:line="520" w:lineRule="exact"/>
        <w:ind w:firstLine="560"/>
        <w:rPr>
          <w:rFonts w:ascii="Arial" w:hAnsi="Arial" w:cs="Arial"/>
          <w:sz w:val="28"/>
          <w:szCs w:val="28"/>
        </w:rPr>
      </w:pPr>
    </w:p>
    <w:p w14:paraId="09588F60">
      <w:pPr>
        <w:pStyle w:val="11"/>
        <w:spacing w:line="520" w:lineRule="exact"/>
        <w:ind w:firstLine="560"/>
        <w:rPr>
          <w:rFonts w:ascii="Arial" w:hAnsi="Arial" w:cs="Arial"/>
          <w:sz w:val="28"/>
          <w:szCs w:val="28"/>
        </w:rPr>
      </w:pPr>
    </w:p>
    <w:p w14:paraId="5972522D">
      <w:pPr>
        <w:pStyle w:val="11"/>
        <w:spacing w:line="520" w:lineRule="exact"/>
        <w:ind w:firstLine="560"/>
        <w:rPr>
          <w:rFonts w:ascii="Arial" w:hAnsi="Arial" w:cs="Arial"/>
          <w:sz w:val="28"/>
          <w:szCs w:val="28"/>
        </w:rPr>
      </w:pPr>
    </w:p>
    <w:p w14:paraId="199C1B3C">
      <w:pPr>
        <w:spacing w:line="360" w:lineRule="auto"/>
        <w:jc w:val="center"/>
        <w:rPr>
          <w:rFonts w:ascii="Arial" w:hAnsi="Arial" w:cs="Arial"/>
          <w:b/>
          <w:sz w:val="36"/>
        </w:rPr>
      </w:pPr>
      <w:bookmarkStart w:id="0" w:name="_Toc123112263"/>
      <w:bookmarkStart w:id="1" w:name="_Toc123701383"/>
      <w:bookmarkStart w:id="2" w:name="_Toc123112224"/>
      <w:bookmarkStart w:id="3" w:name="_Toc139991726"/>
      <w:bookmarkStart w:id="4" w:name="_Toc139992301"/>
      <w:r>
        <w:rPr>
          <w:rFonts w:ascii="Arial" w:hAnsi="Arial" w:cs="Arial"/>
          <w:b/>
          <w:sz w:val="36"/>
        </w:rPr>
        <w:t>基金管理人：</w:t>
      </w:r>
      <w:bookmarkEnd w:id="0"/>
      <w:bookmarkEnd w:id="1"/>
      <w:bookmarkEnd w:id="2"/>
      <w:bookmarkEnd w:id="3"/>
      <w:bookmarkEnd w:id="4"/>
      <w:r>
        <w:rPr>
          <w:rFonts w:hint="eastAsia" w:ascii="Arial" w:hAnsi="Arial" w:cs="Arial"/>
          <w:b/>
          <w:sz w:val="36"/>
        </w:rPr>
        <w:t>国融基金管理有限公司</w:t>
      </w:r>
    </w:p>
    <w:p w14:paraId="0D058DC0">
      <w:pPr>
        <w:spacing w:line="360" w:lineRule="auto"/>
        <w:jc w:val="center"/>
        <w:rPr>
          <w:rFonts w:ascii="Arial" w:hAnsi="Arial" w:cs="Arial"/>
          <w:b/>
          <w:sz w:val="36"/>
        </w:rPr>
      </w:pPr>
      <w:bookmarkStart w:id="5" w:name="_Toc139992302"/>
      <w:bookmarkStart w:id="6" w:name="_Toc139991727"/>
      <w:bookmarkStart w:id="7" w:name="_Toc123112225"/>
      <w:bookmarkStart w:id="8" w:name="_Toc123701384"/>
      <w:bookmarkStart w:id="9" w:name="_Toc123112264"/>
      <w:r>
        <w:rPr>
          <w:rFonts w:ascii="Arial" w:hAnsi="Arial" w:cs="Arial"/>
          <w:b/>
          <w:sz w:val="36"/>
        </w:rPr>
        <w:t>基金托管人：中信银行股份有限公司</w:t>
      </w:r>
      <w:bookmarkEnd w:id="5"/>
      <w:bookmarkEnd w:id="6"/>
      <w:bookmarkEnd w:id="7"/>
      <w:bookmarkEnd w:id="8"/>
      <w:bookmarkEnd w:id="9"/>
    </w:p>
    <w:p w14:paraId="32C11007">
      <w:pPr>
        <w:spacing w:line="360" w:lineRule="auto"/>
        <w:rPr>
          <w:rFonts w:ascii="Arial" w:hAnsi="Arial" w:cs="Arial"/>
          <w:b/>
          <w:szCs w:val="28"/>
        </w:rPr>
      </w:pPr>
    </w:p>
    <w:p w14:paraId="33AA941A">
      <w:pPr>
        <w:spacing w:line="360" w:lineRule="auto"/>
        <w:ind w:firstLine="562" w:firstLineChars="200"/>
        <w:jc w:val="center"/>
        <w:rPr>
          <w:rFonts w:ascii="Arial" w:hAnsi="Arial" w:cs="Arial"/>
          <w:b/>
          <w:bCs/>
          <w:sz w:val="28"/>
          <w:szCs w:val="28"/>
        </w:rPr>
      </w:pPr>
    </w:p>
    <w:p w14:paraId="76FCCBE7">
      <w:pPr>
        <w:spacing w:line="360" w:lineRule="auto"/>
        <w:ind w:firstLine="562" w:firstLineChars="200"/>
        <w:jc w:val="center"/>
        <w:rPr>
          <w:rFonts w:ascii="Arial" w:hAnsi="Arial" w:cs="Arial"/>
          <w:b/>
          <w:bCs/>
          <w:sz w:val="28"/>
          <w:szCs w:val="28"/>
        </w:rPr>
      </w:pPr>
    </w:p>
    <w:p w14:paraId="539C9511">
      <w:pPr>
        <w:spacing w:line="360" w:lineRule="auto"/>
        <w:rPr>
          <w:rFonts w:ascii="Arial" w:hAnsi="Arial" w:cs="Arial"/>
          <w:b/>
          <w:bCs/>
          <w:sz w:val="28"/>
          <w:szCs w:val="28"/>
        </w:rPr>
      </w:pPr>
    </w:p>
    <w:p w14:paraId="54E3FC59">
      <w:pPr>
        <w:spacing w:line="360" w:lineRule="auto"/>
        <w:jc w:val="center"/>
        <w:rPr>
          <w:rFonts w:ascii="Arial" w:hAnsi="Arial" w:cs="Arial"/>
          <w:b/>
          <w:bCs/>
          <w:sz w:val="28"/>
          <w:szCs w:val="28"/>
        </w:rPr>
      </w:pPr>
      <w:r>
        <w:rPr>
          <w:rFonts w:ascii="Arial" w:hAnsi="Arial" w:cs="Arial"/>
          <w:b/>
          <w:bCs/>
          <w:sz w:val="28"/>
          <w:szCs w:val="28"/>
        </w:rPr>
        <w:drawing>
          <wp:anchor distT="0" distB="0" distL="114300" distR="114300" simplePos="0" relativeHeight="251659264" behindDoc="0" locked="0" layoutInCell="1" allowOverlap="1">
            <wp:simplePos x="0" y="0"/>
            <wp:positionH relativeFrom="margin">
              <wp:align>center</wp:align>
            </wp:positionH>
            <wp:positionV relativeFrom="margin">
              <wp:align>bottom</wp:align>
            </wp:positionV>
            <wp:extent cx="1800225" cy="644525"/>
            <wp:effectExtent l="0" t="0" r="9525" b="3175"/>
            <wp:wrapSquare wrapText="bothSides"/>
            <wp:docPr id="1" name="图片 1" descr="NE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NEW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00225" cy="644525"/>
                    </a:xfrm>
                    <a:prstGeom prst="rect">
                      <a:avLst/>
                    </a:prstGeom>
                    <a:noFill/>
                  </pic:spPr>
                </pic:pic>
              </a:graphicData>
            </a:graphic>
          </wp:anchor>
        </w:drawing>
      </w:r>
    </w:p>
    <w:p w14:paraId="55EAB380">
      <w:pPr>
        <w:spacing w:line="360" w:lineRule="auto"/>
        <w:jc w:val="center"/>
        <w:rPr>
          <w:rFonts w:ascii="Arial" w:hAnsi="Arial" w:cs="Arial"/>
          <w:b/>
          <w:bCs/>
          <w:sz w:val="28"/>
          <w:szCs w:val="28"/>
        </w:rPr>
      </w:pPr>
    </w:p>
    <w:p w14:paraId="668DE483">
      <w:pPr>
        <w:spacing w:line="360" w:lineRule="auto"/>
        <w:jc w:val="center"/>
        <w:rPr>
          <w:rFonts w:ascii="Arial" w:hAnsi="Arial" w:cs="Arial"/>
          <w:b/>
          <w:bCs/>
          <w:sz w:val="28"/>
          <w:szCs w:val="28"/>
        </w:rPr>
      </w:pPr>
      <w:r>
        <w:rPr>
          <w:rFonts w:ascii="Arial" w:hAnsi="Arial" w:cs="Arial"/>
          <w:b/>
          <w:bCs/>
          <w:sz w:val="28"/>
          <w:szCs w:val="28"/>
        </w:rPr>
        <w:br w:type="page"/>
      </w:r>
    </w:p>
    <w:p w14:paraId="3F9A82B1">
      <w:pPr>
        <w:spacing w:line="360" w:lineRule="auto"/>
        <w:jc w:val="center"/>
        <w:rPr>
          <w:rFonts w:ascii="Arial" w:hAnsi="Arial" w:cs="Arial"/>
          <w:b/>
          <w:bCs/>
          <w:sz w:val="28"/>
          <w:szCs w:val="28"/>
        </w:rPr>
      </w:pPr>
      <w:r>
        <w:rPr>
          <w:rFonts w:ascii="Arial" w:hAnsi="Arial" w:cs="Arial"/>
          <w:b/>
          <w:bCs/>
          <w:sz w:val="32"/>
          <w:szCs w:val="32"/>
        </w:rPr>
        <w:t>目</w:t>
      </w:r>
      <w:r>
        <w:rPr>
          <w:rFonts w:ascii="Arial" w:hAnsi="Arial" w:cs="Arial"/>
          <w:b/>
          <w:bCs/>
          <w:sz w:val="32"/>
          <w:szCs w:val="32"/>
        </w:rPr>
        <w:tab/>
      </w:r>
      <w:r>
        <w:rPr>
          <w:rFonts w:ascii="Arial" w:hAnsi="Arial" w:cs="Arial"/>
          <w:b/>
          <w:bCs/>
          <w:sz w:val="32"/>
          <w:szCs w:val="32"/>
        </w:rPr>
        <w:tab/>
      </w:r>
      <w:r>
        <w:rPr>
          <w:rFonts w:ascii="Arial" w:hAnsi="Arial" w:cs="Arial"/>
          <w:b/>
          <w:bCs/>
          <w:sz w:val="32"/>
          <w:szCs w:val="32"/>
        </w:rPr>
        <w:t>录</w:t>
      </w:r>
    </w:p>
    <w:p w14:paraId="2AB574CE">
      <w:pPr>
        <w:pStyle w:val="15"/>
        <w:rPr>
          <w:rFonts w:asciiTheme="minorHAnsi" w:hAnsiTheme="minorHAnsi" w:eastAsiaTheme="minorEastAsia" w:cstheme="minorBidi"/>
          <w:sz w:val="21"/>
          <w:szCs w:val="22"/>
        </w:rPr>
      </w:pPr>
      <w:r>
        <w:rPr>
          <w:rFonts w:cs="Arial"/>
          <w:b/>
        </w:rPr>
        <w:fldChar w:fldCharType="begin"/>
      </w:r>
      <w:r>
        <w:rPr>
          <w:rFonts w:cs="Arial"/>
          <w:b/>
        </w:rPr>
        <w:instrText xml:space="preserve"> TOC \o "1-1" \h \z \u </w:instrText>
      </w:r>
      <w:r>
        <w:rPr>
          <w:rFonts w:cs="Arial"/>
          <w:b/>
        </w:rPr>
        <w:fldChar w:fldCharType="separate"/>
      </w:r>
      <w:r>
        <w:fldChar w:fldCharType="begin"/>
      </w:r>
      <w:r>
        <w:instrText xml:space="preserve"> HYPERLINK \l "_Toc238554471" </w:instrText>
      </w:r>
      <w:r>
        <w:fldChar w:fldCharType="separate"/>
      </w:r>
      <w:r>
        <w:rPr>
          <w:rStyle w:val="21"/>
          <w:rFonts w:cs="Arial"/>
          <w:bCs/>
        </w:rPr>
        <w:t>第一条 本协议当事人</w:t>
      </w:r>
      <w:r>
        <w:tab/>
      </w:r>
      <w:r>
        <w:fldChar w:fldCharType="begin"/>
      </w:r>
      <w:r>
        <w:instrText xml:space="preserve"> PAGEREF _Toc238554471 \h </w:instrText>
      </w:r>
      <w:r>
        <w:fldChar w:fldCharType="separate"/>
      </w:r>
      <w:r>
        <w:t>1</w:t>
      </w:r>
      <w:r>
        <w:fldChar w:fldCharType="end"/>
      </w:r>
      <w:r>
        <w:fldChar w:fldCharType="end"/>
      </w:r>
    </w:p>
    <w:p w14:paraId="1D979FE0">
      <w:pPr>
        <w:pStyle w:val="15"/>
        <w:rPr>
          <w:rFonts w:asciiTheme="minorHAnsi" w:hAnsiTheme="minorHAnsi" w:eastAsiaTheme="minorEastAsia" w:cstheme="minorBidi"/>
          <w:sz w:val="21"/>
          <w:szCs w:val="22"/>
        </w:rPr>
      </w:pPr>
      <w:r>
        <w:fldChar w:fldCharType="begin"/>
      </w:r>
      <w:r>
        <w:instrText xml:space="preserve"> HYPERLINK \l "_Toc238554472" </w:instrText>
      </w:r>
      <w:r>
        <w:fldChar w:fldCharType="separate"/>
      </w:r>
      <w:r>
        <w:rPr>
          <w:rStyle w:val="21"/>
          <w:rFonts w:cs="Arial"/>
          <w:bCs/>
        </w:rPr>
        <w:t>第二条 本协议的依据、目的和原则</w:t>
      </w:r>
      <w:r>
        <w:tab/>
      </w:r>
      <w:r>
        <w:fldChar w:fldCharType="begin"/>
      </w:r>
      <w:r>
        <w:instrText xml:space="preserve"> PAGEREF _Toc238554472 \h </w:instrText>
      </w:r>
      <w:r>
        <w:fldChar w:fldCharType="separate"/>
      </w:r>
      <w:r>
        <w:t>2</w:t>
      </w:r>
      <w:r>
        <w:fldChar w:fldCharType="end"/>
      </w:r>
      <w:r>
        <w:fldChar w:fldCharType="end"/>
      </w:r>
    </w:p>
    <w:p w14:paraId="1FB7FF38">
      <w:pPr>
        <w:pStyle w:val="15"/>
        <w:rPr>
          <w:rFonts w:asciiTheme="minorHAnsi" w:hAnsiTheme="minorHAnsi" w:eastAsiaTheme="minorEastAsia" w:cstheme="minorBidi"/>
          <w:sz w:val="21"/>
          <w:szCs w:val="22"/>
        </w:rPr>
      </w:pPr>
      <w:r>
        <w:fldChar w:fldCharType="begin"/>
      </w:r>
      <w:r>
        <w:instrText xml:space="preserve"> HYPERLINK \l "_Toc238554473" </w:instrText>
      </w:r>
      <w:r>
        <w:fldChar w:fldCharType="separate"/>
      </w:r>
      <w:r>
        <w:rPr>
          <w:rStyle w:val="21"/>
          <w:rFonts w:cs="Arial"/>
          <w:bCs/>
        </w:rPr>
        <w:t>第三条 基金托管人对基金管理人的业务监督和核查</w:t>
      </w:r>
      <w:r>
        <w:tab/>
      </w:r>
      <w:r>
        <w:fldChar w:fldCharType="begin"/>
      </w:r>
      <w:r>
        <w:instrText xml:space="preserve"> PAGEREF _Toc238554473 \h </w:instrText>
      </w:r>
      <w:r>
        <w:fldChar w:fldCharType="separate"/>
      </w:r>
      <w:r>
        <w:t>3</w:t>
      </w:r>
      <w:r>
        <w:fldChar w:fldCharType="end"/>
      </w:r>
      <w:r>
        <w:fldChar w:fldCharType="end"/>
      </w:r>
    </w:p>
    <w:p w14:paraId="6718F3C1">
      <w:pPr>
        <w:pStyle w:val="15"/>
        <w:rPr>
          <w:rFonts w:asciiTheme="minorHAnsi" w:hAnsiTheme="minorHAnsi" w:eastAsiaTheme="minorEastAsia" w:cstheme="minorBidi"/>
          <w:sz w:val="21"/>
          <w:szCs w:val="22"/>
        </w:rPr>
      </w:pPr>
      <w:r>
        <w:fldChar w:fldCharType="begin"/>
      </w:r>
      <w:r>
        <w:instrText xml:space="preserve"> HYPERLINK \l "_Toc238554474" </w:instrText>
      </w:r>
      <w:r>
        <w:fldChar w:fldCharType="separate"/>
      </w:r>
      <w:r>
        <w:rPr>
          <w:rStyle w:val="21"/>
          <w:rFonts w:cs="Arial"/>
          <w:bCs/>
        </w:rPr>
        <w:t>第四条 基金管理人对基金托管人的业务核查</w:t>
      </w:r>
      <w:r>
        <w:tab/>
      </w:r>
      <w:r>
        <w:fldChar w:fldCharType="begin"/>
      </w:r>
      <w:r>
        <w:instrText xml:space="preserve"> PAGEREF _Toc238554474 \h </w:instrText>
      </w:r>
      <w:r>
        <w:fldChar w:fldCharType="separate"/>
      </w:r>
      <w:r>
        <w:t>10</w:t>
      </w:r>
      <w:r>
        <w:fldChar w:fldCharType="end"/>
      </w:r>
      <w:r>
        <w:fldChar w:fldCharType="end"/>
      </w:r>
    </w:p>
    <w:p w14:paraId="494B2E77">
      <w:pPr>
        <w:pStyle w:val="15"/>
        <w:rPr>
          <w:rFonts w:asciiTheme="minorHAnsi" w:hAnsiTheme="minorHAnsi" w:eastAsiaTheme="minorEastAsia" w:cstheme="minorBidi"/>
          <w:sz w:val="21"/>
          <w:szCs w:val="22"/>
        </w:rPr>
      </w:pPr>
      <w:r>
        <w:fldChar w:fldCharType="begin"/>
      </w:r>
      <w:r>
        <w:instrText xml:space="preserve"> HYPERLINK \l "_Toc238554475" </w:instrText>
      </w:r>
      <w:r>
        <w:fldChar w:fldCharType="separate"/>
      </w:r>
      <w:r>
        <w:rPr>
          <w:rStyle w:val="21"/>
          <w:rFonts w:cs="Arial"/>
          <w:bCs/>
        </w:rPr>
        <w:t>第五条 基金财产保管</w:t>
      </w:r>
      <w:r>
        <w:tab/>
      </w:r>
      <w:r>
        <w:fldChar w:fldCharType="begin"/>
      </w:r>
      <w:r>
        <w:instrText xml:space="preserve"> PAGEREF _Toc238554475 \h </w:instrText>
      </w:r>
      <w:r>
        <w:fldChar w:fldCharType="separate"/>
      </w:r>
      <w:r>
        <w:t>11</w:t>
      </w:r>
      <w:r>
        <w:fldChar w:fldCharType="end"/>
      </w:r>
      <w:r>
        <w:fldChar w:fldCharType="end"/>
      </w:r>
    </w:p>
    <w:p w14:paraId="0F54D443">
      <w:pPr>
        <w:pStyle w:val="15"/>
        <w:rPr>
          <w:rFonts w:asciiTheme="minorHAnsi" w:hAnsiTheme="minorHAnsi" w:eastAsiaTheme="minorEastAsia" w:cstheme="minorBidi"/>
          <w:sz w:val="21"/>
          <w:szCs w:val="22"/>
        </w:rPr>
      </w:pPr>
      <w:r>
        <w:fldChar w:fldCharType="begin"/>
      </w:r>
      <w:r>
        <w:instrText xml:space="preserve"> HYPERLINK \l "_Toc238554476" </w:instrText>
      </w:r>
      <w:r>
        <w:fldChar w:fldCharType="separate"/>
      </w:r>
      <w:r>
        <w:rPr>
          <w:rStyle w:val="21"/>
          <w:rFonts w:cs="Arial"/>
          <w:bCs/>
        </w:rPr>
        <w:t>第六条 指令的发送、确认和执行</w:t>
      </w:r>
      <w:r>
        <w:tab/>
      </w:r>
      <w:r>
        <w:fldChar w:fldCharType="begin"/>
      </w:r>
      <w:r>
        <w:instrText xml:space="preserve"> PAGEREF _Toc238554476 \h </w:instrText>
      </w:r>
      <w:r>
        <w:fldChar w:fldCharType="separate"/>
      </w:r>
      <w:r>
        <w:t>14</w:t>
      </w:r>
      <w:r>
        <w:fldChar w:fldCharType="end"/>
      </w:r>
      <w:r>
        <w:fldChar w:fldCharType="end"/>
      </w:r>
    </w:p>
    <w:p w14:paraId="0C330862">
      <w:pPr>
        <w:pStyle w:val="15"/>
        <w:rPr>
          <w:rFonts w:asciiTheme="minorHAnsi" w:hAnsiTheme="minorHAnsi" w:eastAsiaTheme="minorEastAsia" w:cstheme="minorBidi"/>
          <w:sz w:val="21"/>
          <w:szCs w:val="22"/>
        </w:rPr>
      </w:pPr>
      <w:r>
        <w:fldChar w:fldCharType="begin"/>
      </w:r>
      <w:r>
        <w:instrText xml:space="preserve"> HYPERLINK \l "_Toc238554477" </w:instrText>
      </w:r>
      <w:r>
        <w:fldChar w:fldCharType="separate"/>
      </w:r>
      <w:r>
        <w:rPr>
          <w:rStyle w:val="21"/>
          <w:rFonts w:cs="Arial"/>
          <w:bCs/>
        </w:rPr>
        <w:t>第七条 交易及清算交收安排</w:t>
      </w:r>
      <w:r>
        <w:tab/>
      </w:r>
      <w:r>
        <w:fldChar w:fldCharType="begin"/>
      </w:r>
      <w:r>
        <w:instrText xml:space="preserve"> PAGEREF _Toc238554477 \h </w:instrText>
      </w:r>
      <w:r>
        <w:fldChar w:fldCharType="separate"/>
      </w:r>
      <w:r>
        <w:t>17</w:t>
      </w:r>
      <w:r>
        <w:fldChar w:fldCharType="end"/>
      </w:r>
      <w:r>
        <w:fldChar w:fldCharType="end"/>
      </w:r>
    </w:p>
    <w:p w14:paraId="22B6C856">
      <w:pPr>
        <w:pStyle w:val="15"/>
        <w:rPr>
          <w:rFonts w:asciiTheme="minorHAnsi" w:hAnsiTheme="minorHAnsi" w:eastAsiaTheme="minorEastAsia" w:cstheme="minorBidi"/>
          <w:sz w:val="21"/>
          <w:szCs w:val="22"/>
        </w:rPr>
      </w:pPr>
      <w:r>
        <w:fldChar w:fldCharType="begin"/>
      </w:r>
      <w:r>
        <w:instrText xml:space="preserve"> HYPERLINK \l "_Toc238554478" </w:instrText>
      </w:r>
      <w:r>
        <w:fldChar w:fldCharType="separate"/>
      </w:r>
      <w:r>
        <w:rPr>
          <w:rStyle w:val="21"/>
          <w:rFonts w:cs="Arial"/>
          <w:bCs/>
        </w:rPr>
        <w:t>第八条 基金净值计算和会计核算</w:t>
      </w:r>
      <w:r>
        <w:tab/>
      </w:r>
      <w:r>
        <w:fldChar w:fldCharType="begin"/>
      </w:r>
      <w:r>
        <w:instrText xml:space="preserve"> PAGEREF _Toc238554478 \h </w:instrText>
      </w:r>
      <w:r>
        <w:fldChar w:fldCharType="separate"/>
      </w:r>
      <w:r>
        <w:t>19</w:t>
      </w:r>
      <w:r>
        <w:fldChar w:fldCharType="end"/>
      </w:r>
      <w:r>
        <w:fldChar w:fldCharType="end"/>
      </w:r>
    </w:p>
    <w:p w14:paraId="7275F516">
      <w:pPr>
        <w:pStyle w:val="15"/>
        <w:rPr>
          <w:rFonts w:asciiTheme="minorHAnsi" w:hAnsiTheme="minorHAnsi" w:eastAsiaTheme="minorEastAsia" w:cstheme="minorBidi"/>
          <w:sz w:val="21"/>
          <w:szCs w:val="22"/>
        </w:rPr>
      </w:pPr>
      <w:r>
        <w:fldChar w:fldCharType="begin"/>
      </w:r>
      <w:r>
        <w:instrText xml:space="preserve"> HYPERLINK \l "_Toc238554479" </w:instrText>
      </w:r>
      <w:r>
        <w:fldChar w:fldCharType="separate"/>
      </w:r>
      <w:r>
        <w:rPr>
          <w:rStyle w:val="21"/>
          <w:rFonts w:cs="Arial"/>
          <w:bCs/>
        </w:rPr>
        <w:t>第九条 基金收益分配</w:t>
      </w:r>
      <w:r>
        <w:tab/>
      </w:r>
      <w:r>
        <w:fldChar w:fldCharType="begin"/>
      </w:r>
      <w:r>
        <w:instrText xml:space="preserve"> PAGEREF _Toc238554479 \h </w:instrText>
      </w:r>
      <w:r>
        <w:fldChar w:fldCharType="separate"/>
      </w:r>
      <w:r>
        <w:t>23</w:t>
      </w:r>
      <w:r>
        <w:fldChar w:fldCharType="end"/>
      </w:r>
      <w:r>
        <w:fldChar w:fldCharType="end"/>
      </w:r>
    </w:p>
    <w:p w14:paraId="657DD5AE">
      <w:pPr>
        <w:pStyle w:val="15"/>
        <w:rPr>
          <w:rFonts w:asciiTheme="minorHAnsi" w:hAnsiTheme="minorHAnsi" w:eastAsiaTheme="minorEastAsia" w:cstheme="minorBidi"/>
          <w:sz w:val="21"/>
          <w:szCs w:val="22"/>
        </w:rPr>
      </w:pPr>
      <w:r>
        <w:fldChar w:fldCharType="begin"/>
      </w:r>
      <w:r>
        <w:instrText xml:space="preserve"> HYPERLINK \l "_Toc238554480" </w:instrText>
      </w:r>
      <w:r>
        <w:fldChar w:fldCharType="separate"/>
      </w:r>
      <w:r>
        <w:rPr>
          <w:rStyle w:val="21"/>
          <w:rFonts w:cs="Arial"/>
          <w:bCs/>
        </w:rPr>
        <w:t>第十条 信息披露</w:t>
      </w:r>
      <w:r>
        <w:tab/>
      </w:r>
      <w:r>
        <w:fldChar w:fldCharType="begin"/>
      </w:r>
      <w:r>
        <w:instrText xml:space="preserve"> PAGEREF _Toc238554480 \h </w:instrText>
      </w:r>
      <w:r>
        <w:fldChar w:fldCharType="separate"/>
      </w:r>
      <w:r>
        <w:t>24</w:t>
      </w:r>
      <w:r>
        <w:fldChar w:fldCharType="end"/>
      </w:r>
      <w:r>
        <w:fldChar w:fldCharType="end"/>
      </w:r>
    </w:p>
    <w:p w14:paraId="34CC6E48">
      <w:pPr>
        <w:pStyle w:val="15"/>
        <w:rPr>
          <w:rFonts w:asciiTheme="minorHAnsi" w:hAnsiTheme="minorHAnsi" w:eastAsiaTheme="minorEastAsia" w:cstheme="minorBidi"/>
          <w:sz w:val="21"/>
          <w:szCs w:val="22"/>
        </w:rPr>
      </w:pPr>
      <w:r>
        <w:fldChar w:fldCharType="begin"/>
      </w:r>
      <w:r>
        <w:instrText xml:space="preserve"> HYPERLINK \l "_Toc238554481" </w:instrText>
      </w:r>
      <w:r>
        <w:fldChar w:fldCharType="separate"/>
      </w:r>
      <w:r>
        <w:rPr>
          <w:rStyle w:val="21"/>
          <w:rFonts w:cs="Arial"/>
          <w:bCs/>
        </w:rPr>
        <w:t>第十一条 基金费用</w:t>
      </w:r>
      <w:r>
        <w:tab/>
      </w:r>
      <w:bookmarkStart w:id="73" w:name="_GoBack"/>
      <w:bookmarkEnd w:id="73"/>
      <w:r>
        <w:fldChar w:fldCharType="begin"/>
      </w:r>
      <w:r>
        <w:instrText xml:space="preserve"> PAGEREF _Toc238554481 \h </w:instrText>
      </w:r>
      <w:r>
        <w:fldChar w:fldCharType="separate"/>
      </w:r>
      <w:r>
        <w:t>26</w:t>
      </w:r>
      <w:r>
        <w:fldChar w:fldCharType="end"/>
      </w:r>
      <w:r>
        <w:fldChar w:fldCharType="end"/>
      </w:r>
    </w:p>
    <w:p w14:paraId="3C6E282C">
      <w:pPr>
        <w:pStyle w:val="15"/>
        <w:rPr>
          <w:rFonts w:asciiTheme="minorHAnsi" w:hAnsiTheme="minorHAnsi" w:eastAsiaTheme="minorEastAsia" w:cstheme="minorBidi"/>
          <w:sz w:val="21"/>
          <w:szCs w:val="22"/>
        </w:rPr>
      </w:pPr>
      <w:r>
        <w:fldChar w:fldCharType="begin"/>
      </w:r>
      <w:r>
        <w:instrText xml:space="preserve"> HYPERLINK \l "_Toc238554482" </w:instrText>
      </w:r>
      <w:r>
        <w:fldChar w:fldCharType="separate"/>
      </w:r>
      <w:r>
        <w:rPr>
          <w:rStyle w:val="21"/>
          <w:rFonts w:cs="Arial"/>
          <w:bCs/>
        </w:rPr>
        <w:t>第十二条 基金份额持有人名册的保管</w:t>
      </w:r>
      <w:r>
        <w:tab/>
      </w:r>
      <w:r>
        <w:fldChar w:fldCharType="begin"/>
      </w:r>
      <w:r>
        <w:instrText xml:space="preserve"> PAGEREF _Toc238554482 \h </w:instrText>
      </w:r>
      <w:r>
        <w:fldChar w:fldCharType="separate"/>
      </w:r>
      <w:r>
        <w:t>28</w:t>
      </w:r>
      <w:r>
        <w:fldChar w:fldCharType="end"/>
      </w:r>
      <w:r>
        <w:fldChar w:fldCharType="end"/>
      </w:r>
    </w:p>
    <w:p w14:paraId="5F0331D5">
      <w:pPr>
        <w:pStyle w:val="15"/>
        <w:rPr>
          <w:rFonts w:asciiTheme="minorHAnsi" w:hAnsiTheme="minorHAnsi" w:eastAsiaTheme="minorEastAsia" w:cstheme="minorBidi"/>
          <w:sz w:val="21"/>
          <w:szCs w:val="22"/>
        </w:rPr>
      </w:pPr>
      <w:r>
        <w:fldChar w:fldCharType="begin"/>
      </w:r>
      <w:r>
        <w:instrText xml:space="preserve"> HYPERLINK \l "_Toc238554483" </w:instrText>
      </w:r>
      <w:r>
        <w:fldChar w:fldCharType="separate"/>
      </w:r>
      <w:r>
        <w:rPr>
          <w:rStyle w:val="21"/>
          <w:rFonts w:cs="Arial"/>
          <w:bCs/>
        </w:rPr>
        <w:t>第十三条 基金有关文件和档案的保存</w:t>
      </w:r>
      <w:r>
        <w:tab/>
      </w:r>
      <w:r>
        <w:fldChar w:fldCharType="begin"/>
      </w:r>
      <w:r>
        <w:instrText xml:space="preserve"> PAGEREF _Toc238554483 \h </w:instrText>
      </w:r>
      <w:r>
        <w:fldChar w:fldCharType="separate"/>
      </w:r>
      <w:r>
        <w:t>28</w:t>
      </w:r>
      <w:r>
        <w:fldChar w:fldCharType="end"/>
      </w:r>
      <w:r>
        <w:fldChar w:fldCharType="end"/>
      </w:r>
    </w:p>
    <w:p w14:paraId="0726DDCF">
      <w:pPr>
        <w:pStyle w:val="15"/>
        <w:rPr>
          <w:rFonts w:asciiTheme="minorHAnsi" w:hAnsiTheme="minorHAnsi" w:eastAsiaTheme="minorEastAsia" w:cstheme="minorBidi"/>
          <w:sz w:val="21"/>
          <w:szCs w:val="22"/>
        </w:rPr>
      </w:pPr>
      <w:r>
        <w:fldChar w:fldCharType="begin"/>
      </w:r>
      <w:r>
        <w:instrText xml:space="preserve"> HYPERLINK \l "_Toc238554484" </w:instrText>
      </w:r>
      <w:r>
        <w:fldChar w:fldCharType="separate"/>
      </w:r>
      <w:r>
        <w:rPr>
          <w:rStyle w:val="21"/>
          <w:rFonts w:cs="Arial"/>
          <w:bCs/>
        </w:rPr>
        <w:t>第十四条 基金管理人和基金托管人的更换</w:t>
      </w:r>
      <w:r>
        <w:tab/>
      </w:r>
      <w:r>
        <w:fldChar w:fldCharType="begin"/>
      </w:r>
      <w:r>
        <w:instrText xml:space="preserve"> PAGEREF _Toc238554484 \h </w:instrText>
      </w:r>
      <w:r>
        <w:fldChar w:fldCharType="separate"/>
      </w:r>
      <w:r>
        <w:t>29</w:t>
      </w:r>
      <w:r>
        <w:fldChar w:fldCharType="end"/>
      </w:r>
      <w:r>
        <w:fldChar w:fldCharType="end"/>
      </w:r>
    </w:p>
    <w:p w14:paraId="506EB447">
      <w:pPr>
        <w:pStyle w:val="15"/>
        <w:rPr>
          <w:rFonts w:asciiTheme="minorHAnsi" w:hAnsiTheme="minorHAnsi" w:eastAsiaTheme="minorEastAsia" w:cstheme="minorBidi"/>
          <w:sz w:val="21"/>
          <w:szCs w:val="22"/>
        </w:rPr>
      </w:pPr>
      <w:r>
        <w:fldChar w:fldCharType="begin"/>
      </w:r>
      <w:r>
        <w:instrText xml:space="preserve"> HYPERLINK \l "_Toc238554485" </w:instrText>
      </w:r>
      <w:r>
        <w:fldChar w:fldCharType="separate"/>
      </w:r>
      <w:r>
        <w:rPr>
          <w:rStyle w:val="21"/>
          <w:rFonts w:cs="Arial"/>
          <w:bCs/>
        </w:rPr>
        <w:t>第十五条 禁止行为</w:t>
      </w:r>
      <w:r>
        <w:tab/>
      </w:r>
      <w:r>
        <w:fldChar w:fldCharType="begin"/>
      </w:r>
      <w:r>
        <w:instrText xml:space="preserve"> PAGEREF _Toc238554485 \h </w:instrText>
      </w:r>
      <w:r>
        <w:fldChar w:fldCharType="separate"/>
      </w:r>
      <w:r>
        <w:t>32</w:t>
      </w:r>
      <w:r>
        <w:fldChar w:fldCharType="end"/>
      </w:r>
      <w:r>
        <w:fldChar w:fldCharType="end"/>
      </w:r>
    </w:p>
    <w:p w14:paraId="2AB591E2">
      <w:pPr>
        <w:pStyle w:val="15"/>
        <w:rPr>
          <w:rFonts w:asciiTheme="minorHAnsi" w:hAnsiTheme="minorHAnsi" w:eastAsiaTheme="minorEastAsia" w:cstheme="minorBidi"/>
          <w:sz w:val="21"/>
          <w:szCs w:val="22"/>
        </w:rPr>
      </w:pPr>
      <w:r>
        <w:fldChar w:fldCharType="begin"/>
      </w:r>
      <w:r>
        <w:instrText xml:space="preserve"> HYPERLINK \l "_Toc238554486" </w:instrText>
      </w:r>
      <w:r>
        <w:fldChar w:fldCharType="separate"/>
      </w:r>
      <w:r>
        <w:rPr>
          <w:rStyle w:val="21"/>
          <w:rFonts w:cs="Arial"/>
          <w:bCs/>
        </w:rPr>
        <w:t>第十六条 本协议的变更、终止与基金财产的清算</w:t>
      </w:r>
      <w:r>
        <w:tab/>
      </w:r>
      <w:r>
        <w:fldChar w:fldCharType="begin"/>
      </w:r>
      <w:r>
        <w:instrText xml:space="preserve"> PAGEREF _Toc238554486 \h </w:instrText>
      </w:r>
      <w:r>
        <w:fldChar w:fldCharType="separate"/>
      </w:r>
      <w:r>
        <w:t>33</w:t>
      </w:r>
      <w:r>
        <w:fldChar w:fldCharType="end"/>
      </w:r>
      <w:r>
        <w:fldChar w:fldCharType="end"/>
      </w:r>
    </w:p>
    <w:p w14:paraId="1CA9A6F9">
      <w:pPr>
        <w:pStyle w:val="15"/>
        <w:rPr>
          <w:rFonts w:asciiTheme="minorHAnsi" w:hAnsiTheme="minorHAnsi" w:eastAsiaTheme="minorEastAsia" w:cstheme="minorBidi"/>
          <w:sz w:val="21"/>
          <w:szCs w:val="22"/>
        </w:rPr>
      </w:pPr>
      <w:r>
        <w:fldChar w:fldCharType="begin"/>
      </w:r>
      <w:r>
        <w:instrText xml:space="preserve"> HYPERLINK \l "_Toc238554487" </w:instrText>
      </w:r>
      <w:r>
        <w:fldChar w:fldCharType="separate"/>
      </w:r>
      <w:r>
        <w:rPr>
          <w:rStyle w:val="21"/>
          <w:rFonts w:cs="Arial"/>
          <w:bCs/>
        </w:rPr>
        <w:t>第十七条 违约责任</w:t>
      </w:r>
      <w:r>
        <w:tab/>
      </w:r>
      <w:r>
        <w:fldChar w:fldCharType="begin"/>
      </w:r>
      <w:r>
        <w:instrText xml:space="preserve"> PAGEREF _Toc238554487 \h </w:instrText>
      </w:r>
      <w:r>
        <w:fldChar w:fldCharType="separate"/>
      </w:r>
      <w:r>
        <w:t>35</w:t>
      </w:r>
      <w:r>
        <w:fldChar w:fldCharType="end"/>
      </w:r>
      <w:r>
        <w:fldChar w:fldCharType="end"/>
      </w:r>
    </w:p>
    <w:p w14:paraId="7C5B7572">
      <w:pPr>
        <w:pStyle w:val="15"/>
        <w:rPr>
          <w:rFonts w:asciiTheme="minorHAnsi" w:hAnsiTheme="minorHAnsi" w:eastAsiaTheme="minorEastAsia" w:cstheme="minorBidi"/>
          <w:sz w:val="21"/>
          <w:szCs w:val="22"/>
        </w:rPr>
      </w:pPr>
      <w:r>
        <w:fldChar w:fldCharType="begin"/>
      </w:r>
      <w:r>
        <w:instrText xml:space="preserve"> HYPERLINK \l "_Toc238554488" </w:instrText>
      </w:r>
      <w:r>
        <w:fldChar w:fldCharType="separate"/>
      </w:r>
      <w:r>
        <w:rPr>
          <w:rStyle w:val="21"/>
          <w:rFonts w:cs="Arial"/>
          <w:bCs/>
        </w:rPr>
        <w:t>第十八条 法律适用和争议解决</w:t>
      </w:r>
      <w:r>
        <w:tab/>
      </w:r>
      <w:r>
        <w:fldChar w:fldCharType="begin"/>
      </w:r>
      <w:r>
        <w:instrText xml:space="preserve"> PAGEREF _Toc238554488 \h </w:instrText>
      </w:r>
      <w:r>
        <w:fldChar w:fldCharType="separate"/>
      </w:r>
      <w:r>
        <w:t>36</w:t>
      </w:r>
      <w:r>
        <w:fldChar w:fldCharType="end"/>
      </w:r>
      <w:r>
        <w:fldChar w:fldCharType="end"/>
      </w:r>
    </w:p>
    <w:p w14:paraId="65DB672B">
      <w:pPr>
        <w:pStyle w:val="15"/>
        <w:rPr>
          <w:rFonts w:asciiTheme="minorHAnsi" w:hAnsiTheme="minorHAnsi" w:eastAsiaTheme="minorEastAsia" w:cstheme="minorBidi"/>
          <w:sz w:val="21"/>
          <w:szCs w:val="22"/>
        </w:rPr>
      </w:pPr>
      <w:r>
        <w:fldChar w:fldCharType="begin"/>
      </w:r>
      <w:r>
        <w:instrText xml:space="preserve"> HYPERLINK \l "_Toc238554489" </w:instrText>
      </w:r>
      <w:r>
        <w:fldChar w:fldCharType="separate"/>
      </w:r>
      <w:r>
        <w:rPr>
          <w:rStyle w:val="21"/>
          <w:rFonts w:cs="Arial"/>
          <w:bCs/>
        </w:rPr>
        <w:t>第十九条 本协议的效力</w:t>
      </w:r>
      <w:r>
        <w:tab/>
      </w:r>
      <w:r>
        <w:fldChar w:fldCharType="begin"/>
      </w:r>
      <w:r>
        <w:instrText xml:space="preserve"> PAGEREF _Toc238554489 \h </w:instrText>
      </w:r>
      <w:r>
        <w:fldChar w:fldCharType="separate"/>
      </w:r>
      <w:r>
        <w:t>36</w:t>
      </w:r>
      <w:r>
        <w:fldChar w:fldCharType="end"/>
      </w:r>
      <w:r>
        <w:fldChar w:fldCharType="end"/>
      </w:r>
    </w:p>
    <w:p w14:paraId="7B998015">
      <w:pPr>
        <w:pStyle w:val="15"/>
        <w:rPr>
          <w:rFonts w:asciiTheme="minorHAnsi" w:hAnsiTheme="minorHAnsi" w:eastAsiaTheme="minorEastAsia" w:cstheme="minorBidi"/>
          <w:sz w:val="21"/>
          <w:szCs w:val="22"/>
        </w:rPr>
      </w:pPr>
      <w:r>
        <w:fldChar w:fldCharType="begin"/>
      </w:r>
      <w:r>
        <w:instrText xml:space="preserve"> HYPERLINK \l "_Toc238554490" </w:instrText>
      </w:r>
      <w:r>
        <w:fldChar w:fldCharType="separate"/>
      </w:r>
      <w:r>
        <w:rPr>
          <w:rStyle w:val="21"/>
          <w:rFonts w:cs="Arial"/>
          <w:bCs/>
        </w:rPr>
        <w:t>第二十条 本协议的签订</w:t>
      </w:r>
      <w:r>
        <w:tab/>
      </w:r>
      <w:r>
        <w:fldChar w:fldCharType="begin"/>
      </w:r>
      <w:r>
        <w:instrText xml:space="preserve"> PAGEREF _Toc238554490 \h </w:instrText>
      </w:r>
      <w:r>
        <w:fldChar w:fldCharType="separate"/>
      </w:r>
      <w:r>
        <w:t>37</w:t>
      </w:r>
      <w:r>
        <w:fldChar w:fldCharType="end"/>
      </w:r>
      <w:r>
        <w:fldChar w:fldCharType="end"/>
      </w:r>
    </w:p>
    <w:p w14:paraId="37298871">
      <w:pPr>
        <w:pStyle w:val="15"/>
        <w:rPr>
          <w:rFonts w:asciiTheme="minorHAnsi" w:hAnsiTheme="minorHAnsi" w:eastAsiaTheme="minorEastAsia" w:cstheme="minorBidi"/>
          <w:sz w:val="21"/>
          <w:szCs w:val="22"/>
        </w:rPr>
      </w:pPr>
      <w:r>
        <w:fldChar w:fldCharType="begin"/>
      </w:r>
      <w:r>
        <w:instrText xml:space="preserve"> HYPERLINK \l "_Toc238554491" </w:instrText>
      </w:r>
      <w:r>
        <w:fldChar w:fldCharType="separate"/>
      </w:r>
      <w:r>
        <w:rPr>
          <w:rStyle w:val="21"/>
          <w:rFonts w:cs="Arial"/>
          <w:bCs/>
        </w:rPr>
        <w:t>第二十一条 不可抗力</w:t>
      </w:r>
      <w:r>
        <w:tab/>
      </w:r>
      <w:r>
        <w:fldChar w:fldCharType="begin"/>
      </w:r>
      <w:r>
        <w:instrText xml:space="preserve"> PAGEREF _Toc238554491 \h </w:instrText>
      </w:r>
      <w:r>
        <w:fldChar w:fldCharType="separate"/>
      </w:r>
      <w:r>
        <w:t>37</w:t>
      </w:r>
      <w:r>
        <w:fldChar w:fldCharType="end"/>
      </w:r>
      <w:r>
        <w:fldChar w:fldCharType="end"/>
      </w:r>
    </w:p>
    <w:p w14:paraId="7BDAF623">
      <w:pPr>
        <w:pStyle w:val="15"/>
        <w:rPr>
          <w:rFonts w:asciiTheme="minorHAnsi" w:hAnsiTheme="minorHAnsi" w:eastAsiaTheme="minorEastAsia" w:cstheme="minorBidi"/>
          <w:sz w:val="21"/>
          <w:szCs w:val="22"/>
        </w:rPr>
      </w:pPr>
      <w:r>
        <w:fldChar w:fldCharType="begin"/>
      </w:r>
      <w:r>
        <w:instrText xml:space="preserve"> HYPERLINK \l "_Toc238554492" </w:instrText>
      </w:r>
      <w:r>
        <w:fldChar w:fldCharType="separate"/>
      </w:r>
      <w:r>
        <w:rPr>
          <w:rStyle w:val="21"/>
          <w:rFonts w:cs="Arial"/>
          <w:bCs/>
        </w:rPr>
        <w:t>第二十二条 可分割性</w:t>
      </w:r>
      <w:r>
        <w:tab/>
      </w:r>
      <w:r>
        <w:fldChar w:fldCharType="begin"/>
      </w:r>
      <w:r>
        <w:instrText xml:space="preserve"> PAGEREF _Toc238554492 \h </w:instrText>
      </w:r>
      <w:r>
        <w:fldChar w:fldCharType="separate"/>
      </w:r>
      <w:r>
        <w:t>37</w:t>
      </w:r>
      <w:r>
        <w:fldChar w:fldCharType="end"/>
      </w:r>
      <w:r>
        <w:fldChar w:fldCharType="end"/>
      </w:r>
    </w:p>
    <w:p w14:paraId="33EC98AC">
      <w:pPr>
        <w:pStyle w:val="15"/>
        <w:rPr>
          <w:rFonts w:asciiTheme="minorHAnsi" w:hAnsiTheme="minorHAnsi" w:eastAsiaTheme="minorEastAsia" w:cstheme="minorBidi"/>
          <w:sz w:val="21"/>
          <w:szCs w:val="22"/>
        </w:rPr>
      </w:pPr>
      <w:r>
        <w:fldChar w:fldCharType="begin"/>
      </w:r>
      <w:r>
        <w:instrText xml:space="preserve"> HYPERLINK \l "_Toc238554493" </w:instrText>
      </w:r>
      <w:r>
        <w:fldChar w:fldCharType="separate"/>
      </w:r>
      <w:r>
        <w:rPr>
          <w:rStyle w:val="21"/>
          <w:rFonts w:cs="Arial"/>
          <w:bCs/>
        </w:rPr>
        <w:t>第二十三条 通知与送达</w:t>
      </w:r>
      <w:r>
        <w:tab/>
      </w:r>
      <w:r>
        <w:fldChar w:fldCharType="begin"/>
      </w:r>
      <w:r>
        <w:instrText xml:space="preserve"> PAGEREF _Toc238554493 \h </w:instrText>
      </w:r>
      <w:r>
        <w:fldChar w:fldCharType="separate"/>
      </w:r>
      <w:r>
        <w:t>38</w:t>
      </w:r>
      <w:r>
        <w:fldChar w:fldCharType="end"/>
      </w:r>
      <w:r>
        <w:fldChar w:fldCharType="end"/>
      </w:r>
    </w:p>
    <w:p w14:paraId="30C2DFA3">
      <w:pPr>
        <w:pStyle w:val="15"/>
        <w:rPr>
          <w:rFonts w:asciiTheme="minorHAnsi" w:hAnsiTheme="minorHAnsi" w:eastAsiaTheme="minorEastAsia" w:cstheme="minorBidi"/>
          <w:sz w:val="21"/>
          <w:szCs w:val="22"/>
        </w:rPr>
      </w:pPr>
      <w:r>
        <w:fldChar w:fldCharType="begin"/>
      </w:r>
      <w:r>
        <w:instrText xml:space="preserve"> HYPERLINK \l "_Toc238554494" </w:instrText>
      </w:r>
      <w:r>
        <w:fldChar w:fldCharType="separate"/>
      </w:r>
      <w:r>
        <w:rPr>
          <w:rStyle w:val="21"/>
          <w:rFonts w:cs="Arial"/>
          <w:bCs/>
        </w:rPr>
        <w:t>第二十四条 其他约定事项</w:t>
      </w:r>
      <w:r>
        <w:tab/>
      </w:r>
      <w:r>
        <w:fldChar w:fldCharType="begin"/>
      </w:r>
      <w:r>
        <w:instrText xml:space="preserve"> PAGEREF _Toc238554494 \h </w:instrText>
      </w:r>
      <w:r>
        <w:fldChar w:fldCharType="separate"/>
      </w:r>
      <w:r>
        <w:t>39</w:t>
      </w:r>
      <w:r>
        <w:fldChar w:fldCharType="end"/>
      </w:r>
      <w:r>
        <w:fldChar w:fldCharType="end"/>
      </w:r>
    </w:p>
    <w:p w14:paraId="4F76BE0F">
      <w:pPr>
        <w:snapToGrid w:val="0"/>
        <w:spacing w:line="360" w:lineRule="auto"/>
        <w:rPr>
          <w:rFonts w:ascii="Arial" w:hAnsi="Arial" w:cs="Arial"/>
          <w:b/>
          <w:sz w:val="28"/>
          <w:szCs w:val="28"/>
        </w:rPr>
        <w:sectPr>
          <w:headerReference r:id="rId3" w:type="default"/>
          <w:footerReference r:id="rId4" w:type="default"/>
          <w:footerReference r:id="rId5" w:type="even"/>
          <w:pgSz w:w="11907" w:h="16840"/>
          <w:pgMar w:top="1440" w:right="1800" w:bottom="1440" w:left="1800" w:header="850" w:footer="794" w:gutter="0"/>
          <w:pgNumType w:start="0"/>
          <w:cols w:space="720" w:num="1"/>
          <w:titlePg/>
          <w:docGrid w:linePitch="286" w:charSpace="0"/>
        </w:sectPr>
      </w:pPr>
      <w:r>
        <w:rPr>
          <w:rFonts w:ascii="宋体" w:hAnsi="宋体" w:cs="Arial"/>
          <w:b/>
          <w:sz w:val="24"/>
          <w:szCs w:val="24"/>
        </w:rPr>
        <w:fldChar w:fldCharType="end"/>
      </w:r>
    </w:p>
    <w:p w14:paraId="007374C3">
      <w:pPr>
        <w:autoSpaceDE w:val="0"/>
        <w:autoSpaceDN w:val="0"/>
        <w:adjustRightInd w:val="0"/>
        <w:spacing w:line="520" w:lineRule="atLeast"/>
        <w:ind w:firstLine="482" w:firstLineChars="200"/>
        <w:rPr>
          <w:rFonts w:ascii="Arial" w:hAnsi="Arial" w:cs="Arial"/>
          <w:b/>
          <w:sz w:val="24"/>
          <w:szCs w:val="24"/>
        </w:rPr>
      </w:pPr>
      <w:r>
        <w:rPr>
          <w:rFonts w:ascii="Arial" w:hAnsi="Arial" w:cs="Arial"/>
          <w:b/>
          <w:sz w:val="24"/>
          <w:szCs w:val="24"/>
        </w:rPr>
        <w:t>鉴于：</w:t>
      </w:r>
    </w:p>
    <w:p w14:paraId="02EC5A67">
      <w:pPr>
        <w:pStyle w:val="11"/>
        <w:spacing w:before="0" w:after="0" w:line="520" w:lineRule="atLeast"/>
        <w:ind w:left="0" w:firstLine="480" w:firstLineChars="200"/>
        <w:rPr>
          <w:rFonts w:hAnsi="宋体" w:cs="Arial"/>
          <w:szCs w:val="24"/>
        </w:rPr>
      </w:pPr>
      <w:r>
        <w:rPr>
          <w:rFonts w:hAnsi="宋体" w:cs="Arial"/>
          <w:szCs w:val="24"/>
        </w:rPr>
        <w:t>1．</w:t>
      </w:r>
      <w:r>
        <w:rPr>
          <w:rFonts w:hint="eastAsia" w:hAnsi="宋体" w:cs="Arial"/>
          <w:szCs w:val="24"/>
        </w:rPr>
        <w:t>国融基金管理有限公司</w:t>
      </w:r>
      <w:r>
        <w:rPr>
          <w:rFonts w:hAnsi="宋体" w:cs="Arial"/>
          <w:szCs w:val="24"/>
        </w:rPr>
        <w:t>系一家依照中国法律合法成立并有效存续的企业法人或其他组织，按照相关法律法规的规定具备担任基金管理人的资格和能力；</w:t>
      </w:r>
    </w:p>
    <w:p w14:paraId="1A26496E">
      <w:pPr>
        <w:pStyle w:val="11"/>
        <w:spacing w:before="0" w:after="0" w:line="520" w:lineRule="atLeast"/>
        <w:ind w:left="0" w:firstLine="480" w:firstLineChars="200"/>
        <w:rPr>
          <w:rFonts w:hAnsi="宋体" w:cs="Arial"/>
          <w:szCs w:val="24"/>
        </w:rPr>
      </w:pPr>
      <w:r>
        <w:rPr>
          <w:rFonts w:hAnsi="宋体" w:cs="Arial"/>
          <w:szCs w:val="24"/>
        </w:rPr>
        <w:t>2.中信银行股份有限公司系一家依照中国法律合法成立并有效存续的银行，按照相关法律法规的规定具备担任基金托管人的资格和能力；</w:t>
      </w:r>
    </w:p>
    <w:p w14:paraId="30DE0AD6">
      <w:pPr>
        <w:pStyle w:val="11"/>
        <w:spacing w:before="0" w:after="0" w:line="520" w:lineRule="atLeast"/>
        <w:ind w:left="0" w:firstLine="480" w:firstLineChars="200"/>
        <w:rPr>
          <w:rFonts w:hAnsi="宋体" w:cs="Arial"/>
          <w:szCs w:val="24"/>
        </w:rPr>
      </w:pPr>
      <w:r>
        <w:rPr>
          <w:rFonts w:hAnsi="宋体" w:cs="Arial"/>
          <w:szCs w:val="24"/>
        </w:rPr>
        <w:t>3.</w:t>
      </w:r>
      <w:r>
        <w:rPr>
          <w:rFonts w:hint="eastAsia" w:hAnsi="宋体" w:cs="Arial"/>
          <w:szCs w:val="24"/>
        </w:rPr>
        <w:t>国融基金管理有限公司</w:t>
      </w:r>
      <w:r>
        <w:rPr>
          <w:rFonts w:hAnsi="宋体" w:cs="Arial"/>
          <w:szCs w:val="24"/>
        </w:rPr>
        <w:t>拟担任</w:t>
      </w:r>
      <w:r>
        <w:rPr>
          <w:rFonts w:hint="eastAsia" w:hAnsi="宋体" w:cs="Arial"/>
          <w:szCs w:val="24"/>
        </w:rPr>
        <w:t>国融聚达63个月封闭式债券型证券投资基金</w:t>
      </w:r>
      <w:r>
        <w:rPr>
          <w:rFonts w:hAnsi="宋体" w:cs="Arial"/>
          <w:szCs w:val="24"/>
        </w:rPr>
        <w:t>的基金管理人，中信银行股份有限公司拟担任</w:t>
      </w:r>
      <w:r>
        <w:rPr>
          <w:rFonts w:hint="eastAsia" w:hAnsi="宋体" w:cs="Arial"/>
          <w:szCs w:val="24"/>
        </w:rPr>
        <w:t>国融聚达63个月封闭式债券型证券投资基金</w:t>
      </w:r>
      <w:r>
        <w:rPr>
          <w:rFonts w:hAnsi="宋体" w:cs="Arial"/>
          <w:szCs w:val="24"/>
        </w:rPr>
        <w:t>的基金托管人；</w:t>
      </w:r>
    </w:p>
    <w:p w14:paraId="7A437E75">
      <w:pPr>
        <w:pStyle w:val="11"/>
        <w:spacing w:before="0" w:after="0" w:line="520" w:lineRule="atLeast"/>
        <w:ind w:left="0" w:firstLine="480" w:firstLineChars="200"/>
        <w:rPr>
          <w:rFonts w:hAnsi="宋体" w:cs="Arial"/>
          <w:szCs w:val="24"/>
        </w:rPr>
      </w:pPr>
      <w:r>
        <w:rPr>
          <w:rFonts w:hAnsi="宋体" w:cs="Arial"/>
          <w:szCs w:val="24"/>
        </w:rPr>
        <w:t>为明确双方在基金托管中的权利、义务及责任，确保基金财产的安全，保护基金份额持有人的合法权益，依据相关法律法规和监管规定，双方本着平等自愿、诚实守信的原则特签订本协议。</w:t>
      </w:r>
    </w:p>
    <w:p w14:paraId="2144691D">
      <w:pPr>
        <w:pStyle w:val="11"/>
        <w:spacing w:before="0" w:after="0" w:line="520" w:lineRule="atLeast"/>
        <w:ind w:left="0" w:firstLine="541"/>
        <w:rPr>
          <w:rFonts w:hAnsi="宋体" w:cs="Arial"/>
          <w:b/>
          <w:bCs/>
          <w:szCs w:val="24"/>
        </w:rPr>
      </w:pPr>
      <w:r>
        <w:rPr>
          <w:rFonts w:hAnsi="宋体" w:cs="Arial"/>
          <w:b/>
          <w:bCs/>
          <w:szCs w:val="24"/>
        </w:rPr>
        <w:t>释义：</w:t>
      </w:r>
    </w:p>
    <w:p w14:paraId="44F3B5D1">
      <w:pPr>
        <w:pStyle w:val="11"/>
        <w:spacing w:before="0" w:after="0" w:line="520" w:lineRule="atLeast"/>
        <w:ind w:left="0" w:firstLine="480" w:firstLineChars="200"/>
        <w:rPr>
          <w:rFonts w:hAnsi="宋体" w:cs="Arial"/>
          <w:szCs w:val="24"/>
        </w:rPr>
      </w:pPr>
      <w:r>
        <w:rPr>
          <w:rFonts w:hAnsi="宋体" w:cs="Arial"/>
          <w:szCs w:val="24"/>
        </w:rPr>
        <w:t>除非另有约定，《</w:t>
      </w:r>
      <w:r>
        <w:rPr>
          <w:rFonts w:hint="eastAsia" w:hAnsi="宋体" w:cs="Arial"/>
          <w:szCs w:val="24"/>
        </w:rPr>
        <w:t>国融聚达63个月封闭式债券型证券投资基金</w:t>
      </w:r>
      <w:r>
        <w:rPr>
          <w:rFonts w:hAnsi="宋体" w:cs="Arial"/>
          <w:szCs w:val="24"/>
        </w:rPr>
        <w:t>基金合同》</w:t>
      </w:r>
      <w:r>
        <w:rPr>
          <w:rFonts w:hint="eastAsia" w:hAnsi="宋体" w:cs="Arial"/>
          <w:szCs w:val="24"/>
        </w:rPr>
        <w:t>（</w:t>
      </w:r>
      <w:r>
        <w:rPr>
          <w:rFonts w:hAnsi="宋体" w:cs="Arial"/>
          <w:szCs w:val="24"/>
        </w:rPr>
        <w:t>以下简称“基金合同”</w:t>
      </w:r>
      <w:r>
        <w:rPr>
          <w:rFonts w:hint="eastAsia" w:hAnsi="宋体" w:cs="Arial"/>
          <w:szCs w:val="24"/>
        </w:rPr>
        <w:t>）</w:t>
      </w:r>
      <w:r>
        <w:rPr>
          <w:rFonts w:hAnsi="宋体" w:cs="Arial"/>
          <w:szCs w:val="24"/>
        </w:rPr>
        <w:t>中定义的术语在用于本托管协议时应具有相同的含义；若有抵触，应以基金合同为准，并依其条款解释。</w:t>
      </w:r>
    </w:p>
    <w:p w14:paraId="77EBAC9E">
      <w:pPr>
        <w:pStyle w:val="2"/>
        <w:spacing w:line="520" w:lineRule="atLeast"/>
        <w:ind w:firstLine="482" w:firstLineChars="200"/>
        <w:rPr>
          <w:rFonts w:cs="Arial"/>
          <w:bCs/>
          <w:color w:val="auto"/>
          <w:szCs w:val="24"/>
        </w:rPr>
      </w:pPr>
      <w:bookmarkStart w:id="10" w:name="_Toc238554471"/>
      <w:bookmarkStart w:id="11" w:name="_Toc296551337"/>
      <w:r>
        <w:rPr>
          <w:rFonts w:cs="Arial"/>
          <w:bCs/>
          <w:color w:val="auto"/>
          <w:szCs w:val="24"/>
        </w:rPr>
        <w:t>第一条 本协议当事人</w:t>
      </w:r>
      <w:bookmarkEnd w:id="10"/>
      <w:bookmarkEnd w:id="11"/>
    </w:p>
    <w:p w14:paraId="481B5A2F">
      <w:pPr>
        <w:pStyle w:val="11"/>
        <w:adjustRightInd w:val="0"/>
        <w:snapToGrid w:val="0"/>
        <w:spacing w:before="0" w:after="120" w:afterLines="50" w:line="520" w:lineRule="atLeast"/>
        <w:ind w:left="0" w:firstLine="480" w:firstLineChars="200"/>
        <w:rPr>
          <w:rFonts w:hAnsi="宋体" w:cs="Arial"/>
          <w:szCs w:val="24"/>
        </w:rPr>
      </w:pPr>
      <w:r>
        <w:rPr>
          <w:rFonts w:hAnsi="宋体" w:cs="Arial"/>
          <w:szCs w:val="24"/>
        </w:rPr>
        <w:t>1.1基金管理人：</w:t>
      </w:r>
    </w:p>
    <w:p w14:paraId="0D876C4A">
      <w:pPr>
        <w:spacing w:line="360" w:lineRule="auto"/>
        <w:ind w:firstLine="480" w:firstLineChars="200"/>
        <w:rPr>
          <w:rFonts w:ascii="宋体" w:hAnsi="宋体" w:cs="Arial"/>
          <w:sz w:val="24"/>
          <w:szCs w:val="24"/>
        </w:rPr>
      </w:pPr>
      <w:r>
        <w:rPr>
          <w:rFonts w:hint="eastAsia" w:ascii="宋体" w:hAnsi="宋体" w:cs="Arial"/>
          <w:sz w:val="24"/>
          <w:szCs w:val="24"/>
        </w:rPr>
        <w:t>名称：国融基金管理有限公司</w:t>
      </w:r>
    </w:p>
    <w:p w14:paraId="2AD27B6F">
      <w:pPr>
        <w:spacing w:line="360" w:lineRule="auto"/>
        <w:ind w:firstLine="480" w:firstLineChars="200"/>
        <w:rPr>
          <w:rFonts w:ascii="宋体" w:hAnsi="宋体" w:cs="Arial"/>
          <w:sz w:val="24"/>
          <w:szCs w:val="24"/>
        </w:rPr>
      </w:pPr>
      <w:r>
        <w:rPr>
          <w:rFonts w:hint="eastAsia" w:ascii="宋体" w:hAnsi="宋体" w:cs="Arial"/>
          <w:sz w:val="24"/>
          <w:szCs w:val="24"/>
        </w:rPr>
        <w:t>住所：上海市虹口区溧阳路735号4幢4210室</w:t>
      </w:r>
    </w:p>
    <w:p w14:paraId="6491F503">
      <w:pPr>
        <w:spacing w:line="360" w:lineRule="auto"/>
        <w:ind w:firstLine="480" w:firstLineChars="200"/>
        <w:rPr>
          <w:rFonts w:ascii="宋体" w:hAnsi="宋体" w:cs="Arial"/>
          <w:sz w:val="24"/>
          <w:szCs w:val="24"/>
        </w:rPr>
      </w:pPr>
      <w:r>
        <w:rPr>
          <w:rFonts w:hint="eastAsia" w:ascii="宋体" w:hAnsi="宋体" w:cs="Arial"/>
          <w:sz w:val="24"/>
          <w:szCs w:val="24"/>
        </w:rPr>
        <w:t>法定代表人：侯守法</w:t>
      </w:r>
    </w:p>
    <w:p w14:paraId="658F25FF">
      <w:pPr>
        <w:spacing w:line="360" w:lineRule="auto"/>
        <w:ind w:firstLine="480" w:firstLineChars="200"/>
        <w:rPr>
          <w:rFonts w:ascii="宋体" w:hAnsi="宋体" w:cs="Arial"/>
          <w:sz w:val="24"/>
          <w:szCs w:val="24"/>
        </w:rPr>
      </w:pPr>
      <w:r>
        <w:rPr>
          <w:rFonts w:hint="eastAsia" w:ascii="宋体" w:hAnsi="宋体" w:cs="Arial"/>
          <w:sz w:val="24"/>
          <w:szCs w:val="24"/>
        </w:rPr>
        <w:t>设立日期：2017年6月20日</w:t>
      </w:r>
    </w:p>
    <w:p w14:paraId="3321DDC7">
      <w:pPr>
        <w:spacing w:line="360" w:lineRule="auto"/>
        <w:ind w:firstLine="480" w:firstLineChars="200"/>
        <w:rPr>
          <w:rFonts w:ascii="宋体" w:hAnsi="宋体" w:cs="Arial"/>
          <w:sz w:val="24"/>
          <w:szCs w:val="24"/>
        </w:rPr>
      </w:pPr>
      <w:r>
        <w:rPr>
          <w:rFonts w:hint="eastAsia" w:ascii="宋体" w:hAnsi="宋体" w:cs="Arial"/>
          <w:sz w:val="24"/>
          <w:szCs w:val="24"/>
        </w:rPr>
        <w:t xml:space="preserve">批准设立机关及批准设立文号：中国证监会证监许可【2017】821号 </w:t>
      </w:r>
    </w:p>
    <w:p w14:paraId="21709B98">
      <w:pPr>
        <w:spacing w:line="360" w:lineRule="auto"/>
        <w:ind w:firstLine="480" w:firstLineChars="200"/>
        <w:rPr>
          <w:rFonts w:ascii="宋体" w:hAnsi="宋体" w:cs="Arial"/>
          <w:sz w:val="24"/>
          <w:szCs w:val="24"/>
        </w:rPr>
      </w:pPr>
      <w:r>
        <w:rPr>
          <w:rFonts w:hint="eastAsia" w:ascii="宋体" w:hAnsi="宋体" w:cs="Arial"/>
          <w:sz w:val="24"/>
          <w:szCs w:val="24"/>
        </w:rPr>
        <w:t>组织形式：有限责任公司</w:t>
      </w:r>
    </w:p>
    <w:p w14:paraId="3679D916">
      <w:pPr>
        <w:spacing w:line="360" w:lineRule="auto"/>
        <w:ind w:firstLine="480" w:firstLineChars="200"/>
        <w:rPr>
          <w:rFonts w:ascii="宋体" w:hAnsi="宋体" w:cs="Arial"/>
          <w:sz w:val="24"/>
          <w:szCs w:val="24"/>
        </w:rPr>
      </w:pPr>
      <w:r>
        <w:rPr>
          <w:rFonts w:hint="eastAsia" w:ascii="宋体" w:hAnsi="宋体" w:cs="Arial"/>
          <w:sz w:val="24"/>
          <w:szCs w:val="24"/>
        </w:rPr>
        <w:t>注册资本：人民币25000万元整</w:t>
      </w:r>
    </w:p>
    <w:p w14:paraId="7853B8CE">
      <w:pPr>
        <w:spacing w:line="360" w:lineRule="auto"/>
        <w:ind w:firstLine="480" w:firstLineChars="200"/>
        <w:rPr>
          <w:rFonts w:ascii="宋体" w:hAnsi="宋体" w:cs="Arial"/>
          <w:sz w:val="24"/>
          <w:szCs w:val="24"/>
        </w:rPr>
      </w:pPr>
      <w:r>
        <w:rPr>
          <w:rFonts w:hint="eastAsia" w:ascii="宋体" w:hAnsi="宋体" w:cs="Arial"/>
          <w:sz w:val="24"/>
          <w:szCs w:val="24"/>
        </w:rPr>
        <w:t>存续期限：持续经营</w:t>
      </w:r>
    </w:p>
    <w:p w14:paraId="39A37D90">
      <w:pPr>
        <w:pStyle w:val="11"/>
        <w:spacing w:before="0" w:after="0" w:line="360" w:lineRule="auto"/>
        <w:ind w:left="0" w:firstLine="480" w:firstLineChars="200"/>
        <w:rPr>
          <w:rFonts w:hAnsi="宋体" w:cs="Arial"/>
          <w:szCs w:val="24"/>
        </w:rPr>
      </w:pPr>
      <w:r>
        <w:rPr>
          <w:rFonts w:hint="eastAsia" w:hAnsi="宋体" w:cs="Arial"/>
          <w:szCs w:val="24"/>
        </w:rPr>
        <w:t>经营范围：公募基金管理，资产管理</w:t>
      </w:r>
    </w:p>
    <w:p w14:paraId="1BDA73E6">
      <w:pPr>
        <w:pStyle w:val="11"/>
        <w:adjustRightInd w:val="0"/>
        <w:snapToGrid w:val="0"/>
        <w:spacing w:before="0" w:after="120" w:afterLines="50" w:line="520" w:lineRule="atLeast"/>
        <w:ind w:left="0" w:firstLine="480" w:firstLineChars="200"/>
        <w:rPr>
          <w:rFonts w:hAnsi="宋体" w:cs="Arial"/>
          <w:szCs w:val="24"/>
        </w:rPr>
      </w:pPr>
      <w:r>
        <w:rPr>
          <w:rFonts w:hAnsi="宋体" w:cs="Arial"/>
          <w:szCs w:val="24"/>
        </w:rPr>
        <w:t>1.2基金托管人：</w:t>
      </w:r>
    </w:p>
    <w:p w14:paraId="22A1E1E5">
      <w:pPr>
        <w:pStyle w:val="11"/>
        <w:spacing w:before="0" w:after="0" w:line="360" w:lineRule="auto"/>
        <w:ind w:left="0" w:firstLine="480" w:firstLineChars="200"/>
        <w:rPr>
          <w:rFonts w:hAnsi="宋体" w:cs="Arial"/>
          <w:szCs w:val="24"/>
        </w:rPr>
      </w:pPr>
      <w:r>
        <w:rPr>
          <w:rFonts w:hint="eastAsia" w:hAnsi="宋体" w:cs="Arial"/>
          <w:szCs w:val="24"/>
        </w:rPr>
        <w:t>名称：中信银行股份有限公司</w:t>
      </w:r>
    </w:p>
    <w:p w14:paraId="6BB44FAF">
      <w:pPr>
        <w:pStyle w:val="11"/>
        <w:spacing w:before="0" w:after="0" w:line="360" w:lineRule="auto"/>
        <w:ind w:left="0" w:firstLine="480" w:firstLineChars="200"/>
        <w:rPr>
          <w:rFonts w:hAnsi="宋体" w:cs="Arial"/>
          <w:szCs w:val="24"/>
        </w:rPr>
      </w:pPr>
      <w:r>
        <w:rPr>
          <w:rFonts w:hint="eastAsia" w:hAnsi="宋体" w:cs="Arial"/>
          <w:szCs w:val="24"/>
        </w:rPr>
        <w:t>住所：北京市朝阳区光华路10号院1号楼6-30层、32-42层</w:t>
      </w:r>
    </w:p>
    <w:p w14:paraId="34EDE763">
      <w:pPr>
        <w:pStyle w:val="11"/>
        <w:spacing w:before="0" w:after="0" w:line="360" w:lineRule="auto"/>
        <w:ind w:left="0" w:firstLine="480" w:firstLineChars="200"/>
        <w:rPr>
          <w:rFonts w:hAnsi="宋体" w:cs="Arial"/>
          <w:szCs w:val="24"/>
        </w:rPr>
      </w:pPr>
      <w:r>
        <w:rPr>
          <w:rFonts w:hint="eastAsia" w:hAnsi="宋体" w:cs="Arial"/>
          <w:szCs w:val="24"/>
        </w:rPr>
        <w:t>办公地址：北京市朝阳区光华路10号院1号楼6-30层、32-42层</w:t>
      </w:r>
    </w:p>
    <w:p w14:paraId="16394979">
      <w:pPr>
        <w:pStyle w:val="11"/>
        <w:spacing w:before="0" w:after="0" w:line="360" w:lineRule="auto"/>
        <w:ind w:left="0" w:firstLine="480" w:firstLineChars="200"/>
        <w:rPr>
          <w:rFonts w:hAnsi="宋体" w:cs="Arial"/>
          <w:szCs w:val="24"/>
        </w:rPr>
      </w:pPr>
      <w:r>
        <w:rPr>
          <w:rFonts w:hint="eastAsia" w:hAnsi="宋体" w:cs="Arial"/>
          <w:szCs w:val="24"/>
        </w:rPr>
        <w:t>邮政编码：100000</w:t>
      </w:r>
    </w:p>
    <w:p w14:paraId="119B6D03">
      <w:pPr>
        <w:pStyle w:val="11"/>
        <w:spacing w:before="0" w:after="0" w:line="360" w:lineRule="auto"/>
        <w:ind w:left="0" w:firstLine="480" w:firstLineChars="200"/>
        <w:rPr>
          <w:rFonts w:hAnsi="宋体" w:cs="Arial"/>
          <w:szCs w:val="24"/>
        </w:rPr>
      </w:pPr>
      <w:r>
        <w:rPr>
          <w:rFonts w:hint="eastAsia" w:hAnsi="宋体" w:cs="Arial"/>
          <w:szCs w:val="24"/>
        </w:rPr>
        <w:t>法定代表人：方合英</w:t>
      </w:r>
    </w:p>
    <w:p w14:paraId="6E4628C1">
      <w:pPr>
        <w:pStyle w:val="11"/>
        <w:spacing w:before="0" w:after="0" w:line="360" w:lineRule="auto"/>
        <w:ind w:left="0" w:firstLine="480" w:firstLineChars="200"/>
        <w:rPr>
          <w:rFonts w:hAnsi="宋体" w:cs="Arial"/>
          <w:szCs w:val="24"/>
        </w:rPr>
      </w:pPr>
      <w:r>
        <w:rPr>
          <w:rFonts w:hint="eastAsia" w:hAnsi="宋体" w:cs="Arial"/>
          <w:szCs w:val="24"/>
        </w:rPr>
        <w:t>成立时间：1987年4月20日</w:t>
      </w:r>
    </w:p>
    <w:p w14:paraId="6EB060A8">
      <w:pPr>
        <w:pStyle w:val="11"/>
        <w:spacing w:before="0" w:after="0" w:line="360" w:lineRule="auto"/>
        <w:ind w:left="0" w:firstLine="480" w:firstLineChars="200"/>
        <w:rPr>
          <w:rFonts w:hAnsi="宋体" w:cs="Arial"/>
          <w:szCs w:val="24"/>
        </w:rPr>
      </w:pPr>
      <w:r>
        <w:rPr>
          <w:rFonts w:hint="eastAsia" w:hAnsi="宋体" w:cs="Arial"/>
          <w:szCs w:val="24"/>
        </w:rPr>
        <w:t>批准设立机关和批准设立文号：中华人民共和国国务院办公厅国办函〔1987〕14号</w:t>
      </w:r>
    </w:p>
    <w:p w14:paraId="31412472">
      <w:pPr>
        <w:pStyle w:val="11"/>
        <w:spacing w:before="0" w:after="0" w:line="360" w:lineRule="auto"/>
        <w:ind w:left="0" w:firstLine="480" w:firstLineChars="200"/>
        <w:rPr>
          <w:rFonts w:hAnsi="宋体" w:cs="Arial"/>
          <w:szCs w:val="24"/>
        </w:rPr>
      </w:pPr>
      <w:r>
        <w:rPr>
          <w:rFonts w:hint="eastAsia" w:hAnsi="宋体" w:cs="Arial"/>
          <w:szCs w:val="24"/>
        </w:rPr>
        <w:t>基金托管业务批准文号：中国证监会证监基金字〔2004〕125号</w:t>
      </w:r>
    </w:p>
    <w:p w14:paraId="0AD36475">
      <w:pPr>
        <w:pStyle w:val="11"/>
        <w:spacing w:before="0" w:after="0" w:line="360" w:lineRule="auto"/>
        <w:ind w:left="0" w:firstLine="480" w:firstLineChars="200"/>
        <w:rPr>
          <w:rFonts w:hAnsi="宋体" w:cs="Arial"/>
          <w:szCs w:val="24"/>
        </w:rPr>
      </w:pPr>
      <w:r>
        <w:rPr>
          <w:rFonts w:hint="eastAsia" w:hAnsi="宋体" w:cs="Arial"/>
          <w:szCs w:val="24"/>
        </w:rPr>
        <w:t>组织形式：股份有限公司</w:t>
      </w:r>
    </w:p>
    <w:p w14:paraId="17DBE44A">
      <w:pPr>
        <w:pStyle w:val="11"/>
        <w:spacing w:before="0" w:after="0" w:line="360" w:lineRule="auto"/>
        <w:ind w:left="0" w:firstLine="480" w:firstLineChars="200"/>
        <w:rPr>
          <w:rFonts w:hAnsi="宋体" w:cs="Arial"/>
          <w:szCs w:val="24"/>
        </w:rPr>
      </w:pPr>
      <w:r>
        <w:rPr>
          <w:rFonts w:hint="eastAsia" w:hAnsi="宋体" w:cs="Arial"/>
          <w:szCs w:val="24"/>
        </w:rPr>
        <w:t>注册资本：556.5亿元人民币</w:t>
      </w:r>
    </w:p>
    <w:p w14:paraId="65AECB5E">
      <w:pPr>
        <w:pStyle w:val="11"/>
        <w:spacing w:before="0" w:after="0" w:line="360" w:lineRule="auto"/>
        <w:ind w:left="0" w:firstLine="480" w:firstLineChars="200"/>
        <w:rPr>
          <w:rFonts w:hAnsi="宋体" w:cs="Arial"/>
          <w:szCs w:val="24"/>
        </w:rPr>
      </w:pPr>
      <w:r>
        <w:rPr>
          <w:rFonts w:hint="eastAsia" w:hAnsi="宋体" w:cs="Arial"/>
          <w:szCs w:val="24"/>
        </w:rPr>
        <w:t>存续期间：持续经营</w:t>
      </w:r>
    </w:p>
    <w:p w14:paraId="634E4C3F">
      <w:pPr>
        <w:pStyle w:val="2"/>
        <w:spacing w:line="520" w:lineRule="atLeast"/>
        <w:ind w:firstLine="482" w:firstLineChars="200"/>
        <w:rPr>
          <w:rFonts w:cs="Arial"/>
          <w:bCs/>
          <w:color w:val="auto"/>
          <w:szCs w:val="24"/>
        </w:rPr>
      </w:pPr>
      <w:bookmarkStart w:id="12" w:name="_Toc296551338"/>
      <w:bookmarkStart w:id="13" w:name="_Toc238554472"/>
      <w:r>
        <w:rPr>
          <w:rFonts w:cs="Arial"/>
          <w:bCs/>
          <w:color w:val="auto"/>
          <w:szCs w:val="24"/>
        </w:rPr>
        <w:t>第二条 本协议的依据、目的和原则</w:t>
      </w:r>
      <w:bookmarkEnd w:id="12"/>
      <w:bookmarkEnd w:id="13"/>
    </w:p>
    <w:p w14:paraId="5005ACDE">
      <w:pPr>
        <w:pStyle w:val="11"/>
        <w:spacing w:before="0" w:after="0" w:line="520" w:lineRule="atLeast"/>
        <w:ind w:left="0" w:firstLine="480" w:firstLineChars="200"/>
        <w:rPr>
          <w:rFonts w:hAnsi="宋体" w:cs="Arial"/>
          <w:szCs w:val="24"/>
        </w:rPr>
      </w:pPr>
      <w:r>
        <w:rPr>
          <w:rFonts w:hAnsi="宋体" w:cs="Arial"/>
          <w:szCs w:val="24"/>
        </w:rPr>
        <w:t>2.1本协议的依据</w:t>
      </w:r>
    </w:p>
    <w:p w14:paraId="141266F6">
      <w:pPr>
        <w:pStyle w:val="11"/>
        <w:spacing w:before="0" w:after="0" w:line="520" w:lineRule="atLeast"/>
        <w:ind w:left="0" w:firstLine="480" w:firstLineChars="200"/>
        <w:rPr>
          <w:rFonts w:hAnsi="宋体" w:cs="Arial"/>
          <w:szCs w:val="24"/>
        </w:rPr>
      </w:pPr>
      <w:r>
        <w:rPr>
          <w:rFonts w:hAnsi="宋体" w:cs="Arial"/>
          <w:szCs w:val="24"/>
        </w:rPr>
        <w:t>订立本协议的依据是</w:t>
      </w:r>
      <w:r>
        <w:rPr>
          <w:rFonts w:hAnsi="宋体" w:cs="Arial"/>
          <w:bCs/>
          <w:szCs w:val="24"/>
        </w:rPr>
        <w:t>《中华人民共和国民法典》、</w:t>
      </w:r>
      <w:r>
        <w:rPr>
          <w:rFonts w:hAnsi="宋体" w:cs="Arial"/>
          <w:szCs w:val="24"/>
        </w:rPr>
        <w:t>《中华人民共和国证券投资基金法》（以下简称“《基金法》”）、《公开募集证券投资基金运作管理办法》（以下简称“《运作办法》”）、《</w:t>
      </w:r>
      <w:r>
        <w:rPr>
          <w:rFonts w:hAnsi="宋体" w:cs="Arial"/>
          <w:bCs/>
          <w:szCs w:val="24"/>
        </w:rPr>
        <w:t>公开募集证券投资基金销售机构监督管理办法</w:t>
      </w:r>
      <w:r>
        <w:rPr>
          <w:rFonts w:hAnsi="宋体" w:cs="Arial"/>
          <w:szCs w:val="24"/>
        </w:rPr>
        <w:t>》（以下简称“《销售办法》”）、《公开募集证券投资基金信息披露管理办法》（以下简称“《信息披露办法》”）、《证券投资基金信息披露内容与格式准则第7号〈托管协议的内容与格式〉》</w:t>
      </w:r>
      <w:r>
        <w:rPr>
          <w:rFonts w:hAnsi="宋体" w:cs="Arial"/>
          <w:bCs/>
          <w:szCs w:val="24"/>
        </w:rPr>
        <w:t>、</w:t>
      </w:r>
      <w:r>
        <w:rPr>
          <w:rFonts w:hAnsi="宋体" w:cs="Arial"/>
          <w:szCs w:val="24"/>
        </w:rPr>
        <w:t>《</w:t>
      </w:r>
      <w:r>
        <w:rPr>
          <w:rFonts w:hint="eastAsia" w:hAnsi="宋体" w:cs="Arial"/>
          <w:szCs w:val="24"/>
        </w:rPr>
        <w:t>国融聚达63个月封闭式债券型证券投资基金</w:t>
      </w:r>
      <w:r>
        <w:rPr>
          <w:rFonts w:hAnsi="宋体" w:cs="Arial"/>
          <w:szCs w:val="24"/>
        </w:rPr>
        <w:t>基金合同》（以下简称“基金合同”）及其他有关规定。</w:t>
      </w:r>
    </w:p>
    <w:p w14:paraId="5CA7038B">
      <w:pPr>
        <w:pStyle w:val="11"/>
        <w:adjustRightInd w:val="0"/>
        <w:snapToGrid w:val="0"/>
        <w:spacing w:before="0" w:after="0" w:line="520" w:lineRule="atLeast"/>
        <w:ind w:left="0" w:firstLine="480" w:firstLineChars="200"/>
        <w:rPr>
          <w:rFonts w:hAnsi="宋体" w:cs="Arial"/>
          <w:szCs w:val="24"/>
        </w:rPr>
      </w:pPr>
      <w:r>
        <w:rPr>
          <w:rFonts w:hAnsi="宋体" w:cs="Arial"/>
          <w:szCs w:val="24"/>
        </w:rPr>
        <w:t>2.2本协议的目的</w:t>
      </w:r>
    </w:p>
    <w:p w14:paraId="3E4FBD7E">
      <w:pPr>
        <w:pStyle w:val="11"/>
        <w:adjustRightInd w:val="0"/>
        <w:snapToGrid w:val="0"/>
        <w:spacing w:before="0" w:after="0" w:line="520" w:lineRule="atLeast"/>
        <w:ind w:left="0" w:firstLine="480" w:firstLineChars="200"/>
        <w:rPr>
          <w:rFonts w:hAnsi="宋体" w:cs="Arial"/>
          <w:szCs w:val="24"/>
        </w:rPr>
      </w:pPr>
      <w:r>
        <w:rPr>
          <w:rFonts w:hAnsi="宋体" w:cs="Arial"/>
          <w:szCs w:val="24"/>
        </w:rPr>
        <w:t>订立本协议的目的是明确基金托管人与基金管理人之间在基金财产的保管、投资运作、净值计算、收益分配、信息披露及相互监督等有关事宜中的权利、义务及职责，确保基金财产的安全，保护基金份额持有人的合法权益。</w:t>
      </w:r>
    </w:p>
    <w:p w14:paraId="7D17F270">
      <w:pPr>
        <w:pStyle w:val="11"/>
        <w:adjustRightInd w:val="0"/>
        <w:snapToGrid w:val="0"/>
        <w:spacing w:before="0" w:after="0" w:line="520" w:lineRule="atLeast"/>
        <w:ind w:left="0" w:firstLine="480" w:firstLineChars="200"/>
        <w:rPr>
          <w:rFonts w:hAnsi="宋体" w:cs="Arial"/>
          <w:szCs w:val="24"/>
        </w:rPr>
      </w:pPr>
      <w:r>
        <w:rPr>
          <w:rFonts w:hAnsi="宋体" w:cs="Arial"/>
          <w:szCs w:val="24"/>
        </w:rPr>
        <w:t>2.3本协议的原则</w:t>
      </w:r>
    </w:p>
    <w:p w14:paraId="186B911A">
      <w:pPr>
        <w:pStyle w:val="11"/>
        <w:adjustRightInd w:val="0"/>
        <w:snapToGrid w:val="0"/>
        <w:spacing w:before="0" w:after="0" w:line="520" w:lineRule="atLeast"/>
        <w:ind w:left="0" w:firstLine="480" w:firstLineChars="200"/>
        <w:rPr>
          <w:rFonts w:hAnsi="宋体" w:cs="Arial"/>
          <w:szCs w:val="24"/>
        </w:rPr>
      </w:pPr>
      <w:r>
        <w:rPr>
          <w:rFonts w:hAnsi="宋体" w:cs="Arial"/>
          <w:szCs w:val="24"/>
        </w:rPr>
        <w:t>基金管理人和基金托管人本着平等自愿、诚实信用、充分保护基金份额持有人合法权益的原则，经协商一致，签订本协议。</w:t>
      </w:r>
    </w:p>
    <w:p w14:paraId="09A98B24">
      <w:pPr>
        <w:pStyle w:val="2"/>
        <w:adjustRightInd w:val="0"/>
        <w:spacing w:line="520" w:lineRule="atLeast"/>
        <w:ind w:firstLine="482" w:firstLineChars="200"/>
        <w:rPr>
          <w:rFonts w:cs="Arial"/>
          <w:bCs/>
          <w:color w:val="auto"/>
          <w:szCs w:val="24"/>
        </w:rPr>
      </w:pPr>
      <w:bookmarkStart w:id="14" w:name="_Toc296551339"/>
      <w:bookmarkStart w:id="15" w:name="_Toc238554473"/>
      <w:r>
        <w:rPr>
          <w:rFonts w:cs="Arial"/>
          <w:bCs/>
          <w:color w:val="auto"/>
          <w:szCs w:val="24"/>
        </w:rPr>
        <w:t>第三条 基金托管人对基金管理人的业务监督和核查</w:t>
      </w:r>
      <w:bookmarkEnd w:id="14"/>
      <w:bookmarkEnd w:id="15"/>
    </w:p>
    <w:p w14:paraId="0C626B49">
      <w:pPr>
        <w:pStyle w:val="11"/>
        <w:adjustRightInd w:val="0"/>
        <w:snapToGrid w:val="0"/>
        <w:spacing w:before="0" w:after="0" w:line="520" w:lineRule="atLeast"/>
        <w:ind w:left="0" w:firstLine="480" w:firstLineChars="200"/>
        <w:rPr>
          <w:rFonts w:hAnsi="宋体" w:cs="Arial"/>
          <w:szCs w:val="24"/>
        </w:rPr>
      </w:pPr>
      <w:r>
        <w:rPr>
          <w:rFonts w:hAnsi="宋体" w:cs="Arial"/>
          <w:szCs w:val="24"/>
        </w:rPr>
        <w:t>3.1基金托管人对基金管理人的投资行为行使监督权</w:t>
      </w:r>
    </w:p>
    <w:p w14:paraId="0D31AC88">
      <w:pPr>
        <w:pStyle w:val="11"/>
        <w:adjustRightInd w:val="0"/>
        <w:snapToGrid w:val="0"/>
        <w:spacing w:before="0" w:after="0" w:line="520" w:lineRule="atLeast"/>
        <w:ind w:left="0" w:firstLine="480" w:firstLineChars="200"/>
        <w:rPr>
          <w:rFonts w:hAnsi="宋体" w:cs="Arial"/>
          <w:szCs w:val="24"/>
        </w:rPr>
      </w:pPr>
      <w:r>
        <w:rPr>
          <w:rFonts w:hAnsi="宋体" w:cs="Arial"/>
          <w:szCs w:val="24"/>
        </w:rPr>
        <w:t>3.1.1基金托管人根据有关法律法规的规定和基金合同的约定，对下述基金投资范围、投资对象进行监督。本基金将投资于以下金融工具：</w:t>
      </w:r>
    </w:p>
    <w:p w14:paraId="1317A808">
      <w:pPr>
        <w:pStyle w:val="11"/>
        <w:adjustRightInd w:val="0"/>
        <w:snapToGrid w:val="0"/>
        <w:spacing w:before="0" w:after="0" w:line="520" w:lineRule="atLeast"/>
        <w:ind w:left="0" w:firstLine="480" w:firstLineChars="200"/>
        <w:rPr>
          <w:rFonts w:hAnsi="宋体" w:cs="Arial"/>
          <w:szCs w:val="24"/>
        </w:rPr>
      </w:pPr>
      <w:r>
        <w:rPr>
          <w:rFonts w:hint="eastAsia" w:hAnsi="宋体" w:cs="Arial"/>
          <w:szCs w:val="24"/>
        </w:rPr>
        <w:t>本基金的投资范围为具有良好流动性的金融工具，包括国内依法上市的债券（国债、央行票据、金融债券、</w:t>
      </w:r>
      <w:bookmarkStart w:id="16" w:name="_Hlk236408866"/>
      <w:r>
        <w:rPr>
          <w:rFonts w:hint="eastAsia" w:hAnsi="宋体" w:cs="Arial"/>
          <w:szCs w:val="24"/>
        </w:rPr>
        <w:t>政策性金融债、</w:t>
      </w:r>
      <w:bookmarkEnd w:id="16"/>
      <w:r>
        <w:rPr>
          <w:rFonts w:hint="eastAsia" w:hAnsi="宋体" w:cs="Arial"/>
          <w:szCs w:val="24"/>
        </w:rPr>
        <w:t>企业债券、公司债券、中期票据、短期融资券、超短期融资券、政府支持机构债、地方政府债、次级债券、证券公司短期公司债券及其他经中国证监会允许投资的债券）、资产支持证券、债券回购、同业存单、银行存款（包括协议存款、通知存款、定期存款及其他银行存款）、货币市场工具以及</w:t>
      </w:r>
      <w:bookmarkStart w:id="17" w:name="OLE_LINK37"/>
      <w:bookmarkStart w:id="18" w:name="OLE_LINK36"/>
      <w:r>
        <w:rPr>
          <w:rFonts w:hint="eastAsia" w:hAnsi="宋体" w:cs="Arial"/>
          <w:szCs w:val="24"/>
        </w:rPr>
        <w:t>法律法规或</w:t>
      </w:r>
      <w:bookmarkEnd w:id="17"/>
      <w:bookmarkEnd w:id="18"/>
      <w:r>
        <w:rPr>
          <w:rFonts w:hint="eastAsia" w:hAnsi="宋体" w:cs="Arial"/>
          <w:szCs w:val="24"/>
        </w:rPr>
        <w:t>中国证监会允许基金投资的其他金融工具（但须符合中国证监会相关规定）。</w:t>
      </w:r>
    </w:p>
    <w:p w14:paraId="21C9FF82">
      <w:pPr>
        <w:pStyle w:val="11"/>
        <w:adjustRightInd w:val="0"/>
        <w:snapToGrid w:val="0"/>
        <w:spacing w:before="0" w:after="0" w:line="520" w:lineRule="atLeast"/>
        <w:ind w:left="0" w:firstLine="480" w:firstLineChars="200"/>
        <w:rPr>
          <w:rFonts w:hAnsi="宋体" w:cs="Arial"/>
          <w:szCs w:val="24"/>
        </w:rPr>
      </w:pPr>
      <w:r>
        <w:rPr>
          <w:rFonts w:hint="eastAsia" w:hAnsi="宋体" w:cs="Arial"/>
          <w:szCs w:val="24"/>
        </w:rPr>
        <w:t>本基金不投资股票等权益类资产，也不投资于可转换债券及可交换债券。</w:t>
      </w:r>
    </w:p>
    <w:p w14:paraId="14C8D659">
      <w:pPr>
        <w:pStyle w:val="11"/>
        <w:adjustRightInd w:val="0"/>
        <w:snapToGrid w:val="0"/>
        <w:spacing w:before="0" w:after="0" w:line="520" w:lineRule="atLeast"/>
        <w:ind w:left="0" w:firstLine="480" w:firstLineChars="200"/>
        <w:rPr>
          <w:rFonts w:hAnsi="宋体" w:cs="Arial"/>
          <w:szCs w:val="24"/>
        </w:rPr>
      </w:pPr>
      <w:r>
        <w:rPr>
          <w:rFonts w:hint="eastAsia" w:hAnsi="宋体" w:cs="Arial"/>
          <w:szCs w:val="24"/>
        </w:rPr>
        <w:t>如法律法规或监管机构以后允许基金投资其他品种，基金管理人在履行适当程序后，可以将其纳入投资范围，并可依据届时有效的法律法规适时合理地调整投资范围。</w:t>
      </w:r>
    </w:p>
    <w:p w14:paraId="398D5E8D">
      <w:pPr>
        <w:pStyle w:val="11"/>
        <w:adjustRightInd w:val="0"/>
        <w:snapToGrid w:val="0"/>
        <w:spacing w:before="0" w:after="0" w:line="520" w:lineRule="atLeast"/>
        <w:ind w:left="0" w:firstLine="480" w:firstLineChars="200"/>
        <w:rPr>
          <w:rFonts w:hAnsi="宋体" w:cs="Arial"/>
          <w:szCs w:val="24"/>
        </w:rPr>
      </w:pPr>
      <w:r>
        <w:rPr>
          <w:rFonts w:hint="eastAsia" w:hAnsi="宋体" w:cs="Arial"/>
          <w:szCs w:val="24"/>
        </w:rPr>
        <w:t>基金的投资组合比例为：</w:t>
      </w:r>
    </w:p>
    <w:p w14:paraId="4207F687">
      <w:pPr>
        <w:pStyle w:val="11"/>
        <w:adjustRightInd w:val="0"/>
        <w:snapToGrid w:val="0"/>
        <w:spacing w:before="0" w:after="0" w:line="520" w:lineRule="atLeast"/>
        <w:ind w:left="0" w:firstLine="480" w:firstLineChars="200"/>
        <w:rPr>
          <w:rFonts w:hAnsi="宋体" w:cs="Arial"/>
          <w:szCs w:val="24"/>
        </w:rPr>
      </w:pPr>
      <w:r>
        <w:rPr>
          <w:rFonts w:hint="eastAsia" w:hAnsi="宋体" w:cs="Arial"/>
          <w:szCs w:val="24"/>
        </w:rPr>
        <w:t>本基金投资于债券资产的比例不低于基金资产的80%</w:t>
      </w:r>
      <w:bookmarkStart w:id="19" w:name="_Hlk236408888"/>
      <w:r>
        <w:rPr>
          <w:rFonts w:hint="eastAsia" w:hAnsi="宋体" w:cs="Arial"/>
          <w:szCs w:val="24"/>
        </w:rPr>
        <w:t>，在本基金封闭期到期日前6个月内，基金投资不受上述比例限制</w:t>
      </w:r>
      <w:bookmarkEnd w:id="19"/>
      <w:r>
        <w:rPr>
          <w:rFonts w:hint="eastAsia" w:hAnsi="宋体" w:cs="Arial"/>
          <w:szCs w:val="24"/>
        </w:rPr>
        <w:t>。</w:t>
      </w:r>
    </w:p>
    <w:p w14:paraId="377E5C06">
      <w:pPr>
        <w:pStyle w:val="11"/>
        <w:adjustRightInd w:val="0"/>
        <w:snapToGrid w:val="0"/>
        <w:spacing w:before="0" w:after="0" w:line="520" w:lineRule="atLeast"/>
        <w:ind w:left="0" w:firstLine="480" w:firstLineChars="200"/>
        <w:rPr>
          <w:rFonts w:hAnsi="宋体" w:cs="Arial"/>
          <w:szCs w:val="24"/>
        </w:rPr>
      </w:pPr>
      <w:r>
        <w:rPr>
          <w:rFonts w:hint="eastAsia" w:hAnsi="宋体" w:cs="Arial"/>
          <w:szCs w:val="24"/>
        </w:rPr>
        <w:t>如法律法规或监管机构以后变更投资品种的投资比例限制，基金管理人在履行适当程序后，可以调整上述投资品种的投资比例。</w:t>
      </w:r>
    </w:p>
    <w:p w14:paraId="320EBDE5">
      <w:pPr>
        <w:pStyle w:val="11"/>
        <w:adjustRightInd w:val="0"/>
        <w:snapToGrid w:val="0"/>
        <w:spacing w:before="0" w:after="0" w:line="520" w:lineRule="atLeast"/>
        <w:ind w:left="0" w:firstLine="480" w:firstLineChars="200"/>
        <w:rPr>
          <w:rFonts w:hAnsi="宋体" w:cs="Arial"/>
        </w:rPr>
      </w:pPr>
      <w:r>
        <w:rPr>
          <w:rFonts w:hAnsi="宋体" w:cs="Arial"/>
        </w:rPr>
        <w:t>3.1.2基金托管人根据有关法律法规的规定及基金合同的约定对下述基金投融资比例进行监督：</w:t>
      </w:r>
    </w:p>
    <w:p w14:paraId="43CE7780">
      <w:pPr>
        <w:pStyle w:val="11"/>
        <w:spacing w:before="0" w:after="0" w:line="520" w:lineRule="atLeast"/>
        <w:ind w:left="0" w:firstLine="480" w:firstLineChars="200"/>
        <w:rPr>
          <w:rFonts w:hAnsi="宋体" w:cs="Arial"/>
          <w:szCs w:val="24"/>
        </w:rPr>
      </w:pPr>
      <w:r>
        <w:rPr>
          <w:rFonts w:hint="eastAsia" w:hAnsi="宋体" w:cs="Arial"/>
          <w:szCs w:val="24"/>
        </w:rPr>
        <w:t>（1）封闭期内，本基金持有的各类金融工具的到期日（或回售日）不得晚于该封闭期的最后一日；</w:t>
      </w:r>
    </w:p>
    <w:p w14:paraId="409137FE">
      <w:pPr>
        <w:pStyle w:val="11"/>
        <w:spacing w:before="0" w:after="0" w:line="520" w:lineRule="atLeast"/>
        <w:ind w:left="0" w:firstLine="480" w:firstLineChars="200"/>
        <w:rPr>
          <w:rFonts w:hAnsi="宋体" w:cs="Arial"/>
          <w:szCs w:val="24"/>
        </w:rPr>
      </w:pPr>
      <w:r>
        <w:rPr>
          <w:rFonts w:hint="eastAsia" w:hAnsi="宋体" w:cs="Arial"/>
          <w:szCs w:val="24"/>
        </w:rPr>
        <w:t>（2）本基金投资于债券资产的比例不低于基金资产的80%。</w:t>
      </w:r>
      <w:bookmarkStart w:id="20" w:name="_Hlk236408829"/>
      <w:r>
        <w:rPr>
          <w:rFonts w:hint="eastAsia" w:hAnsi="宋体" w:cs="Arial"/>
          <w:szCs w:val="24"/>
        </w:rPr>
        <w:t>在本基金封闭期到期日前6个月内，基金投资不受上述比例限制</w:t>
      </w:r>
      <w:bookmarkEnd w:id="20"/>
      <w:r>
        <w:rPr>
          <w:rFonts w:hint="eastAsia" w:hAnsi="宋体" w:cs="Arial"/>
          <w:szCs w:val="24"/>
        </w:rPr>
        <w:t>；</w:t>
      </w:r>
    </w:p>
    <w:p w14:paraId="16360446">
      <w:pPr>
        <w:pStyle w:val="11"/>
        <w:spacing w:before="0" w:after="0" w:line="520" w:lineRule="atLeast"/>
        <w:ind w:left="0" w:firstLine="480" w:firstLineChars="200"/>
        <w:rPr>
          <w:rFonts w:hAnsi="宋体" w:cs="Arial"/>
          <w:szCs w:val="24"/>
        </w:rPr>
      </w:pPr>
      <w:r>
        <w:rPr>
          <w:rFonts w:hint="eastAsia" w:hAnsi="宋体" w:cs="Arial"/>
          <w:szCs w:val="24"/>
        </w:rPr>
        <w:t>（3）本基金持有一家公司发行的证券，其市值不超过基金资产净值的10％；</w:t>
      </w:r>
    </w:p>
    <w:p w14:paraId="063BEFD9">
      <w:pPr>
        <w:pStyle w:val="11"/>
        <w:spacing w:before="0" w:after="0" w:line="520" w:lineRule="atLeast"/>
        <w:ind w:left="0" w:firstLine="480" w:firstLineChars="200"/>
        <w:rPr>
          <w:rFonts w:hAnsi="宋体" w:cs="Arial"/>
          <w:szCs w:val="24"/>
        </w:rPr>
      </w:pPr>
      <w:r>
        <w:rPr>
          <w:rFonts w:hint="eastAsia" w:hAnsi="宋体" w:cs="Arial"/>
          <w:szCs w:val="24"/>
        </w:rPr>
        <w:t>（</w:t>
      </w:r>
      <w:r>
        <w:rPr>
          <w:rFonts w:hAnsi="宋体" w:cs="Arial"/>
          <w:szCs w:val="24"/>
        </w:rPr>
        <w:t>4）本基金管理人管理的全部基金持有一家公司发行的证券，不超过该证券的10％；</w:t>
      </w:r>
    </w:p>
    <w:p w14:paraId="4B7604B0">
      <w:pPr>
        <w:pStyle w:val="11"/>
        <w:spacing w:before="0" w:after="0" w:line="520" w:lineRule="atLeast"/>
        <w:ind w:left="0" w:firstLine="480" w:firstLineChars="200"/>
        <w:rPr>
          <w:rFonts w:hAnsi="宋体" w:cs="Arial"/>
          <w:szCs w:val="24"/>
        </w:rPr>
      </w:pPr>
      <w:r>
        <w:rPr>
          <w:rFonts w:hint="eastAsia" w:hAnsi="宋体" w:cs="Arial"/>
          <w:szCs w:val="24"/>
        </w:rPr>
        <w:t>（5）本基金投资于同一原始权益人的各类资产支持证券的比例，不得超过基金资产净值的10％；</w:t>
      </w:r>
    </w:p>
    <w:p w14:paraId="2C7ACA0E">
      <w:pPr>
        <w:pStyle w:val="11"/>
        <w:spacing w:before="0" w:after="0" w:line="520" w:lineRule="atLeast"/>
        <w:ind w:left="0" w:firstLine="480" w:firstLineChars="200"/>
        <w:rPr>
          <w:rFonts w:hAnsi="宋体" w:cs="Arial"/>
          <w:szCs w:val="24"/>
        </w:rPr>
      </w:pPr>
      <w:r>
        <w:rPr>
          <w:rFonts w:hint="eastAsia" w:hAnsi="宋体" w:cs="Arial"/>
          <w:szCs w:val="24"/>
        </w:rPr>
        <w:t>（6）本基金持有的全部资产支持证券，其市值不得超过基金资产净值的20％；</w:t>
      </w:r>
    </w:p>
    <w:p w14:paraId="5F5C0641">
      <w:pPr>
        <w:pStyle w:val="11"/>
        <w:spacing w:before="0" w:after="0" w:line="520" w:lineRule="atLeast"/>
        <w:ind w:left="0" w:firstLine="480" w:firstLineChars="200"/>
        <w:rPr>
          <w:rFonts w:hAnsi="宋体" w:cs="Arial"/>
          <w:szCs w:val="24"/>
        </w:rPr>
      </w:pPr>
      <w:r>
        <w:rPr>
          <w:rFonts w:hint="eastAsia" w:hAnsi="宋体" w:cs="Arial"/>
          <w:szCs w:val="24"/>
        </w:rPr>
        <w:t>（7）本基金持有的同一（指同一信用级别）资产支持证券的比例，不得超过该资产支持证券规模的10％；</w:t>
      </w:r>
    </w:p>
    <w:p w14:paraId="5D30A0D4">
      <w:pPr>
        <w:pStyle w:val="11"/>
        <w:spacing w:before="0" w:after="0" w:line="520" w:lineRule="atLeast"/>
        <w:ind w:left="0" w:firstLine="480" w:firstLineChars="200"/>
        <w:rPr>
          <w:rFonts w:hAnsi="宋体" w:cs="Arial"/>
          <w:szCs w:val="24"/>
        </w:rPr>
      </w:pPr>
      <w:r>
        <w:rPr>
          <w:rFonts w:hint="eastAsia" w:hAnsi="宋体" w:cs="Arial"/>
          <w:szCs w:val="24"/>
        </w:rPr>
        <w:t>（</w:t>
      </w:r>
      <w:r>
        <w:rPr>
          <w:rFonts w:hAnsi="宋体" w:cs="Arial"/>
          <w:szCs w:val="24"/>
        </w:rPr>
        <w:t>8）本基金管理人管理的全部基金投资于同一原始权益人的各类资产支持证券，不得超过其各类资产支持证券合计规模的10％；</w:t>
      </w:r>
    </w:p>
    <w:p w14:paraId="57E0D4E6">
      <w:pPr>
        <w:pStyle w:val="11"/>
        <w:spacing w:before="0" w:after="0" w:line="520" w:lineRule="atLeast"/>
        <w:ind w:left="0" w:firstLine="480" w:firstLineChars="200"/>
        <w:rPr>
          <w:rFonts w:hAnsi="宋体" w:cs="Arial"/>
          <w:szCs w:val="24"/>
        </w:rPr>
      </w:pPr>
      <w:r>
        <w:rPr>
          <w:rFonts w:hint="eastAsia" w:hAnsi="宋体" w:cs="Arial"/>
          <w:szCs w:val="24"/>
        </w:rPr>
        <w:t>（9）本基金应投资于信用级别评级为</w:t>
      </w:r>
      <w:r>
        <w:rPr>
          <w:rFonts w:hAnsi="宋体" w:cs="Arial"/>
          <w:szCs w:val="24"/>
        </w:rPr>
        <w:t>AA</w:t>
      </w:r>
      <w:r>
        <w:rPr>
          <w:rFonts w:hint="eastAsia" w:hAnsi="宋体" w:cs="Arial"/>
          <w:szCs w:val="24"/>
        </w:rPr>
        <w:t>级以上（含</w:t>
      </w:r>
      <w:r>
        <w:rPr>
          <w:rFonts w:hAnsi="宋体" w:cs="Arial"/>
          <w:szCs w:val="24"/>
        </w:rPr>
        <w:t>AA</w:t>
      </w:r>
      <w:r>
        <w:rPr>
          <w:rFonts w:hint="eastAsia" w:hAnsi="宋体" w:cs="Arial"/>
          <w:szCs w:val="24"/>
        </w:rPr>
        <w:t>级）的资产支持证券。基金持有资产支持证券期间，如果其信用等级下降、不再符合投资标准，应在评级报告发布之日起3个月内予以全部卖出；</w:t>
      </w:r>
    </w:p>
    <w:p w14:paraId="4D65C76B">
      <w:pPr>
        <w:pStyle w:val="11"/>
        <w:spacing w:before="0" w:after="0" w:line="520" w:lineRule="atLeast"/>
        <w:ind w:left="0" w:firstLine="480" w:firstLineChars="200"/>
        <w:rPr>
          <w:rFonts w:hAnsi="宋体" w:cs="Arial"/>
          <w:szCs w:val="24"/>
        </w:rPr>
      </w:pPr>
      <w:r>
        <w:rPr>
          <w:rFonts w:hint="eastAsia" w:hAnsi="宋体" w:cs="Arial"/>
          <w:szCs w:val="24"/>
        </w:rPr>
        <w:t>（1</w:t>
      </w:r>
      <w:r>
        <w:rPr>
          <w:rFonts w:hAnsi="宋体" w:cs="Arial"/>
          <w:szCs w:val="24"/>
        </w:rPr>
        <w:t>0</w:t>
      </w:r>
      <w:r>
        <w:rPr>
          <w:rFonts w:hint="eastAsia" w:hAnsi="宋体" w:cs="Arial"/>
          <w:szCs w:val="24"/>
        </w:rPr>
        <w:t>）本基金的基金总资产不得超过基金净资产的200%；</w:t>
      </w:r>
    </w:p>
    <w:p w14:paraId="29CC17B0">
      <w:pPr>
        <w:spacing w:line="520" w:lineRule="atLeast"/>
        <w:ind w:firstLine="480" w:firstLineChars="200"/>
        <w:rPr>
          <w:rFonts w:ascii="宋体" w:hAnsi="宋体" w:cs="Arial"/>
          <w:sz w:val="24"/>
          <w:szCs w:val="24"/>
        </w:rPr>
      </w:pPr>
      <w:r>
        <w:rPr>
          <w:rFonts w:hint="eastAsia" w:ascii="宋体" w:hAnsi="宋体" w:cs="Arial"/>
          <w:sz w:val="24"/>
          <w:szCs w:val="24"/>
        </w:rPr>
        <w:t>（1</w:t>
      </w:r>
      <w:r>
        <w:rPr>
          <w:rFonts w:ascii="宋体" w:hAnsi="宋体" w:cs="Arial"/>
          <w:sz w:val="24"/>
          <w:szCs w:val="24"/>
        </w:rPr>
        <w:t>1</w:t>
      </w:r>
      <w:r>
        <w:rPr>
          <w:rFonts w:hint="eastAsia" w:ascii="宋体" w:hAnsi="宋体" w:cs="Arial"/>
          <w:sz w:val="24"/>
          <w:szCs w:val="24"/>
        </w:rPr>
        <w:t>）法律法规及中国证监会规定的和《基金合同》约定的其他投资限制。</w:t>
      </w:r>
    </w:p>
    <w:p w14:paraId="2E809FC7">
      <w:pPr>
        <w:spacing w:line="520" w:lineRule="atLeast"/>
        <w:ind w:firstLine="480" w:firstLineChars="200"/>
        <w:rPr>
          <w:rFonts w:ascii="宋体" w:hAnsi="宋体" w:cs="Arial"/>
          <w:bCs/>
          <w:color w:val="000000" w:themeColor="text1"/>
          <w:sz w:val="24"/>
          <w:szCs w:val="24"/>
          <w14:textFill>
            <w14:solidFill>
              <w14:schemeClr w14:val="tx1"/>
            </w14:solidFill>
          </w14:textFill>
        </w:rPr>
      </w:pPr>
      <w:r>
        <w:rPr>
          <w:rFonts w:hint="eastAsia" w:ascii="宋体" w:hAnsi="宋体" w:cs="Arial"/>
          <w:sz w:val="24"/>
          <w:szCs w:val="24"/>
        </w:rPr>
        <w:t>除上述第（9）项另有约定外，因证券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14:paraId="1B5B4018">
      <w:pPr>
        <w:spacing w:line="520" w:lineRule="atLeast"/>
        <w:ind w:firstLine="480" w:firstLineChars="200"/>
        <w:rPr>
          <w:rFonts w:ascii="宋体" w:hAnsi="宋体" w:cs="Arial"/>
          <w:bCs/>
          <w:color w:val="000000" w:themeColor="text1"/>
          <w:sz w:val="24"/>
          <w:szCs w:val="24"/>
          <w14:textFill>
            <w14:solidFill>
              <w14:schemeClr w14:val="tx1"/>
            </w14:solidFill>
          </w14:textFill>
        </w:rPr>
      </w:pPr>
      <w:r>
        <w:rPr>
          <w:rFonts w:hint="eastAsia" w:ascii="宋体" w:hAnsi="宋体" w:cs="Arial"/>
          <w:bCs/>
          <w:color w:val="000000" w:themeColor="text1"/>
          <w:sz w:val="24"/>
          <w:szCs w:val="24"/>
          <w14:textFill>
            <w14:solidFill>
              <w14:schemeClr w14:val="tx1"/>
            </w14:solidFill>
          </w14:textFill>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55B1DC21">
      <w:pPr>
        <w:spacing w:line="520" w:lineRule="atLeast"/>
        <w:ind w:firstLine="480" w:firstLineChars="200"/>
        <w:rPr>
          <w:rFonts w:ascii="宋体" w:hAnsi="宋体" w:cs="Arial"/>
          <w:bCs/>
          <w:color w:val="000000" w:themeColor="text1"/>
          <w:sz w:val="24"/>
          <w:szCs w:val="24"/>
          <w14:textFill>
            <w14:solidFill>
              <w14:schemeClr w14:val="tx1"/>
            </w14:solidFill>
          </w14:textFill>
        </w:rPr>
      </w:pPr>
      <w:r>
        <w:rPr>
          <w:rFonts w:hint="eastAsia" w:ascii="宋体" w:hAnsi="宋体" w:cs="Arial"/>
          <w:bCs/>
          <w:color w:val="000000" w:themeColor="text1"/>
          <w:sz w:val="24"/>
          <w:szCs w:val="24"/>
          <w14:textFill>
            <w14:solidFill>
              <w14:schemeClr w14:val="tx1"/>
            </w14:solidFill>
          </w14:textFill>
        </w:rPr>
        <w:t>法律法规或监管部门取消或变更上述限制，如适用于本基金，基金管理人在履行适当程序后，则本基金投资不再受相关限制或自动遵守届时有效的法律法规或监管规定。</w:t>
      </w:r>
    </w:p>
    <w:p w14:paraId="133516FE">
      <w:pPr>
        <w:pStyle w:val="11"/>
        <w:spacing w:before="0" w:after="0" w:line="520" w:lineRule="atLeast"/>
        <w:ind w:left="0" w:firstLine="480" w:firstLineChars="200"/>
        <w:rPr>
          <w:rFonts w:hAnsi="宋体" w:cs="Arial"/>
          <w:szCs w:val="24"/>
        </w:rPr>
      </w:pPr>
      <w:r>
        <w:rPr>
          <w:rFonts w:hAnsi="宋体" w:cs="Arial"/>
          <w:szCs w:val="24"/>
        </w:rPr>
        <w:t>3.1.3基金托管人根据有关法律法规的规定及基金合同的约定对下述基金投资禁止行为进行监督：</w:t>
      </w:r>
    </w:p>
    <w:p w14:paraId="710E3B8D">
      <w:pPr>
        <w:pStyle w:val="11"/>
        <w:spacing w:before="0" w:after="0" w:line="520" w:lineRule="atLeast"/>
        <w:ind w:left="0" w:firstLine="480" w:firstLineChars="200"/>
        <w:rPr>
          <w:rFonts w:hAnsi="宋体" w:cs="Arial"/>
          <w:szCs w:val="24"/>
        </w:rPr>
      </w:pPr>
      <w:r>
        <w:rPr>
          <w:rFonts w:hAnsi="宋体" w:cs="Arial"/>
          <w:szCs w:val="24"/>
        </w:rPr>
        <w:t>根据法律法规的规定及基金合同的约定，本基金禁止从事下列行为：</w:t>
      </w:r>
    </w:p>
    <w:p w14:paraId="1CF8DB39">
      <w:pPr>
        <w:pStyle w:val="11"/>
        <w:adjustRightInd w:val="0"/>
        <w:snapToGrid w:val="0"/>
        <w:spacing w:before="0" w:after="0" w:line="520" w:lineRule="atLeast"/>
        <w:ind w:left="0" w:firstLine="480" w:firstLineChars="200"/>
        <w:rPr>
          <w:rFonts w:hAnsi="宋体" w:cs="Arial"/>
          <w:szCs w:val="24"/>
        </w:rPr>
      </w:pPr>
      <w:r>
        <w:rPr>
          <w:rFonts w:hAnsi="宋体" w:cs="Arial"/>
          <w:szCs w:val="24"/>
        </w:rPr>
        <w:t>（1）承销证券；</w:t>
      </w:r>
    </w:p>
    <w:p w14:paraId="1A2C7730">
      <w:pPr>
        <w:pStyle w:val="11"/>
        <w:adjustRightInd w:val="0"/>
        <w:snapToGrid w:val="0"/>
        <w:spacing w:before="0" w:after="0" w:line="520" w:lineRule="atLeast"/>
        <w:ind w:left="0" w:firstLine="480" w:firstLineChars="200"/>
        <w:rPr>
          <w:rFonts w:hAnsi="宋体" w:cs="Arial"/>
          <w:szCs w:val="24"/>
        </w:rPr>
      </w:pPr>
      <w:r>
        <w:rPr>
          <w:rFonts w:hAnsi="宋体" w:cs="Arial"/>
          <w:szCs w:val="24"/>
        </w:rPr>
        <w:t>（2）违反规定向他人贷款或者提供担保；</w:t>
      </w:r>
    </w:p>
    <w:p w14:paraId="09A8D2D4">
      <w:pPr>
        <w:pStyle w:val="11"/>
        <w:adjustRightInd w:val="0"/>
        <w:snapToGrid w:val="0"/>
        <w:spacing w:before="0" w:after="0" w:line="520" w:lineRule="atLeast"/>
        <w:ind w:left="0" w:firstLine="480" w:firstLineChars="200"/>
        <w:rPr>
          <w:rFonts w:hAnsi="宋体" w:cs="Arial"/>
          <w:szCs w:val="24"/>
        </w:rPr>
      </w:pPr>
      <w:r>
        <w:rPr>
          <w:rFonts w:hAnsi="宋体" w:cs="Arial"/>
          <w:szCs w:val="24"/>
        </w:rPr>
        <w:t>（3）从事承担无限责任的投资；</w:t>
      </w:r>
    </w:p>
    <w:p w14:paraId="1C0084C0">
      <w:pPr>
        <w:pStyle w:val="11"/>
        <w:adjustRightInd w:val="0"/>
        <w:snapToGrid w:val="0"/>
        <w:spacing w:before="0" w:after="0" w:line="520" w:lineRule="atLeast"/>
        <w:ind w:left="0" w:firstLine="480" w:firstLineChars="200"/>
        <w:rPr>
          <w:rFonts w:hAnsi="宋体" w:cs="Arial"/>
          <w:szCs w:val="24"/>
        </w:rPr>
      </w:pPr>
      <w:r>
        <w:rPr>
          <w:rFonts w:hAnsi="宋体" w:cs="Arial"/>
          <w:szCs w:val="24"/>
        </w:rPr>
        <w:t>（4）买卖其他基金份额，但</w:t>
      </w:r>
      <w:r>
        <w:rPr>
          <w:rFonts w:hint="eastAsia" w:hAnsi="宋体" w:cs="Arial"/>
          <w:szCs w:val="24"/>
        </w:rPr>
        <w:t>是</w:t>
      </w:r>
      <w:r>
        <w:rPr>
          <w:rFonts w:hAnsi="宋体" w:cs="Arial"/>
          <w:szCs w:val="24"/>
        </w:rPr>
        <w:t>中国证监会另有规定的除外；</w:t>
      </w:r>
    </w:p>
    <w:p w14:paraId="1518C872">
      <w:pPr>
        <w:pStyle w:val="11"/>
        <w:adjustRightInd w:val="0"/>
        <w:snapToGrid w:val="0"/>
        <w:spacing w:before="0" w:after="0" w:line="520" w:lineRule="atLeast"/>
        <w:ind w:left="0" w:firstLine="480" w:firstLineChars="200"/>
        <w:rPr>
          <w:rFonts w:hAnsi="宋体" w:cs="Arial"/>
          <w:szCs w:val="24"/>
        </w:rPr>
      </w:pPr>
      <w:r>
        <w:rPr>
          <w:rFonts w:hAnsi="宋体" w:cs="Arial"/>
          <w:szCs w:val="24"/>
        </w:rPr>
        <w:t>（5）向其基金管理人、基金托管人出资；</w:t>
      </w:r>
    </w:p>
    <w:p w14:paraId="51401E35">
      <w:pPr>
        <w:pStyle w:val="11"/>
        <w:adjustRightInd w:val="0"/>
        <w:snapToGrid w:val="0"/>
        <w:spacing w:before="0" w:after="0" w:line="520" w:lineRule="atLeast"/>
        <w:ind w:left="0" w:firstLine="480" w:firstLineChars="200"/>
        <w:rPr>
          <w:rFonts w:hAnsi="宋体" w:cs="Arial"/>
          <w:szCs w:val="24"/>
        </w:rPr>
      </w:pPr>
      <w:r>
        <w:rPr>
          <w:rFonts w:hAnsi="宋体" w:cs="Arial"/>
          <w:szCs w:val="24"/>
        </w:rPr>
        <w:t>（6）从事内幕交易、操纵证券交易价格及其他不正当的证券交易活动；</w:t>
      </w:r>
    </w:p>
    <w:p w14:paraId="0E82C782">
      <w:pPr>
        <w:pStyle w:val="11"/>
        <w:adjustRightInd w:val="0"/>
        <w:snapToGrid w:val="0"/>
        <w:spacing w:before="0" w:after="0" w:line="520" w:lineRule="atLeast"/>
        <w:ind w:left="0" w:firstLine="480" w:firstLineChars="200"/>
        <w:rPr>
          <w:rFonts w:hAnsi="宋体" w:cs="Arial"/>
        </w:rPr>
      </w:pPr>
      <w:r>
        <w:rPr>
          <w:rFonts w:hAnsi="宋体" w:cs="Arial"/>
          <w:szCs w:val="24"/>
        </w:rPr>
        <w:t>（7）法律、行政法规和中国证监会规定禁止的其他活动。</w:t>
      </w:r>
    </w:p>
    <w:p w14:paraId="2EB7CF43">
      <w:pPr>
        <w:pStyle w:val="11"/>
        <w:adjustRightInd w:val="0"/>
        <w:snapToGrid w:val="0"/>
        <w:spacing w:before="0" w:after="0" w:line="520" w:lineRule="atLeast"/>
        <w:ind w:left="0" w:firstLine="480" w:firstLineChars="200"/>
        <w:rPr>
          <w:rFonts w:hAnsi="宋体" w:cs="Arial"/>
          <w:szCs w:val="24"/>
        </w:rPr>
      </w:pPr>
      <w:r>
        <w:rPr>
          <w:rFonts w:hint="eastAsia" w:hAnsi="宋体" w:cs="Arial"/>
          <w:bCs/>
          <w:szCs w:val="24"/>
        </w:rPr>
        <w:t>法律、行政法规或监管部门取消或调整上述禁止性规定的，如适用于本基金，基金管理人在履行适当程序后，则本基金不受上述相关限制或按照调整后的规定执行。</w:t>
      </w:r>
    </w:p>
    <w:p w14:paraId="23EF08B5">
      <w:pPr>
        <w:pStyle w:val="11"/>
        <w:spacing w:before="0" w:after="0" w:line="520" w:lineRule="atLeast"/>
        <w:ind w:left="0" w:firstLine="480" w:firstLineChars="200"/>
        <w:rPr>
          <w:rFonts w:hAnsi="宋体" w:cs="Arial"/>
          <w:szCs w:val="24"/>
        </w:rPr>
      </w:pPr>
      <w:r>
        <w:rPr>
          <w:rFonts w:hAnsi="宋体" w:cs="Arial"/>
          <w:szCs w:val="24"/>
        </w:rPr>
        <w:t>3.1.4基金托管人依据有关法律法规的规定和基金合同的约定对于基金关联投资限制进行监督：</w:t>
      </w:r>
    </w:p>
    <w:p w14:paraId="48429C31">
      <w:pPr>
        <w:pStyle w:val="11"/>
        <w:spacing w:before="0" w:after="0" w:line="520" w:lineRule="atLeast"/>
        <w:ind w:left="0" w:firstLine="480" w:firstLineChars="200"/>
        <w:rPr>
          <w:rFonts w:hAnsi="宋体" w:cs="Arial"/>
          <w:bCs/>
          <w:szCs w:val="24"/>
        </w:rPr>
      </w:pPr>
      <w:r>
        <w:rPr>
          <w:rFonts w:hAnsi="宋体" w:cs="Arial"/>
          <w:bCs/>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94EDC74">
      <w:pPr>
        <w:pStyle w:val="11"/>
        <w:spacing w:before="0" w:after="0" w:line="520" w:lineRule="atLeast"/>
        <w:ind w:left="0" w:firstLine="480" w:firstLineChars="200"/>
        <w:rPr>
          <w:rFonts w:hAnsi="宋体" w:cs="Arial"/>
          <w:szCs w:val="24"/>
        </w:rPr>
      </w:pPr>
      <w:r>
        <w:rPr>
          <w:rFonts w:hAnsi="宋体" w:cs="Arial"/>
          <w:szCs w:val="24"/>
        </w:rPr>
        <w:t>根据法律法规有关从事关联交易的规定，基金管理人和基金托管人应事先相互提供与本机构有控股关系的股东或与本机构有其他重大利害关系的公司名单及其更新，并确保所提供名单的真实性、完整性、全面性。名单变更后基金管理人</w:t>
      </w:r>
      <w:r>
        <w:rPr>
          <w:rFonts w:hint="eastAsia" w:hAnsi="宋体" w:cs="Arial"/>
          <w:szCs w:val="24"/>
        </w:rPr>
        <w:t>或基金托管人</w:t>
      </w:r>
      <w:r>
        <w:rPr>
          <w:rFonts w:hAnsi="宋体" w:cs="Arial"/>
          <w:szCs w:val="24"/>
        </w:rPr>
        <w:t>应及时发送</w:t>
      </w:r>
      <w:r>
        <w:rPr>
          <w:rFonts w:hint="eastAsia" w:hAnsi="宋体" w:cs="Arial"/>
          <w:szCs w:val="24"/>
        </w:rPr>
        <w:t>给对方</w:t>
      </w:r>
      <w:r>
        <w:rPr>
          <w:rFonts w:hAnsi="宋体" w:cs="Arial"/>
          <w:szCs w:val="24"/>
        </w:rPr>
        <w:t>，</w:t>
      </w:r>
      <w:r>
        <w:rPr>
          <w:rFonts w:hint="eastAsia" w:hAnsi="宋体" w:cs="Arial"/>
          <w:szCs w:val="24"/>
        </w:rPr>
        <w:t>接收方</w:t>
      </w:r>
      <w:r>
        <w:rPr>
          <w:rFonts w:hAnsi="宋体" w:cs="Arial"/>
          <w:szCs w:val="24"/>
        </w:rPr>
        <w:t>于2个工作日内进行回函确认已知名单的变更。名单变更时间以</w:t>
      </w:r>
      <w:r>
        <w:rPr>
          <w:rFonts w:hint="eastAsia" w:hAnsi="宋体" w:cs="Arial"/>
          <w:szCs w:val="24"/>
        </w:rPr>
        <w:t>发送方</w:t>
      </w:r>
      <w:r>
        <w:rPr>
          <w:rFonts w:hAnsi="宋体" w:cs="Arial"/>
          <w:szCs w:val="24"/>
        </w:rPr>
        <w:t>收到</w:t>
      </w:r>
      <w:r>
        <w:rPr>
          <w:rFonts w:hint="eastAsia" w:hAnsi="宋体" w:cs="Arial"/>
          <w:szCs w:val="24"/>
        </w:rPr>
        <w:t>接收方</w:t>
      </w:r>
      <w:r>
        <w:rPr>
          <w:rFonts w:hAnsi="宋体" w:cs="Arial"/>
          <w:szCs w:val="24"/>
        </w:rPr>
        <w:t>回函确认的时间为准。如果基金托管人在运作中严格遵循了监督流程，基金管理人仍违规进行交易，并造成基金资产损失的，由基金管理人承担责任，基金托管人不承担</w:t>
      </w:r>
      <w:r>
        <w:rPr>
          <w:rFonts w:hint="eastAsia" w:hAnsi="宋体" w:cs="Arial"/>
          <w:szCs w:val="24"/>
        </w:rPr>
        <w:t>相应</w:t>
      </w:r>
      <w:r>
        <w:rPr>
          <w:rFonts w:hAnsi="宋体" w:cs="Arial"/>
          <w:szCs w:val="24"/>
        </w:rPr>
        <w:t>损失和责任。</w:t>
      </w:r>
    </w:p>
    <w:p w14:paraId="21946A3D">
      <w:pPr>
        <w:pStyle w:val="11"/>
        <w:spacing w:before="0" w:after="0" w:line="520" w:lineRule="atLeast"/>
        <w:ind w:left="0" w:firstLine="480" w:firstLineChars="200"/>
        <w:rPr>
          <w:rFonts w:hAnsi="宋体" w:cs="Arial"/>
          <w:szCs w:val="24"/>
        </w:rPr>
      </w:pPr>
      <w:r>
        <w:rPr>
          <w:rFonts w:hAnsi="宋体" w:cs="Arial"/>
          <w:szCs w:val="24"/>
        </w:rPr>
        <w:t>若基金托管人发现基金管理人与关联方进行法律法规禁止基金从事的交易时，基金托管人应及时提醒并协助基金管理人采取必要措施阻止该交易的发生，若基金托管人采取必要措施后仍无法阻止该交易发生时，基金托管人有权向中国证监会报告，由此造成的损失和责任由基金管理人承担。对于交易所场内已成交的违规交易，基金托管人应按相关法律法规和交易所规则的规定进行结算，同时向中国证监会报告，基金托管人不承担由此造成的损失和责任。</w:t>
      </w:r>
    </w:p>
    <w:p w14:paraId="180AA0D9">
      <w:pPr>
        <w:pStyle w:val="11"/>
        <w:spacing w:before="0" w:after="0" w:line="520" w:lineRule="atLeast"/>
        <w:ind w:left="0" w:firstLine="480" w:firstLineChars="200"/>
        <w:rPr>
          <w:rFonts w:hAnsi="宋体" w:cs="Arial"/>
          <w:szCs w:val="24"/>
        </w:rPr>
      </w:pPr>
      <w:r>
        <w:rPr>
          <w:rFonts w:hAnsi="宋体" w:cs="Arial"/>
          <w:szCs w:val="24"/>
        </w:rPr>
        <w:t>3.1.5基金托管人依据有关法律法规的规定和基金合同的约定对基金管理人参与银行间债券市场进行监督：</w:t>
      </w:r>
    </w:p>
    <w:p w14:paraId="3DE54443">
      <w:pPr>
        <w:pStyle w:val="11"/>
        <w:spacing w:before="0" w:after="0" w:line="520" w:lineRule="atLeast"/>
        <w:ind w:left="0" w:firstLine="480" w:firstLineChars="200"/>
        <w:rPr>
          <w:rFonts w:hAnsi="宋体" w:cs="Arial"/>
          <w:szCs w:val="24"/>
        </w:rPr>
      </w:pPr>
      <w:r>
        <w:rPr>
          <w:rFonts w:hAnsi="宋体" w:cs="Arial"/>
          <w:szCs w:val="24"/>
        </w:rPr>
        <w:t>（1）基金托管人对于基金管理人参与银行间债券市场交易时是否按交易对手名单进行交易进行监督。</w:t>
      </w:r>
    </w:p>
    <w:p w14:paraId="6546C26B">
      <w:pPr>
        <w:pStyle w:val="11"/>
        <w:spacing w:before="0" w:after="0" w:line="520" w:lineRule="atLeast"/>
        <w:ind w:left="0" w:firstLine="480" w:firstLineChars="200"/>
        <w:rPr>
          <w:rFonts w:hAnsi="宋体" w:cs="Arial"/>
          <w:szCs w:val="24"/>
        </w:rPr>
      </w:pPr>
      <w:r>
        <w:rPr>
          <w:rFonts w:hAnsi="宋体" w:cs="Arial"/>
          <w:szCs w:val="24"/>
        </w:rPr>
        <w:t>基金管理人应在基金投资运作之前向基金托管人提供符合法律法规及行业标准的银行间债券市场交易对手的名单，并按照审慎的风险控制原则在该名单中约定各交易对手所适用的交易结算方式。基金托管人在收到名单后2个工作日内回函确认收到该名单。基金管理人应定期或不定期对银行间债券市场现券及回购交易对手的名单进行更新，名单中增加或减少银行间债券市场交易对手时须及时通知基金托管人，基金托管人于2个工作日内回函确认收到后，对名单进行更新。基金管理人收到基金托管人书面确认后，被确认调整的名单开始生效，新名单生效前已与本次剔除的交易对手所进行但尚未结算的交易，仍应按照双方原定协议进行结算。</w:t>
      </w:r>
      <w:r>
        <w:rPr>
          <w:rFonts w:hint="eastAsia" w:hAnsi="宋体" w:cs="Arial"/>
          <w:szCs w:val="24"/>
        </w:rPr>
        <w:t>如基金管理人在基金投资运作之前未向基金托管人提供银行间债券市场交易对手名单的，视为基金管理人认可全市场交易对手。</w:t>
      </w:r>
    </w:p>
    <w:p w14:paraId="28A58C33">
      <w:pPr>
        <w:pStyle w:val="11"/>
        <w:spacing w:before="0" w:after="0" w:line="520" w:lineRule="atLeast"/>
        <w:ind w:left="0" w:firstLine="480" w:firstLineChars="200"/>
        <w:rPr>
          <w:rFonts w:hAnsi="宋体" w:cs="Arial"/>
          <w:szCs w:val="24"/>
        </w:rPr>
      </w:pPr>
      <w:r>
        <w:rPr>
          <w:rFonts w:hAnsi="宋体" w:cs="Arial"/>
          <w:szCs w:val="24"/>
        </w:rPr>
        <w:t>如果基金托管人发现基金管理人与不在名单内的银行间债券市场交易对手进行交易，应及时提醒基金管理人撤销交易，经提醒后基金管理人仍执行交易并造成基金资产损失的，基金托管人不承担责任。</w:t>
      </w:r>
    </w:p>
    <w:p w14:paraId="03E9B19B">
      <w:pPr>
        <w:pStyle w:val="11"/>
        <w:spacing w:before="0" w:after="0" w:line="520" w:lineRule="atLeast"/>
        <w:ind w:left="0" w:firstLine="480" w:firstLineChars="200"/>
        <w:rPr>
          <w:rFonts w:hAnsi="宋体" w:cs="Arial"/>
          <w:szCs w:val="24"/>
        </w:rPr>
      </w:pPr>
      <w:r>
        <w:rPr>
          <w:rFonts w:hAnsi="宋体" w:cs="Arial"/>
          <w:szCs w:val="24"/>
        </w:rPr>
        <w:t>（2）基金托管人对于基金管理人参与银行间债券市场交易的交易方式的控制</w:t>
      </w:r>
    </w:p>
    <w:p w14:paraId="323FA4FA">
      <w:pPr>
        <w:pStyle w:val="11"/>
        <w:spacing w:before="0" w:after="0" w:line="520" w:lineRule="atLeast"/>
        <w:ind w:left="0" w:firstLine="480" w:firstLineChars="200"/>
        <w:rPr>
          <w:rFonts w:hAnsi="宋体" w:cs="Arial"/>
          <w:szCs w:val="24"/>
        </w:rPr>
      </w:pPr>
      <w:r>
        <w:rPr>
          <w:rFonts w:hAnsi="宋体" w:cs="Arial"/>
          <w:szCs w:val="24"/>
        </w:rPr>
        <w:t>基金管理人在银行间债券市场进行现券买卖和回购交易时，需按交易对手名单中约定的该交易对手所适用的交易结算方式进行交易。如果基金托管人发现基金管理人没有按照事先约定的有利于信用风险控制的交易方式进行交易时，基金托管人应及时提醒基金管理人与交易对手重新确定交易方式，经提醒后仍未改正并造成基金资产损失的，基金托管人不承担</w:t>
      </w:r>
      <w:r>
        <w:rPr>
          <w:rFonts w:hint="eastAsia" w:hAnsi="宋体" w:cs="Arial"/>
          <w:szCs w:val="24"/>
        </w:rPr>
        <w:t>相应</w:t>
      </w:r>
      <w:r>
        <w:rPr>
          <w:rFonts w:hAnsi="宋体" w:cs="Arial"/>
          <w:szCs w:val="24"/>
        </w:rPr>
        <w:t>责任。</w:t>
      </w:r>
    </w:p>
    <w:p w14:paraId="4C1C31FA">
      <w:pPr>
        <w:pStyle w:val="11"/>
        <w:spacing w:before="0" w:after="0" w:line="520" w:lineRule="atLeast"/>
        <w:ind w:left="0" w:firstLine="480" w:firstLineChars="200"/>
        <w:rPr>
          <w:rFonts w:hAnsi="宋体" w:cs="Arial"/>
          <w:szCs w:val="24"/>
        </w:rPr>
      </w:pPr>
      <w:r>
        <w:rPr>
          <w:rFonts w:hAnsi="宋体" w:cs="Arial"/>
          <w:szCs w:val="24"/>
        </w:rPr>
        <w:t>（3）基金管理人有责任控制交易对手的资信风险。</w:t>
      </w:r>
    </w:p>
    <w:p w14:paraId="1FE2A153">
      <w:pPr>
        <w:pStyle w:val="11"/>
        <w:spacing w:before="0" w:after="0" w:line="520" w:lineRule="atLeast"/>
        <w:ind w:left="0" w:firstLine="480" w:firstLineChars="200"/>
        <w:rPr>
          <w:rFonts w:hAnsi="宋体" w:cs="Arial"/>
          <w:szCs w:val="24"/>
        </w:rPr>
      </w:pPr>
      <w:r>
        <w:rPr>
          <w:rFonts w:hAnsi="宋体" w:cs="Arial"/>
          <w:szCs w:val="24"/>
        </w:rPr>
        <w:t>基金管理人按银行间债券市场的交易规则进行交易，并负责</w:t>
      </w:r>
      <w:r>
        <w:rPr>
          <w:rFonts w:hint="eastAsia" w:hAnsi="宋体" w:cs="Arial"/>
          <w:szCs w:val="24"/>
        </w:rPr>
        <w:t>处理</w:t>
      </w:r>
      <w:r>
        <w:rPr>
          <w:rFonts w:hAnsi="宋体" w:cs="Arial"/>
          <w:szCs w:val="24"/>
        </w:rPr>
        <w:t>因交易对手不履行合同而造成的纠纷。若未履约的交易对手在基金管理人确定的时间内仍未承担违约责任及其他相关法律责任的，基金管理人向相关交易对手追偿</w:t>
      </w:r>
      <w:r>
        <w:rPr>
          <w:rFonts w:hint="eastAsia" w:hAnsi="宋体" w:cs="Arial"/>
          <w:szCs w:val="24"/>
        </w:rPr>
        <w:t>，基金托管人应予以必要的协助</w:t>
      </w:r>
      <w:r>
        <w:rPr>
          <w:rFonts w:hAnsi="宋体" w:cs="Arial"/>
          <w:szCs w:val="24"/>
        </w:rPr>
        <w:t>。</w:t>
      </w:r>
    </w:p>
    <w:p w14:paraId="43081BB5">
      <w:pPr>
        <w:pStyle w:val="11"/>
        <w:spacing w:before="0" w:after="0" w:line="520" w:lineRule="atLeast"/>
        <w:rPr>
          <w:rFonts w:hAnsi="宋体" w:cs="Arial"/>
          <w:szCs w:val="24"/>
        </w:rPr>
      </w:pPr>
      <w:r>
        <w:rPr>
          <w:rFonts w:hAnsi="宋体" w:cs="Arial"/>
          <w:szCs w:val="24"/>
        </w:rPr>
        <w:t>3.1.6基金托管人对基金投资中期票据的监督：</w:t>
      </w:r>
    </w:p>
    <w:p w14:paraId="2EC57704">
      <w:pPr>
        <w:pStyle w:val="11"/>
        <w:spacing w:before="0" w:after="0" w:line="520" w:lineRule="atLeast"/>
        <w:ind w:left="0" w:firstLine="480" w:firstLineChars="200"/>
        <w:rPr>
          <w:rFonts w:hAnsi="宋体" w:cs="Arial"/>
          <w:szCs w:val="24"/>
        </w:rPr>
      </w:pPr>
      <w:r>
        <w:rPr>
          <w:rFonts w:hAnsi="宋体" w:cs="Arial"/>
          <w:szCs w:val="24"/>
        </w:rPr>
        <w:t>（1）基金管理人管理的基金在投资中期票据前，基金管理人须根据法律、法规、监管部门的规定，制定严格的关于投资中期票据的风险控制制度和流动性风险处置预案，并书面提供给基金托管人，基金托管人依据上述文件对基金管理人投资中期票据的额度和比例进行监督。</w:t>
      </w:r>
    </w:p>
    <w:p w14:paraId="566CC6D4">
      <w:pPr>
        <w:pStyle w:val="11"/>
        <w:spacing w:before="0" w:after="0" w:line="520" w:lineRule="atLeast"/>
        <w:ind w:left="0" w:firstLine="480" w:firstLineChars="200"/>
        <w:rPr>
          <w:rFonts w:hAnsi="宋体" w:cs="Arial"/>
          <w:szCs w:val="24"/>
        </w:rPr>
      </w:pPr>
      <w:r>
        <w:rPr>
          <w:rFonts w:hAnsi="宋体" w:cs="Arial"/>
          <w:szCs w:val="24"/>
        </w:rPr>
        <w:t>（2）如未来有关监管部门发布的法律法规对证券投资基金投资中期票据另有规定的，从其规定。</w:t>
      </w:r>
    </w:p>
    <w:p w14:paraId="1BD1FA70">
      <w:pPr>
        <w:pStyle w:val="11"/>
        <w:spacing w:before="0" w:after="0" w:line="520" w:lineRule="atLeast"/>
        <w:ind w:left="0" w:firstLine="480" w:firstLineChars="200"/>
        <w:rPr>
          <w:rFonts w:hAnsi="宋体" w:cs="Arial"/>
          <w:szCs w:val="24"/>
        </w:rPr>
      </w:pPr>
      <w:r>
        <w:rPr>
          <w:rFonts w:hAnsi="宋体" w:cs="Arial"/>
          <w:szCs w:val="24"/>
        </w:rPr>
        <w:t>（3）基金托管人有权监督基金管理人在相关基金投资中期票据时的法律法规遵守情况，有关制度、信用风险、流动性风险处置预案的完善情况，有关额度、比例限制的执行情况。基金托管人发现基金管理人的上述事项违反法律法规的规定和基金合同以及本协议的约定，应及时以书面形式通知基金管理人限期纠正。基金管理人应积极配合和协助基金托管人的监督和核查。基金管理人应按本协议要求向基金托管人及时发出回函，并及时改正。基金托管人有权随时对所通知事项进行复查,督促基金管理人改正。如果基金管理人违规事项未能在限期内纠正的，基金托管人应报告中国证监会，基金托管人不承担由此造成的</w:t>
      </w:r>
      <w:r>
        <w:rPr>
          <w:rFonts w:hint="eastAsia" w:hAnsi="宋体" w:cs="Arial"/>
          <w:szCs w:val="24"/>
        </w:rPr>
        <w:t>相应</w:t>
      </w:r>
      <w:r>
        <w:rPr>
          <w:rFonts w:hAnsi="宋体" w:cs="Arial"/>
          <w:szCs w:val="24"/>
        </w:rPr>
        <w:t>损失和责任。</w:t>
      </w:r>
    </w:p>
    <w:p w14:paraId="754BAC5B">
      <w:pPr>
        <w:pStyle w:val="11"/>
        <w:spacing w:before="0" w:after="0" w:line="520" w:lineRule="atLeast"/>
        <w:ind w:left="0" w:firstLine="480" w:firstLineChars="200"/>
        <w:rPr>
          <w:rFonts w:hAnsi="宋体" w:cs="Arial"/>
          <w:szCs w:val="24"/>
        </w:rPr>
      </w:pPr>
      <w:r>
        <w:rPr>
          <w:rFonts w:hAnsi="宋体" w:cs="Arial"/>
          <w:szCs w:val="24"/>
        </w:rPr>
        <w:t>3.1.7基金托管人根据有关法律法规的规定及基金合同的约定，对基金管理人选择存款银行进行监督：</w:t>
      </w:r>
    </w:p>
    <w:p w14:paraId="1734DA0C">
      <w:pPr>
        <w:pStyle w:val="11"/>
        <w:spacing w:before="0" w:after="0" w:line="520" w:lineRule="atLeast"/>
        <w:ind w:left="0" w:firstLine="480" w:firstLineChars="200"/>
        <w:rPr>
          <w:rFonts w:hAnsi="宋体" w:cs="Arial"/>
          <w:szCs w:val="24"/>
        </w:rPr>
      </w:pPr>
      <w:r>
        <w:rPr>
          <w:rFonts w:hAnsi="宋体" w:cs="Arial"/>
          <w:szCs w:val="24"/>
        </w:rPr>
        <w:t>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w:t>
      </w:r>
      <w:r>
        <w:rPr>
          <w:rFonts w:hint="eastAsia" w:hAnsi="宋体" w:cs="Arial"/>
          <w:szCs w:val="24"/>
        </w:rPr>
        <w:t>如基金管理人未向基金托管人提供存款银行名单的，视为基金管理人认可所有银行。</w:t>
      </w:r>
    </w:p>
    <w:p w14:paraId="2B9AD259">
      <w:pPr>
        <w:pStyle w:val="11"/>
        <w:spacing w:before="0" w:after="0" w:line="520" w:lineRule="atLeast"/>
        <w:ind w:left="0" w:firstLine="480" w:firstLineChars="200"/>
        <w:rPr>
          <w:rFonts w:hAnsi="宋体" w:cs="Arial"/>
          <w:szCs w:val="24"/>
        </w:rPr>
      </w:pPr>
      <w:r>
        <w:rPr>
          <w:rFonts w:hAnsi="宋体" w:cs="Arial"/>
          <w:szCs w:val="24"/>
        </w:rPr>
        <w:t>本基金投资银行存款应符合如下规定：</w:t>
      </w:r>
    </w:p>
    <w:p w14:paraId="3945E690">
      <w:pPr>
        <w:pStyle w:val="11"/>
        <w:spacing w:before="0" w:after="0" w:line="520" w:lineRule="atLeast"/>
        <w:ind w:left="0" w:firstLine="480" w:firstLineChars="200"/>
        <w:rPr>
          <w:rFonts w:hAnsi="宋体" w:cs="Arial"/>
          <w:szCs w:val="24"/>
        </w:rPr>
      </w:pPr>
      <w:r>
        <w:rPr>
          <w:rFonts w:hAnsi="宋体" w:cs="Arial"/>
          <w:szCs w:val="24"/>
        </w:rPr>
        <w:t>（1）基金管理人、基金托管人应当与存款银行建立定期对账机制，确保基金银行存款业务账目及核算的真实、准确。</w:t>
      </w:r>
    </w:p>
    <w:p w14:paraId="6CCB5565">
      <w:pPr>
        <w:pStyle w:val="11"/>
        <w:spacing w:before="0" w:after="0" w:line="520" w:lineRule="atLeast"/>
        <w:ind w:left="0" w:firstLine="480" w:firstLineChars="200"/>
        <w:rPr>
          <w:rFonts w:hAnsi="宋体" w:cs="Arial"/>
          <w:szCs w:val="24"/>
        </w:rPr>
      </w:pPr>
      <w:r>
        <w:rPr>
          <w:rFonts w:hAnsi="宋体" w:cs="Arial"/>
          <w:szCs w:val="24"/>
        </w:rPr>
        <w:t>（2）基金管理人与基金托管人应根据相关规定，就本基金银行存款业务另行签订书面协议，明确双方在相关协议签署、账户开设与管理、投资指令传达与执行、资金划拨、账目核对、到期兑付、文件保管以及存款证实书的开立、传递、保管等流程中的权利、义务和职责，以确保基金财产的安全，保护基金份额持有人的合法权益。</w:t>
      </w:r>
    </w:p>
    <w:p w14:paraId="1AB00E32">
      <w:pPr>
        <w:pStyle w:val="11"/>
        <w:spacing w:before="0" w:after="0" w:line="520" w:lineRule="atLeast"/>
        <w:ind w:left="0" w:firstLine="480" w:firstLineChars="200"/>
        <w:rPr>
          <w:rFonts w:hAnsi="宋体" w:cs="Arial"/>
          <w:szCs w:val="24"/>
        </w:rPr>
      </w:pPr>
      <w:r>
        <w:rPr>
          <w:rFonts w:hAnsi="宋体" w:cs="Arial"/>
          <w:szCs w:val="24"/>
        </w:rPr>
        <w:t>（3）基金托管人应对基金银行存款业务进行监督与核查，审查、复核相关协议、账户资料、投资指令、存款证实书等有关文件，履行托管职责。</w:t>
      </w:r>
    </w:p>
    <w:p w14:paraId="557729BB">
      <w:pPr>
        <w:pStyle w:val="11"/>
        <w:spacing w:before="0" w:after="0" w:line="520" w:lineRule="atLeast"/>
        <w:ind w:left="0" w:firstLine="480" w:firstLineChars="200"/>
        <w:rPr>
          <w:rFonts w:hAnsi="宋体" w:cs="Arial"/>
          <w:szCs w:val="24"/>
        </w:rPr>
      </w:pPr>
      <w:r>
        <w:rPr>
          <w:rFonts w:hAnsi="宋体" w:cs="Arial"/>
          <w:szCs w:val="24"/>
        </w:rPr>
        <w:t>（4）基金管理人与基金托管人在开展基金存款业务时，应严格遵守《基金法》、《运作办法》等有关法律法规，以及国家有关账户管理、利率管理、支付结算等的各项规定。</w:t>
      </w:r>
    </w:p>
    <w:p w14:paraId="55987023">
      <w:pPr>
        <w:pStyle w:val="11"/>
        <w:spacing w:before="0" w:after="0" w:line="520" w:lineRule="atLeast"/>
        <w:ind w:left="0" w:firstLine="480" w:firstLineChars="200"/>
        <w:rPr>
          <w:rFonts w:hAnsi="宋体" w:cs="Arial"/>
          <w:szCs w:val="24"/>
        </w:rPr>
      </w:pPr>
      <w:r>
        <w:rPr>
          <w:rFonts w:hAnsi="宋体" w:cs="Arial"/>
          <w:szCs w:val="24"/>
        </w:rPr>
        <w:t>3.2基金托管人对基金管理人业务进行监督和核查的有关措施：</w:t>
      </w:r>
    </w:p>
    <w:p w14:paraId="026ABA54">
      <w:pPr>
        <w:pStyle w:val="11"/>
        <w:spacing w:before="0" w:after="0" w:line="520" w:lineRule="atLeast"/>
        <w:ind w:left="0" w:firstLine="480" w:firstLineChars="200"/>
        <w:rPr>
          <w:rFonts w:hAnsi="宋体" w:cs="Arial"/>
          <w:szCs w:val="24"/>
        </w:rPr>
      </w:pPr>
      <w:r>
        <w:rPr>
          <w:rFonts w:hAnsi="宋体" w:cs="Arial"/>
          <w:szCs w:val="24"/>
        </w:rPr>
        <w:t>3.2.1基金托管人应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3675AFC6">
      <w:pPr>
        <w:pStyle w:val="11"/>
        <w:spacing w:before="0" w:after="0" w:line="520" w:lineRule="atLeast"/>
        <w:ind w:left="0" w:firstLine="480" w:firstLineChars="200"/>
        <w:rPr>
          <w:rFonts w:hAnsi="宋体" w:cs="Arial"/>
          <w:szCs w:val="24"/>
        </w:rPr>
      </w:pPr>
      <w:r>
        <w:rPr>
          <w:rFonts w:hAnsi="宋体" w:cs="Arial"/>
          <w:szCs w:val="24"/>
        </w:rPr>
        <w:t>3.2.2基金托管人发现基金管理人的投资运作及其他运作违反《基金法》、基金合同、本托管协议及其他有关规定时，应及时以书面形式通知基金管理人限期纠正，基金管理人收到通知后应在下一个工作日及时核对，并以书面形式向基金托管人发出回函，进行解释或举证。</w:t>
      </w:r>
    </w:p>
    <w:p w14:paraId="4FFEC608">
      <w:pPr>
        <w:pStyle w:val="11"/>
        <w:spacing w:before="0" w:after="0" w:line="520" w:lineRule="atLeast"/>
        <w:ind w:left="0" w:firstLine="480" w:firstLineChars="200"/>
        <w:rPr>
          <w:rFonts w:hAnsi="宋体" w:cs="Arial"/>
          <w:szCs w:val="24"/>
        </w:rPr>
      </w:pPr>
      <w:r>
        <w:rPr>
          <w:rFonts w:hAnsi="宋体" w:cs="Arial"/>
          <w:szCs w:val="24"/>
        </w:rPr>
        <w:t>3.2.3在限期内，基金托管人有权随时对通知事项进行复查，督促基金管理人改正。基金管理人对基金托管人通知的违规事项未能在限期内纠正的，基金托管人应报告中国证监会。</w:t>
      </w:r>
    </w:p>
    <w:p w14:paraId="34A011D7">
      <w:pPr>
        <w:pStyle w:val="11"/>
        <w:spacing w:before="0" w:after="0" w:line="520" w:lineRule="atLeast"/>
        <w:ind w:left="0" w:firstLine="480" w:firstLineChars="200"/>
        <w:rPr>
          <w:rFonts w:hAnsi="宋体" w:cs="Arial"/>
          <w:szCs w:val="24"/>
        </w:rPr>
      </w:pPr>
      <w:r>
        <w:rPr>
          <w:rFonts w:hAnsi="宋体" w:cs="Arial"/>
          <w:szCs w:val="24"/>
        </w:rPr>
        <w:t>3.2.4基金托管人发现基金管理人的投资指令违反</w:t>
      </w:r>
      <w:r>
        <w:rPr>
          <w:rFonts w:hint="eastAsia" w:hAnsi="宋体" w:cs="Arial"/>
          <w:szCs w:val="24"/>
        </w:rPr>
        <w:t>相</w:t>
      </w:r>
      <w:r>
        <w:rPr>
          <w:rFonts w:hAnsi="宋体" w:cs="Arial"/>
          <w:szCs w:val="24"/>
        </w:rPr>
        <w:t>关法律法规规定或者违反基金合同约定的，应当拒绝执行，立即通知基金管理人。</w:t>
      </w:r>
    </w:p>
    <w:p w14:paraId="03F20AEF">
      <w:pPr>
        <w:pStyle w:val="11"/>
        <w:spacing w:before="0" w:after="0" w:line="520" w:lineRule="atLeast"/>
        <w:ind w:left="0" w:firstLine="480" w:firstLineChars="200"/>
        <w:rPr>
          <w:rFonts w:hAnsi="宋体" w:cs="Arial"/>
          <w:szCs w:val="24"/>
        </w:rPr>
      </w:pPr>
      <w:r>
        <w:rPr>
          <w:rFonts w:hAnsi="宋体" w:cs="Arial"/>
          <w:szCs w:val="24"/>
        </w:rPr>
        <w:t>3.2.5基金托管人发现基金管理人依据交易程序已经生效的投资指令违反法律、行政法规和其他有关规定，或者违反基金合同约定的，应当立即通知基金管理人，并及时向中国证监会报告，基金管理人应依法承担相应责任。</w:t>
      </w:r>
    </w:p>
    <w:p w14:paraId="4229372E">
      <w:pPr>
        <w:pStyle w:val="11"/>
        <w:spacing w:before="0" w:after="0" w:line="520" w:lineRule="atLeast"/>
        <w:ind w:left="0" w:firstLine="480" w:firstLineChars="200"/>
        <w:rPr>
          <w:rFonts w:hAnsi="宋体" w:cs="Arial"/>
          <w:szCs w:val="24"/>
        </w:rPr>
      </w:pPr>
      <w:r>
        <w:rPr>
          <w:rFonts w:hAnsi="宋体" w:cs="Arial"/>
          <w:szCs w:val="24"/>
        </w:rPr>
        <w:t>3.2.6基金管理人应积极配合和协助基金托管人的监督和核查，必须在规定时间内答复基金托管人并改正，就基金托管人的合理疑义进行解释或举证，对基金托管人按照法规要求需向中国证监会报送基金监督报告的，基金管理人应积极配合提供相关数据资料和制度等。</w:t>
      </w:r>
    </w:p>
    <w:p w14:paraId="142540E3">
      <w:pPr>
        <w:pStyle w:val="11"/>
        <w:spacing w:before="0" w:after="0" w:line="520" w:lineRule="atLeast"/>
        <w:ind w:left="0" w:firstLine="480" w:firstLineChars="200"/>
        <w:rPr>
          <w:rFonts w:hAnsi="宋体" w:cs="Arial"/>
          <w:szCs w:val="24"/>
        </w:rPr>
      </w:pPr>
      <w:r>
        <w:rPr>
          <w:rFonts w:hAnsi="宋体" w:cs="Arial"/>
          <w:szCs w:val="24"/>
        </w:rPr>
        <w:t>3.2.7基金托管人发现基金管理人有重大违规行为，应立即报告中国证监会，同时通知基金管理人限期纠正。</w:t>
      </w:r>
    </w:p>
    <w:p w14:paraId="6BE197E3">
      <w:pPr>
        <w:pStyle w:val="11"/>
        <w:spacing w:before="0" w:after="0" w:line="520" w:lineRule="atLeast"/>
        <w:ind w:left="0" w:firstLine="480" w:firstLineChars="200"/>
        <w:rPr>
          <w:rFonts w:hAnsi="宋体" w:cs="Arial"/>
          <w:szCs w:val="24"/>
        </w:rPr>
      </w:pPr>
      <w:r>
        <w:rPr>
          <w:rFonts w:hAnsi="宋体" w:cs="Arial"/>
          <w:szCs w:val="24"/>
        </w:rPr>
        <w:t>3.2.8基金管理人无正当理由，拒绝、阻挠基金托管人根据本协议规定行使监督权，或采取拖延、欺诈等手段妨碍基金托管人进行有效监督，情节严重或经基金托管人提出警告仍不改正的，基金托管人应报告中国证监会。</w:t>
      </w:r>
    </w:p>
    <w:p w14:paraId="17E849EC">
      <w:pPr>
        <w:pStyle w:val="11"/>
        <w:spacing w:before="0" w:after="0" w:line="520" w:lineRule="atLeast"/>
        <w:ind w:left="0" w:firstLine="480" w:firstLineChars="200"/>
        <w:rPr>
          <w:rFonts w:hAnsi="宋体" w:cs="Arial"/>
          <w:szCs w:val="24"/>
        </w:rPr>
      </w:pPr>
      <w:r>
        <w:rPr>
          <w:rFonts w:hAnsi="宋体" w:cs="Arial"/>
          <w:szCs w:val="24"/>
        </w:rPr>
        <w:t>3.2.9基金托管人对资金来源、投资收益及投资安全不承担审核责任，特别是对于本基金所投标的的后续资金使用情况无审核责任，不保证托管财产投资不受损失，不保证最低收益。</w:t>
      </w:r>
    </w:p>
    <w:p w14:paraId="248A6248">
      <w:pPr>
        <w:pStyle w:val="11"/>
        <w:spacing w:before="0" w:after="0" w:line="520" w:lineRule="atLeast"/>
        <w:ind w:left="0" w:firstLine="480" w:firstLineChars="200"/>
        <w:rPr>
          <w:rFonts w:hAnsi="宋体" w:cs="Arial"/>
          <w:szCs w:val="24"/>
        </w:rPr>
      </w:pPr>
      <w:r>
        <w:rPr>
          <w:rFonts w:hAnsi="宋体" w:cs="Arial"/>
          <w:szCs w:val="24"/>
        </w:rPr>
        <w:t>3.2.10基金管理人</w:t>
      </w:r>
      <w:r>
        <w:rPr>
          <w:rFonts w:hint="eastAsia" w:hAnsi="宋体" w:cs="Arial"/>
          <w:szCs w:val="24"/>
        </w:rPr>
        <w:t>、基金托管人均</w:t>
      </w:r>
      <w:r>
        <w:rPr>
          <w:rFonts w:hAnsi="宋体" w:cs="Arial"/>
          <w:szCs w:val="24"/>
        </w:rPr>
        <w:t>应遵守中华人民共和国反洗钱法律法规，不参与涉嫌洗钱、恐怖融资、扩散融资等违法犯罪活动；</w:t>
      </w:r>
      <w:r>
        <w:rPr>
          <w:rFonts w:hint="eastAsia" w:hAnsi="宋体" w:cs="Arial"/>
          <w:szCs w:val="24"/>
        </w:rPr>
        <w:t>基金管理人在法律法规规定的范围内</w:t>
      </w:r>
      <w:r>
        <w:rPr>
          <w:rFonts w:hAnsi="宋体" w:cs="Arial"/>
          <w:szCs w:val="24"/>
        </w:rPr>
        <w:t>主动配合基金托管人客户身份识别与尽职调查，提供真实、准确、完整客户资料，遵守基金托管人反洗钱与反恐怖融资相关管理规定。对具备合理理由怀疑涉嫌洗钱、恐怖融资的客户，基金托管人将按照中国人民银行反洗钱监管规定采取必要管控措施。</w:t>
      </w:r>
    </w:p>
    <w:p w14:paraId="5492CA96">
      <w:pPr>
        <w:pStyle w:val="2"/>
        <w:spacing w:line="520" w:lineRule="atLeast"/>
        <w:ind w:firstLine="482" w:firstLineChars="200"/>
        <w:rPr>
          <w:rFonts w:cs="Arial"/>
          <w:bCs/>
          <w:color w:val="auto"/>
          <w:szCs w:val="24"/>
        </w:rPr>
      </w:pPr>
      <w:bookmarkStart w:id="21" w:name="_Toc296551340"/>
      <w:bookmarkStart w:id="22" w:name="_Toc238554474"/>
      <w:r>
        <w:rPr>
          <w:rFonts w:cs="Arial"/>
          <w:bCs/>
          <w:color w:val="auto"/>
          <w:szCs w:val="24"/>
        </w:rPr>
        <w:t>第四条 基金管理人对基金托管人的业务核查</w:t>
      </w:r>
      <w:bookmarkEnd w:id="21"/>
      <w:bookmarkEnd w:id="22"/>
    </w:p>
    <w:p w14:paraId="3D328933">
      <w:pPr>
        <w:pStyle w:val="11"/>
        <w:spacing w:before="0" w:after="0" w:line="520" w:lineRule="atLeast"/>
        <w:ind w:left="0" w:firstLine="480" w:firstLineChars="200"/>
        <w:rPr>
          <w:rFonts w:hAnsi="宋体" w:cs="Arial"/>
          <w:szCs w:val="24"/>
        </w:rPr>
      </w:pPr>
      <w:r>
        <w:rPr>
          <w:rFonts w:hAnsi="宋体" w:cs="Arial"/>
          <w:szCs w:val="24"/>
        </w:rPr>
        <w:t>4.1基金管理人对基金托管人履行托管职责情况进行核查，核查事项包括但不限于基金托管人安全保管基金财产、开设基金财产的资金账户和证券账户等投资所需的其他账户、复核基金管理人计算的基金资产净值和基金份额净值、根据基金管理人指令办理清算交收、相关信息披露和监督基金投资运作等行为。</w:t>
      </w:r>
    </w:p>
    <w:p w14:paraId="43FD8E0B">
      <w:pPr>
        <w:pStyle w:val="11"/>
        <w:spacing w:before="0" w:after="0" w:line="520" w:lineRule="atLeast"/>
        <w:ind w:left="0" w:firstLine="480" w:firstLineChars="200"/>
        <w:rPr>
          <w:rFonts w:hAnsi="宋体" w:cs="Arial"/>
          <w:szCs w:val="24"/>
        </w:rPr>
      </w:pPr>
      <w:r>
        <w:rPr>
          <w:rFonts w:hAnsi="宋体" w:cs="Arial"/>
          <w:szCs w:val="24"/>
        </w:rPr>
        <w:t>4.2基金管理人发现基金托管人擅自挪用基金财产、未对基金财产实行分账管理、无故拒绝执行或延迟执行基金管理人资金划拨指令、泄露基金投资信息等违反《基金法》、基金合同、本托管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或未在合理期限内确认的，基金管理人应报告中国证监会。</w:t>
      </w:r>
    </w:p>
    <w:p w14:paraId="1F8A02F3">
      <w:pPr>
        <w:pStyle w:val="11"/>
        <w:spacing w:before="0" w:after="0" w:line="520" w:lineRule="atLeast"/>
        <w:ind w:left="0" w:firstLine="480" w:firstLineChars="200"/>
        <w:rPr>
          <w:rFonts w:hAnsi="宋体" w:cs="Arial"/>
          <w:szCs w:val="24"/>
        </w:rPr>
      </w:pPr>
      <w:r>
        <w:rPr>
          <w:rFonts w:hAnsi="宋体" w:cs="Arial"/>
          <w:szCs w:val="24"/>
        </w:rPr>
        <w:t>4.3基金管理人发现基金托管人有重大违规行为，应立即报告中国证监会和银行业监督管理机构，同时通知基金托管人限期纠正。</w:t>
      </w:r>
    </w:p>
    <w:p w14:paraId="629680B7">
      <w:pPr>
        <w:pStyle w:val="11"/>
        <w:spacing w:before="0" w:after="0" w:line="520" w:lineRule="atLeast"/>
        <w:ind w:left="0" w:firstLine="480" w:firstLineChars="200"/>
        <w:rPr>
          <w:rFonts w:hAnsi="宋体" w:cs="Arial"/>
          <w:szCs w:val="24"/>
        </w:rPr>
      </w:pPr>
      <w:r>
        <w:rPr>
          <w:rFonts w:hAnsi="宋体" w:cs="Arial"/>
          <w:szCs w:val="24"/>
        </w:rPr>
        <w:t>4.4基金托管人应积极配合基金管理人的核查行为，包括但不限于：提交相关资料以供基金管理人核查托管财产的完整性和真实性，在规定时间内答复基金管理人并改正。</w:t>
      </w:r>
      <w:r>
        <w:rPr>
          <w:rFonts w:hint="eastAsia" w:hAnsi="宋体" w:cs="Arial"/>
          <w:szCs w:val="24"/>
        </w:rPr>
        <w:t>基金托管人应就基金管理人合理的疑义进行解释。</w:t>
      </w:r>
    </w:p>
    <w:p w14:paraId="3C3EA527">
      <w:pPr>
        <w:pStyle w:val="11"/>
        <w:spacing w:before="0" w:after="0" w:line="520" w:lineRule="atLeast"/>
        <w:ind w:left="0" w:firstLine="480" w:firstLineChars="200"/>
        <w:rPr>
          <w:rFonts w:hAnsi="宋体" w:cs="Arial"/>
          <w:szCs w:val="24"/>
        </w:rPr>
      </w:pPr>
      <w:r>
        <w:rPr>
          <w:rFonts w:hAnsi="宋体" w:cs="Arial"/>
          <w:szCs w:val="24"/>
        </w:rPr>
        <w:t>4.5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76CE0218">
      <w:pPr>
        <w:pStyle w:val="2"/>
        <w:spacing w:line="520" w:lineRule="atLeast"/>
        <w:ind w:firstLine="482" w:firstLineChars="200"/>
        <w:rPr>
          <w:rFonts w:cs="Arial"/>
          <w:bCs/>
          <w:color w:val="auto"/>
          <w:szCs w:val="24"/>
        </w:rPr>
      </w:pPr>
      <w:bookmarkStart w:id="23" w:name="_Toc296551341"/>
      <w:bookmarkStart w:id="24" w:name="_Toc238554475"/>
      <w:r>
        <w:rPr>
          <w:rFonts w:cs="Arial"/>
          <w:bCs/>
          <w:color w:val="auto"/>
          <w:szCs w:val="24"/>
        </w:rPr>
        <w:t>第五条 基金财产保管</w:t>
      </w:r>
      <w:bookmarkEnd w:id="23"/>
      <w:bookmarkEnd w:id="24"/>
    </w:p>
    <w:p w14:paraId="7B0B5999">
      <w:pPr>
        <w:pStyle w:val="11"/>
        <w:spacing w:before="0" w:after="0" w:line="520" w:lineRule="atLeast"/>
        <w:ind w:left="0" w:firstLine="480" w:firstLineChars="200"/>
        <w:rPr>
          <w:rFonts w:hAnsi="宋体" w:cs="Arial"/>
          <w:szCs w:val="24"/>
        </w:rPr>
      </w:pPr>
      <w:r>
        <w:rPr>
          <w:rFonts w:hAnsi="宋体" w:cs="Arial"/>
          <w:szCs w:val="24"/>
        </w:rPr>
        <w:t>5.1基金财产保管的原则</w:t>
      </w:r>
    </w:p>
    <w:p w14:paraId="02ECE9F8">
      <w:pPr>
        <w:pStyle w:val="11"/>
        <w:spacing w:before="0" w:after="0" w:line="520" w:lineRule="atLeast"/>
        <w:ind w:left="0" w:firstLine="480" w:firstLineChars="200"/>
        <w:rPr>
          <w:rFonts w:hAnsi="宋体" w:cs="Arial"/>
          <w:szCs w:val="24"/>
        </w:rPr>
      </w:pPr>
      <w:r>
        <w:rPr>
          <w:rFonts w:hAnsi="宋体" w:cs="Arial"/>
          <w:szCs w:val="24"/>
        </w:rPr>
        <w:t>5.1.1基金财产应独立于基金管理人、基金托管人</w:t>
      </w:r>
      <w:r>
        <w:rPr>
          <w:rFonts w:hint="eastAsia" w:hAnsi="宋体" w:cs="Arial"/>
          <w:szCs w:val="24"/>
        </w:rPr>
        <w:t>和证券经纪机构</w:t>
      </w:r>
      <w:r>
        <w:rPr>
          <w:rFonts w:hAnsi="宋体" w:cs="Arial"/>
          <w:szCs w:val="24"/>
        </w:rPr>
        <w:t>的固有财产。</w:t>
      </w:r>
    </w:p>
    <w:p w14:paraId="795D6CD8">
      <w:pPr>
        <w:pStyle w:val="11"/>
        <w:spacing w:before="0" w:after="0" w:line="520" w:lineRule="atLeast"/>
        <w:ind w:left="0" w:firstLine="480" w:firstLineChars="200"/>
        <w:rPr>
          <w:rFonts w:hAnsi="宋体" w:cs="Arial"/>
          <w:szCs w:val="24"/>
        </w:rPr>
      </w:pPr>
      <w:r>
        <w:rPr>
          <w:rFonts w:hAnsi="宋体" w:cs="Arial"/>
          <w:szCs w:val="24"/>
        </w:rPr>
        <w:t>5.1.2基金托管人应安全保管基金财产。除依据法律法规规定、基金合同和本托管协议约定及基金管理人的正当指令外，不得自行运用、处分、分配基金的任何财产。</w:t>
      </w:r>
    </w:p>
    <w:p w14:paraId="78B44997">
      <w:pPr>
        <w:pStyle w:val="11"/>
        <w:spacing w:before="0" w:after="0" w:line="520" w:lineRule="atLeast"/>
        <w:ind w:left="0" w:firstLine="480" w:firstLineChars="200"/>
        <w:rPr>
          <w:rFonts w:hAnsi="宋体" w:cs="Arial"/>
          <w:szCs w:val="24"/>
        </w:rPr>
      </w:pPr>
      <w:r>
        <w:rPr>
          <w:rFonts w:hAnsi="宋体" w:cs="Arial"/>
          <w:szCs w:val="24"/>
        </w:rPr>
        <w:t>5.1.3基金托管人按照规定开设基金财产的资金账户和证券账户等投资所需的其他账户。</w:t>
      </w:r>
    </w:p>
    <w:p w14:paraId="66BC8846">
      <w:pPr>
        <w:pStyle w:val="11"/>
        <w:spacing w:before="0" w:after="0" w:line="520" w:lineRule="atLeast"/>
        <w:ind w:left="0" w:firstLine="480" w:firstLineChars="200"/>
        <w:rPr>
          <w:rFonts w:hAnsi="宋体" w:cs="Arial"/>
          <w:szCs w:val="24"/>
        </w:rPr>
      </w:pPr>
      <w:r>
        <w:rPr>
          <w:rFonts w:hAnsi="宋体" w:cs="Arial"/>
          <w:szCs w:val="24"/>
        </w:rPr>
        <w:t>5.1.4基金托管人对所托管的不同基金财产分别设置账户，与基金托管人的其他业务和其他基金的托管业务实行严格的分账管理，确保基金财产的完整与独立。</w:t>
      </w:r>
    </w:p>
    <w:p w14:paraId="56E4184F">
      <w:pPr>
        <w:pStyle w:val="11"/>
        <w:spacing w:before="0" w:after="0" w:line="520" w:lineRule="atLeast"/>
        <w:ind w:left="0" w:firstLine="480" w:firstLineChars="200"/>
        <w:rPr>
          <w:rFonts w:hAnsi="宋体" w:cs="Arial"/>
          <w:szCs w:val="24"/>
        </w:rPr>
      </w:pPr>
      <w:r>
        <w:rPr>
          <w:rFonts w:hAnsi="宋体" w:cs="Arial"/>
          <w:szCs w:val="24"/>
        </w:rPr>
        <w:t>5.1.5基金托管人根据基金管理人的指令，按照基金合同和本协议的约定保管基金财产，如有特殊情况双方可另行协商解决。</w:t>
      </w:r>
    </w:p>
    <w:p w14:paraId="1E04C3E2">
      <w:pPr>
        <w:pStyle w:val="11"/>
        <w:spacing w:before="0" w:after="0" w:line="520" w:lineRule="atLeast"/>
        <w:ind w:left="0" w:firstLine="480" w:firstLineChars="200"/>
        <w:rPr>
          <w:rFonts w:hAnsi="宋体" w:cs="Arial"/>
          <w:szCs w:val="24"/>
        </w:rPr>
      </w:pPr>
      <w:r>
        <w:rPr>
          <w:rFonts w:hAnsi="宋体" w:cs="Arial"/>
          <w:szCs w:val="24"/>
        </w:rPr>
        <w:t>5.1.6除依据法律法规和基金合同的规定外，基金托管人不得委托第三人托管基金资产。</w:t>
      </w:r>
    </w:p>
    <w:p w14:paraId="3BEF7BA7">
      <w:pPr>
        <w:pStyle w:val="11"/>
        <w:spacing w:before="0" w:after="0" w:line="520" w:lineRule="atLeast"/>
        <w:ind w:left="0" w:firstLine="480" w:firstLineChars="200"/>
        <w:rPr>
          <w:rFonts w:hAnsi="宋体" w:cs="Arial"/>
          <w:szCs w:val="24"/>
        </w:rPr>
      </w:pPr>
      <w:r>
        <w:rPr>
          <w:rFonts w:hAnsi="宋体" w:cs="Arial"/>
          <w:szCs w:val="24"/>
        </w:rPr>
        <w:t>5.2募集资金的验资</w:t>
      </w:r>
    </w:p>
    <w:p w14:paraId="4320FBAE">
      <w:pPr>
        <w:pStyle w:val="47"/>
        <w:adjustRightInd/>
        <w:spacing w:line="520" w:lineRule="atLeast"/>
        <w:ind w:firstLine="480" w:firstLineChars="200"/>
        <w:rPr>
          <w:rFonts w:ascii="宋体" w:hAnsi="宋体" w:cs="Arial"/>
          <w:szCs w:val="24"/>
        </w:rPr>
      </w:pPr>
      <w:r>
        <w:rPr>
          <w:rFonts w:ascii="宋体" w:hAnsi="宋体" w:cs="Arial"/>
          <w:szCs w:val="24"/>
        </w:rPr>
        <w:t>5.2.1基金募集期间募集的资金应存于基金管理人在基金托管人的营业机构或在其他银行开立的基金募集专户，该账户由基金管理人开立并管理。</w:t>
      </w:r>
    </w:p>
    <w:p w14:paraId="72C7D758">
      <w:pPr>
        <w:pStyle w:val="11"/>
        <w:spacing w:before="0" w:after="0" w:line="520" w:lineRule="atLeast"/>
        <w:ind w:left="0" w:firstLine="480" w:firstLineChars="200"/>
        <w:rPr>
          <w:rFonts w:hAnsi="宋体" w:cs="Arial"/>
          <w:szCs w:val="24"/>
        </w:rPr>
      </w:pPr>
      <w:r>
        <w:rPr>
          <w:rFonts w:hAnsi="宋体" w:cs="Arial"/>
          <w:szCs w:val="24"/>
        </w:rPr>
        <w:t>5.2.2基金募集期满或基金提前结束募集时，募集的基金份额总额、基金募集金额、基金份额持有人人数符合《基金法》、《运作办法》等有关规定后，基金管理人应将募集的属于本基金财产的全部资金划入基金托管人为本基金开立的托管专户中，基金托管人在收到资金当日出具确认文件。同时，基金管理人应聘请具备相关业务资质的会计师事务所进行验资，出具验资报告，出具的验资报告应由参加验资的2名以上（含2名）中国注册会计师签字有效。</w:t>
      </w:r>
    </w:p>
    <w:p w14:paraId="70239C4C">
      <w:pPr>
        <w:pStyle w:val="11"/>
        <w:spacing w:before="0" w:after="0" w:line="520" w:lineRule="atLeast"/>
        <w:ind w:left="0" w:firstLine="480" w:firstLineChars="200"/>
        <w:rPr>
          <w:rFonts w:hAnsi="宋体" w:cs="Arial"/>
          <w:szCs w:val="24"/>
        </w:rPr>
      </w:pPr>
      <w:r>
        <w:rPr>
          <w:rFonts w:hAnsi="宋体" w:cs="Arial"/>
          <w:szCs w:val="24"/>
        </w:rPr>
        <w:t>5.2.3若基金募集期限届满，未能达到基金备案条件，由基金管理人按规定办理退款事宜</w:t>
      </w:r>
      <w:r>
        <w:rPr>
          <w:rFonts w:hint="eastAsia" w:hAnsi="宋体" w:cs="Arial"/>
          <w:szCs w:val="24"/>
        </w:rPr>
        <w:t>，基金托管人应予以必要的协助和配合</w:t>
      </w:r>
      <w:r>
        <w:rPr>
          <w:rFonts w:hAnsi="宋体" w:cs="Arial"/>
          <w:szCs w:val="24"/>
        </w:rPr>
        <w:t>。</w:t>
      </w:r>
    </w:p>
    <w:p w14:paraId="6D9D7CEA">
      <w:pPr>
        <w:pStyle w:val="11"/>
        <w:spacing w:before="0" w:after="0" w:line="520" w:lineRule="atLeast"/>
        <w:ind w:left="0" w:firstLine="480" w:firstLineChars="200"/>
        <w:rPr>
          <w:rFonts w:hAnsi="宋体" w:cs="Arial"/>
          <w:szCs w:val="24"/>
        </w:rPr>
      </w:pPr>
      <w:r>
        <w:rPr>
          <w:rFonts w:hAnsi="宋体" w:cs="Arial"/>
          <w:szCs w:val="24"/>
        </w:rPr>
        <w:t>5.3基金的银行账户的开立和管理</w:t>
      </w:r>
    </w:p>
    <w:p w14:paraId="1457CFEC">
      <w:pPr>
        <w:pStyle w:val="11"/>
        <w:spacing w:before="0" w:after="0" w:line="520" w:lineRule="atLeast"/>
        <w:ind w:left="0" w:firstLine="480" w:firstLineChars="200"/>
        <w:rPr>
          <w:rFonts w:hAnsi="宋体" w:cs="Arial"/>
          <w:szCs w:val="24"/>
        </w:rPr>
      </w:pPr>
      <w:r>
        <w:rPr>
          <w:rFonts w:hAnsi="宋体" w:cs="Arial"/>
          <w:szCs w:val="24"/>
        </w:rPr>
        <w:t>5.3.1基金托管人以本基金的名义在其营业机构开立基金的银行账户，并根据基金管理人合法合规的指令办理资金收付。本基金的银行预留印鉴由基金托管人刻制、保管和使用。</w:t>
      </w:r>
    </w:p>
    <w:p w14:paraId="036BF0D3">
      <w:pPr>
        <w:pStyle w:val="11"/>
        <w:spacing w:before="0" w:after="0" w:line="520" w:lineRule="atLeast"/>
        <w:ind w:left="0" w:firstLine="480" w:firstLineChars="200"/>
        <w:rPr>
          <w:rFonts w:hAnsi="宋体" w:cs="Arial"/>
          <w:szCs w:val="24"/>
        </w:rPr>
      </w:pPr>
      <w:r>
        <w:rPr>
          <w:rFonts w:hAnsi="宋体" w:cs="Arial"/>
          <w:szCs w:val="24"/>
        </w:rPr>
        <w:t>5.3.2基金银行账户的开立和使用，限于满足开展本基金业务的需要。基金托管人和基金管理人不得假借本基金的名义开立任何其他银行账户；亦不得使用基金的任何账户进行本基金业务以外的活动。</w:t>
      </w:r>
    </w:p>
    <w:p w14:paraId="1F1304E0">
      <w:pPr>
        <w:pStyle w:val="11"/>
        <w:spacing w:before="0" w:after="0" w:line="520" w:lineRule="atLeast"/>
        <w:ind w:left="0" w:firstLine="480" w:firstLineChars="200"/>
        <w:rPr>
          <w:rFonts w:hAnsi="宋体" w:cs="Arial"/>
          <w:szCs w:val="24"/>
        </w:rPr>
      </w:pPr>
      <w:r>
        <w:rPr>
          <w:rFonts w:hAnsi="宋体" w:cs="Arial"/>
          <w:szCs w:val="24"/>
        </w:rPr>
        <w:t>5.3.3基金银行账户的开立和管理应符合有关法律法规以及银行业监督管理机构的有关规定。</w:t>
      </w:r>
    </w:p>
    <w:p w14:paraId="456CDBF0">
      <w:pPr>
        <w:pStyle w:val="11"/>
        <w:spacing w:before="0" w:after="0" w:line="520" w:lineRule="atLeast"/>
        <w:ind w:left="0" w:firstLine="480" w:firstLineChars="200"/>
        <w:rPr>
          <w:rFonts w:hAnsi="宋体" w:cs="Arial"/>
          <w:szCs w:val="24"/>
        </w:rPr>
      </w:pPr>
      <w:r>
        <w:rPr>
          <w:rFonts w:hAnsi="宋体" w:cs="Arial"/>
          <w:szCs w:val="24"/>
        </w:rPr>
        <w:t>5.4基金证券账户与证券交易资金账户的开设和管理</w:t>
      </w:r>
    </w:p>
    <w:p w14:paraId="1A701ED0">
      <w:pPr>
        <w:pStyle w:val="11"/>
        <w:spacing w:before="0" w:after="0" w:line="520" w:lineRule="atLeast"/>
        <w:ind w:left="0" w:firstLine="480" w:firstLineChars="200"/>
        <w:rPr>
          <w:rFonts w:hAnsi="宋体" w:cs="Arial"/>
          <w:szCs w:val="24"/>
        </w:rPr>
      </w:pPr>
      <w:r>
        <w:rPr>
          <w:rFonts w:hAnsi="宋体" w:cs="Arial"/>
          <w:szCs w:val="24"/>
        </w:rPr>
        <w:t>5.4.1基金托管人以基金托管人和本基金联名的方式在中国证券登记结算有限责任公司（以下简称“中登公司”）开设证券账户。</w:t>
      </w:r>
    </w:p>
    <w:p w14:paraId="7542DE4C">
      <w:pPr>
        <w:pStyle w:val="11"/>
        <w:spacing w:before="0" w:after="0" w:line="520" w:lineRule="atLeast"/>
        <w:ind w:left="0" w:firstLine="480" w:firstLineChars="200"/>
        <w:rPr>
          <w:rFonts w:hAnsi="宋体" w:cs="Arial"/>
          <w:szCs w:val="24"/>
        </w:rPr>
      </w:pPr>
      <w:r>
        <w:rPr>
          <w:rFonts w:hAnsi="宋体" w:cs="Arial"/>
          <w:szCs w:val="24"/>
        </w:rPr>
        <w:t>5.4.2</w:t>
      </w:r>
      <w:r>
        <w:rPr>
          <w:rFonts w:hint="eastAsia" w:hAnsi="宋体" w:cs="Arial"/>
          <w:szCs w:val="24"/>
        </w:rPr>
        <w:t>基金管理人为基金财产在证券经纪机构开立证券交易资金账户，用于基金财产证券交易结算资金的存管、记载交易结算资金的变动明细以及场内证券交易清算，并与基金托管人开立的托管专户建立第三方存管关系。交易所证券交易资金采用券结模式，非托管人结算模式。</w:t>
      </w:r>
    </w:p>
    <w:p w14:paraId="6AACE4C7">
      <w:pPr>
        <w:pStyle w:val="11"/>
        <w:spacing w:before="0" w:after="0" w:line="520" w:lineRule="atLeast"/>
        <w:ind w:left="0" w:firstLine="480" w:firstLineChars="200"/>
        <w:rPr>
          <w:rFonts w:hAnsi="宋体" w:cs="Arial"/>
          <w:szCs w:val="24"/>
        </w:rPr>
      </w:pPr>
      <w:r>
        <w:rPr>
          <w:rFonts w:hAnsi="宋体" w:cs="Arial"/>
          <w:szCs w:val="24"/>
        </w:rPr>
        <w:t>5.4.3基金证券账户与证券交易资金账户的开立和使用，限于满足开展本基金业务的需要。基金托管人和基金管理人不得出借和未经对方同意擅自转让基金的任何证券账户或证券交易资金账户；亦不得使用基金的任何账户进行本基金业务以外的活动。</w:t>
      </w:r>
    </w:p>
    <w:p w14:paraId="391EE442">
      <w:pPr>
        <w:pStyle w:val="11"/>
        <w:spacing w:before="0" w:after="0" w:line="520" w:lineRule="atLeast"/>
        <w:ind w:left="0" w:firstLine="480" w:firstLineChars="200"/>
        <w:rPr>
          <w:rFonts w:hAnsi="宋体" w:cs="Arial"/>
          <w:szCs w:val="24"/>
        </w:rPr>
      </w:pPr>
      <w:r>
        <w:rPr>
          <w:rFonts w:hAnsi="宋体" w:cs="Arial"/>
          <w:szCs w:val="24"/>
        </w:rPr>
        <w:t>5.4.4基金证券账户与证券交易资金账户相关证明文件的保管由基金托管人负责，账户资产的管理和运用由基金管理人负责。</w:t>
      </w:r>
    </w:p>
    <w:p w14:paraId="6272C726">
      <w:pPr>
        <w:pStyle w:val="11"/>
        <w:spacing w:before="0" w:after="0" w:line="520" w:lineRule="atLeast"/>
        <w:ind w:left="0" w:firstLine="480" w:firstLineChars="200"/>
        <w:rPr>
          <w:rFonts w:hAnsi="宋体" w:cs="Arial"/>
          <w:szCs w:val="24"/>
        </w:rPr>
      </w:pPr>
      <w:r>
        <w:rPr>
          <w:rFonts w:hAnsi="宋体" w:cs="Arial"/>
          <w:szCs w:val="24"/>
        </w:rPr>
        <w:t>5.5债券托管账户的开立和管理</w:t>
      </w:r>
    </w:p>
    <w:p w14:paraId="6064DE0E">
      <w:pPr>
        <w:pStyle w:val="11"/>
        <w:spacing w:before="0" w:after="0" w:line="520" w:lineRule="atLeast"/>
        <w:ind w:left="0" w:firstLine="480" w:firstLineChars="200"/>
        <w:rPr>
          <w:rFonts w:hAnsi="宋体" w:cs="Arial"/>
          <w:szCs w:val="24"/>
        </w:rPr>
      </w:pPr>
      <w:r>
        <w:rPr>
          <w:rFonts w:hAnsi="宋体" w:cs="Arial"/>
          <w:szCs w:val="24"/>
        </w:rPr>
        <w:t>5.5.1基金合同生效后，基金管理人负责以基金的名义申请并取得进入全国银行间同业拆借市场的交易资格，并代表基金进行交易；基金托管人负责以基金的名义在中央国债登记结算有限责任公司和银行间市场清算所股份有限公司开设银行间债券市场债券托管账户，并由基金托管人负责基金的债券的后台匹配及资金的清算。</w:t>
      </w:r>
    </w:p>
    <w:p w14:paraId="6750F459">
      <w:pPr>
        <w:pStyle w:val="11"/>
        <w:spacing w:before="0" w:after="0" w:line="520" w:lineRule="atLeast"/>
        <w:ind w:left="0" w:firstLine="480" w:firstLineChars="200"/>
        <w:rPr>
          <w:rFonts w:hAnsi="宋体" w:cs="Arial"/>
          <w:szCs w:val="24"/>
        </w:rPr>
      </w:pPr>
      <w:r>
        <w:rPr>
          <w:rFonts w:hAnsi="宋体" w:cs="Arial"/>
          <w:szCs w:val="24"/>
        </w:rPr>
        <w:t>5.5.2基金管理人为基金签订中国银行间国债市场债券回购交易主协议。</w:t>
      </w:r>
    </w:p>
    <w:p w14:paraId="49A752A3">
      <w:pPr>
        <w:pStyle w:val="11"/>
        <w:spacing w:before="0" w:after="0" w:line="520" w:lineRule="atLeast"/>
        <w:ind w:left="0" w:firstLine="480" w:firstLineChars="200"/>
        <w:rPr>
          <w:rFonts w:hAnsi="宋体" w:cs="Arial"/>
          <w:szCs w:val="24"/>
        </w:rPr>
      </w:pPr>
      <w:r>
        <w:rPr>
          <w:rFonts w:hAnsi="宋体" w:cs="Arial"/>
          <w:szCs w:val="24"/>
        </w:rPr>
        <w:t>5.6其他账户的开设和管理</w:t>
      </w:r>
    </w:p>
    <w:p w14:paraId="6C36F828">
      <w:pPr>
        <w:pStyle w:val="11"/>
        <w:spacing w:before="0" w:after="0" w:line="520" w:lineRule="atLeast"/>
        <w:ind w:left="0" w:firstLine="480" w:firstLineChars="200"/>
        <w:rPr>
          <w:rFonts w:hAnsi="宋体" w:cs="Arial"/>
          <w:szCs w:val="24"/>
        </w:rPr>
      </w:pPr>
      <w:r>
        <w:rPr>
          <w:rFonts w:hAnsi="宋体" w:cs="Arial"/>
          <w:szCs w:val="24"/>
        </w:rPr>
        <w:t>在本托管协议生效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14:paraId="58152D35">
      <w:pPr>
        <w:pStyle w:val="11"/>
        <w:spacing w:before="0" w:after="0" w:line="520" w:lineRule="atLeast"/>
        <w:ind w:left="0" w:firstLine="480" w:firstLineChars="200"/>
        <w:rPr>
          <w:rFonts w:hAnsi="宋体" w:cs="Arial"/>
          <w:szCs w:val="24"/>
        </w:rPr>
      </w:pPr>
      <w:r>
        <w:rPr>
          <w:rFonts w:hAnsi="宋体" w:cs="Arial"/>
          <w:szCs w:val="24"/>
        </w:rPr>
        <w:t>5.7基金财产投资的有关实物证券、银行定期存款存单等有价凭证的保管</w:t>
      </w:r>
    </w:p>
    <w:p w14:paraId="2FF6DAAB">
      <w:pPr>
        <w:pStyle w:val="11"/>
        <w:spacing w:before="0" w:after="0" w:line="520" w:lineRule="atLeast"/>
        <w:ind w:left="0" w:firstLine="480" w:firstLineChars="200"/>
        <w:rPr>
          <w:rFonts w:hAnsi="宋体" w:cs="Arial"/>
          <w:szCs w:val="24"/>
        </w:rPr>
      </w:pPr>
      <w:r>
        <w:rPr>
          <w:rFonts w:hAnsi="宋体" w:cs="Arial"/>
          <w:szCs w:val="24"/>
        </w:rPr>
        <w:t>基金财产投资的有关实物证券由基金托管人存放于基金托管人的保管库；其中实物证券也可存入中央国债登记结算有限责任公司、中登公司、银行间市场清算所股份有限公司或票据营业中心的代保管库。实物证券的购买和转让，由基金托管人根据基金管理人的指令办理。属于基金托管人控制下的实物证券在基金托管人保管期间的损坏、灭失，由此产生的责任应由基金托管人承担。基金托管人对基金托管人以外机构实际有效控制的证券不承担保管责任。</w:t>
      </w:r>
    </w:p>
    <w:p w14:paraId="3D9DE608">
      <w:pPr>
        <w:pStyle w:val="11"/>
        <w:spacing w:before="0" w:after="0" w:line="520" w:lineRule="atLeast"/>
        <w:ind w:left="0" w:firstLine="480" w:firstLineChars="200"/>
        <w:rPr>
          <w:rFonts w:hAnsi="宋体" w:cs="Arial"/>
          <w:szCs w:val="24"/>
        </w:rPr>
      </w:pPr>
      <w:r>
        <w:rPr>
          <w:rFonts w:hAnsi="宋体" w:cs="Arial"/>
          <w:szCs w:val="24"/>
        </w:rPr>
        <w:t>5.8与基金财产有关的重大合同的保管</w:t>
      </w:r>
    </w:p>
    <w:p w14:paraId="70E55CCD">
      <w:pPr>
        <w:pStyle w:val="11"/>
        <w:spacing w:before="0" w:after="0" w:line="520" w:lineRule="atLeast"/>
        <w:ind w:left="0" w:firstLine="480" w:firstLineChars="200"/>
        <w:rPr>
          <w:rFonts w:hAnsi="宋体" w:cs="Arial"/>
          <w:szCs w:val="24"/>
        </w:rPr>
      </w:pPr>
      <w:r>
        <w:rPr>
          <w:rFonts w:hAnsi="宋体" w:cs="Arial"/>
          <w:szCs w:val="24"/>
        </w:rPr>
        <w:t>与基金财产有关的重大合同的签署，由基金管理人负责。由基金管理人代表基金签署的与基金有关的重大合同的原件分别应由基金托管人、基金管理人保管。基金管理人在代表基金签署与基金有关的重大合同时应</w:t>
      </w:r>
      <w:r>
        <w:rPr>
          <w:rFonts w:hint="eastAsia" w:hAnsi="宋体" w:cs="Arial"/>
          <w:szCs w:val="24"/>
        </w:rPr>
        <w:t>尽量</w:t>
      </w:r>
      <w:r>
        <w:rPr>
          <w:rFonts w:hAnsi="宋体" w:cs="Arial"/>
          <w:szCs w:val="24"/>
        </w:rPr>
        <w:t>保证基金一方持有两份以上的正本原件，以便基金管理人和基金托管人至少各持有一份正本的原件。基金管理人在合同签署后30个工作日内通过专人送达、挂号邮寄等安全方式将合同送达基金托管人处。合同应存放于基金管理人和基金托管人各自文件保管部门20年以上，法律法规或监管规则另有规定的，从其规定。对于无法取得二份以上的正本的，基金管理人应向基金托管人提供加盖授权业务章的合同传真件，未经双方协商或未在合同约定范围内，合同原件不得转移，由基金管理人保管。</w:t>
      </w:r>
    </w:p>
    <w:p w14:paraId="578F7277">
      <w:pPr>
        <w:pStyle w:val="2"/>
        <w:spacing w:line="520" w:lineRule="atLeast"/>
        <w:ind w:firstLine="482" w:firstLineChars="200"/>
        <w:rPr>
          <w:rFonts w:cs="Arial"/>
          <w:bCs/>
          <w:color w:val="auto"/>
          <w:szCs w:val="24"/>
        </w:rPr>
      </w:pPr>
      <w:bookmarkStart w:id="25" w:name="_Toc296551342"/>
      <w:bookmarkStart w:id="26" w:name="_Toc238554476"/>
      <w:r>
        <w:rPr>
          <w:rFonts w:cs="Arial"/>
          <w:bCs/>
          <w:color w:val="auto"/>
          <w:szCs w:val="24"/>
        </w:rPr>
        <w:t>第六条 指令的发送、确认和执行</w:t>
      </w:r>
      <w:bookmarkEnd w:id="25"/>
      <w:bookmarkEnd w:id="26"/>
    </w:p>
    <w:p w14:paraId="7595EC69">
      <w:pPr>
        <w:pStyle w:val="11"/>
        <w:spacing w:before="0" w:after="0" w:line="520" w:lineRule="atLeast"/>
        <w:ind w:left="0" w:firstLine="480" w:firstLineChars="200"/>
        <w:rPr>
          <w:rFonts w:hAnsi="宋体" w:cs="Arial"/>
          <w:szCs w:val="24"/>
        </w:rPr>
      </w:pPr>
      <w:r>
        <w:rPr>
          <w:rFonts w:hAnsi="宋体" w:cs="Arial"/>
          <w:szCs w:val="24"/>
        </w:rPr>
        <w:t>6.1基金管理人对发送指令人员的书面授权</w:t>
      </w:r>
    </w:p>
    <w:p w14:paraId="35BBE08F">
      <w:pPr>
        <w:pStyle w:val="11"/>
        <w:spacing w:before="0" w:after="0" w:line="520" w:lineRule="atLeast"/>
        <w:ind w:left="0" w:firstLine="480" w:firstLineChars="200"/>
        <w:rPr>
          <w:rFonts w:hAnsi="宋体" w:cs="Arial"/>
          <w:szCs w:val="24"/>
        </w:rPr>
      </w:pPr>
      <w:r>
        <w:rPr>
          <w:rFonts w:hAnsi="宋体" w:cs="Arial"/>
          <w:szCs w:val="24"/>
        </w:rPr>
        <w:t>基金管理人应事先向基金托管人提供书面授权通知（以下称“授权通知”），指定有权发送指令的人员（以下称“被授权人”）名单、预留印鉴和被授权人签章样本，注明相应的交易权限，并规定基金管理人向基金托管人发送指令时基金托管人确认被授权人身份的方法。授权通知应加盖基金管理人公章。基金管理人应使用传真方式或其他基金托管人和基金管理人认可的方式向基金托管人发出授权通知，同时电话通知基金托管人。基金托管人在收到授权通知当日与基金管理人确认。基金管理人在收到基金托管人的确认之后，授权通知生效。</w:t>
      </w:r>
      <w:r>
        <w:rPr>
          <w:rFonts w:hint="eastAsia" w:hAnsi="宋体" w:cs="Arial"/>
          <w:szCs w:val="24"/>
        </w:rPr>
        <w:t>如授权通知中载明的生效日期早于基金托管人与基金管理人确认的时间，则以基金托管人与基金管理人确认的时间为授权通知生效日期；如授权通知中载明的生效日期晚于基金托管人与基金管理人确认的时间，则以授权通知中载明的日期为授权通知生效日期。</w:t>
      </w:r>
      <w:r>
        <w:rPr>
          <w:rFonts w:hAnsi="宋体" w:cs="Arial"/>
          <w:szCs w:val="24"/>
        </w:rPr>
        <w:t>基金管理人在此后3个工作日内将授权通知的正本送交基金托管人。授权通知正本内容应与基金托管人收到的传真内容一致，若有不一致的，以基金托管人收到的传真为准。</w:t>
      </w:r>
    </w:p>
    <w:p w14:paraId="6EFBE4F5">
      <w:pPr>
        <w:pStyle w:val="11"/>
        <w:spacing w:before="0" w:after="0" w:line="520" w:lineRule="atLeast"/>
        <w:ind w:left="0" w:firstLine="480" w:firstLineChars="200"/>
        <w:rPr>
          <w:rFonts w:hAnsi="宋体" w:cs="Arial"/>
          <w:szCs w:val="24"/>
        </w:rPr>
      </w:pPr>
      <w:r>
        <w:rPr>
          <w:rFonts w:hAnsi="宋体" w:cs="Arial"/>
          <w:szCs w:val="24"/>
        </w:rPr>
        <w:t>基金管理人和基金托管人对授权文件负有保密义务，其内容不得向被授权人及相关操作人员以外的任何人泄露，除本协议另有约定或法律法规另有规定或有权机关另有要求的除外。</w:t>
      </w:r>
    </w:p>
    <w:p w14:paraId="1ED9EB30">
      <w:pPr>
        <w:pStyle w:val="11"/>
        <w:spacing w:before="0" w:after="0" w:line="520" w:lineRule="atLeast"/>
        <w:ind w:left="0" w:firstLine="480" w:firstLineChars="200"/>
        <w:rPr>
          <w:rFonts w:hAnsi="宋体" w:cs="Arial"/>
          <w:szCs w:val="24"/>
        </w:rPr>
      </w:pPr>
      <w:r>
        <w:rPr>
          <w:rFonts w:hAnsi="宋体" w:cs="Arial"/>
          <w:szCs w:val="24"/>
        </w:rPr>
        <w:t>6.2指令的内容</w:t>
      </w:r>
    </w:p>
    <w:p w14:paraId="0FACCC98">
      <w:pPr>
        <w:pStyle w:val="11"/>
        <w:spacing w:before="0" w:after="0" w:line="520" w:lineRule="atLeast"/>
        <w:ind w:left="0" w:firstLine="480" w:firstLineChars="200"/>
        <w:rPr>
          <w:rFonts w:hAnsi="宋体" w:cs="Arial"/>
          <w:szCs w:val="24"/>
        </w:rPr>
      </w:pPr>
      <w:r>
        <w:rPr>
          <w:rFonts w:hAnsi="宋体" w:cs="Arial"/>
          <w:szCs w:val="24"/>
        </w:rPr>
        <w:t>基金管理人在运用基金财产开展场内证券交易前，基金管理人通过基金托管资金账户与证券交易资金账户已建立的第三方存管系统在基金托管资金账户与证券交易资金账户之间划款，即银证互转。</w:t>
      </w:r>
    </w:p>
    <w:p w14:paraId="72F5881F">
      <w:pPr>
        <w:pStyle w:val="11"/>
        <w:spacing w:before="0" w:after="0" w:line="520" w:lineRule="atLeast"/>
        <w:ind w:left="0" w:firstLine="480" w:firstLineChars="200"/>
        <w:rPr>
          <w:rFonts w:hAnsi="宋体" w:cs="Arial"/>
          <w:szCs w:val="24"/>
        </w:rPr>
      </w:pPr>
      <w:r>
        <w:rPr>
          <w:rFonts w:hAnsi="宋体" w:cs="Arial"/>
          <w:szCs w:val="24"/>
        </w:rPr>
        <w:t>指令是基金管理人在运用基金资产时，向基金托管人发出银证互转、场外交易的资金划拨及其他款项支付的指令。基金管理人发给基金托管人的指令应写明款项事由、支付时间、到账时间、金额、账户等，加盖预留印鉴并由被授权人签字或盖章。</w:t>
      </w:r>
    </w:p>
    <w:p w14:paraId="24E287CC">
      <w:pPr>
        <w:pStyle w:val="11"/>
        <w:spacing w:before="0" w:after="0" w:line="520" w:lineRule="atLeast"/>
        <w:ind w:left="0" w:firstLine="480" w:firstLineChars="200"/>
        <w:rPr>
          <w:rFonts w:hAnsi="宋体" w:cs="Arial"/>
          <w:szCs w:val="24"/>
        </w:rPr>
      </w:pPr>
      <w:r>
        <w:rPr>
          <w:rFonts w:hAnsi="宋体" w:cs="Arial"/>
          <w:szCs w:val="24"/>
        </w:rPr>
        <w:t>6.3指令的发送、确认和执行的时间和程序</w:t>
      </w:r>
    </w:p>
    <w:p w14:paraId="374C79C7">
      <w:pPr>
        <w:pStyle w:val="11"/>
        <w:spacing w:before="0" w:after="0" w:line="520" w:lineRule="atLeast"/>
        <w:ind w:left="0" w:firstLine="480" w:firstLineChars="200"/>
        <w:rPr>
          <w:rFonts w:hAnsi="宋体" w:cs="Arial"/>
          <w:szCs w:val="24"/>
        </w:rPr>
      </w:pPr>
      <w:r>
        <w:rPr>
          <w:rFonts w:hAnsi="宋体" w:cs="Arial"/>
          <w:szCs w:val="24"/>
        </w:rPr>
        <w:t>6.3.1指令由“授权通知”确定的被授权人代表基金管理人用传真的方式或其他基金托管人和基金管理人认可的方式向基金托管人发送。基金管理人有义务在发送指令后及时与托管人进行确认，因基金管理人未能及时与基金托管人进行指令确认，致使资金未能及时到账所造成的损失，基金托管人不承担</w:t>
      </w:r>
      <w:r>
        <w:rPr>
          <w:rFonts w:hint="eastAsia" w:hAnsi="宋体" w:cs="Arial"/>
          <w:szCs w:val="24"/>
        </w:rPr>
        <w:t>相应</w:t>
      </w:r>
      <w:r>
        <w:rPr>
          <w:rFonts w:hAnsi="宋体" w:cs="Arial"/>
          <w:szCs w:val="24"/>
        </w:rPr>
        <w:t>责任。基金托管人依照“授权通知”规定的方法确认指令有效后，方可执行指令。对于被授权人发出的指令，基金管理人不得否认其效力。基金托管人正确执行基金管理人发送的有效指令，基金份额持有人或基金财产发生损失的，基金托管人不承担</w:t>
      </w:r>
      <w:r>
        <w:rPr>
          <w:rFonts w:hint="eastAsia" w:hAnsi="宋体" w:cs="Arial"/>
          <w:szCs w:val="24"/>
        </w:rPr>
        <w:t>相应</w:t>
      </w:r>
      <w:r>
        <w:rPr>
          <w:rFonts w:hAnsi="宋体" w:cs="Arial"/>
          <w:szCs w:val="24"/>
        </w:rPr>
        <w:t>责任。基金管理人应按照《基金法》、有关法律法规和基金合同的规定，在其合法的经营权限和交易权限内发送划款指令，被授权人应按照其授权权限发送划款指令。基金管理人在发送指令时，应为基金托管人留出2小时，作为执行指令所必需的时间。由基金管理人原因造成的指令传输不及时、未能留出足够划款所需时间，基金托管人不承担资金未能及时到账所造成的损失。</w:t>
      </w:r>
    </w:p>
    <w:p w14:paraId="7B0D7FF4">
      <w:pPr>
        <w:pStyle w:val="11"/>
        <w:spacing w:before="0" w:after="0" w:line="520" w:lineRule="atLeast"/>
        <w:ind w:left="0" w:firstLine="480" w:firstLineChars="200"/>
        <w:rPr>
          <w:rFonts w:hAnsi="宋体" w:cs="Arial"/>
          <w:szCs w:val="24"/>
        </w:rPr>
      </w:pPr>
      <w:r>
        <w:rPr>
          <w:rFonts w:hAnsi="宋体" w:cs="Arial"/>
          <w:szCs w:val="24"/>
        </w:rPr>
        <w:t>6.3.2基金托管人根据本协议相关约定仅履行表面一致形式审核职责，对指令的真实性不承担责任。如果基金管理人的指令存在事实上未经授权、欺诈、伪造、变造或未能及时提供授权通知等情形，基金托管人不承担因执行有关指令或拒绝执行有关指令而给基金管理人或基金财产或任何第三方带来的损失或责任，但基金托管人未按协议约定尽形式审核义务执行指令而造成损失的情形除外。</w:t>
      </w:r>
    </w:p>
    <w:p w14:paraId="5A30EDB8">
      <w:pPr>
        <w:pStyle w:val="11"/>
        <w:spacing w:before="0" w:after="0" w:line="520" w:lineRule="atLeast"/>
        <w:ind w:left="0" w:firstLine="480" w:firstLineChars="200"/>
        <w:rPr>
          <w:rFonts w:hAnsi="宋体" w:cs="Arial"/>
          <w:szCs w:val="24"/>
        </w:rPr>
      </w:pPr>
      <w:r>
        <w:rPr>
          <w:rFonts w:hAnsi="宋体" w:cs="Arial"/>
          <w:szCs w:val="24"/>
        </w:rPr>
        <w:t>6.3.3基金托管人不负责审查基金管理人发送指令同时提交的其他文件资料的合法性、真实性、完整性和有效性，基金管理人应保证上述文件资料合法、真实、完整和有效。如因基金管理人提供的上述文件不合法、不真实、不完整或失去效力而影响基金托管人的审核或给任何第三人带来损失，基金托管人不承担</w:t>
      </w:r>
      <w:r>
        <w:rPr>
          <w:rFonts w:hint="eastAsia" w:hAnsi="宋体" w:cs="Arial"/>
          <w:szCs w:val="24"/>
        </w:rPr>
        <w:t>相应</w:t>
      </w:r>
      <w:r>
        <w:rPr>
          <w:rFonts w:hAnsi="宋体" w:cs="Arial"/>
          <w:szCs w:val="24"/>
        </w:rPr>
        <w:t>责任。</w:t>
      </w:r>
    </w:p>
    <w:p w14:paraId="7966242E">
      <w:pPr>
        <w:pStyle w:val="11"/>
        <w:spacing w:before="0" w:after="0" w:line="520" w:lineRule="atLeast"/>
        <w:ind w:left="0" w:firstLine="480" w:firstLineChars="200"/>
        <w:rPr>
          <w:rFonts w:hAnsi="宋体" w:cs="Arial"/>
          <w:szCs w:val="24"/>
        </w:rPr>
      </w:pPr>
      <w:r>
        <w:rPr>
          <w:rFonts w:hAnsi="宋体" w:cs="Arial"/>
          <w:szCs w:val="24"/>
        </w:rPr>
        <w:t>6.3.4基金托管人应指定专人接收基金管理人的指令，预先通知基金管理人其名单，并与基金管理人商定指令发送和接收方式。基金托管人收到基金管理人发送的指令后，应对指令进行表面形式审查，验证指令的要素是否齐全，传真指令</w:t>
      </w:r>
      <w:r>
        <w:rPr>
          <w:rFonts w:hint="eastAsia" w:hAnsi="宋体" w:cs="Arial"/>
          <w:szCs w:val="24"/>
        </w:rPr>
        <w:t>或邮件指令</w:t>
      </w:r>
      <w:r>
        <w:rPr>
          <w:rFonts w:hAnsi="宋体" w:cs="Arial"/>
          <w:szCs w:val="24"/>
        </w:rPr>
        <w:t>仅对划款指令的印鉴及被授权人签章等通过肉眼辨识的方式与预留印鉴和签章样本进行比对，形式上不存在重大差异的，即视为通过表面审查。基金管理人出具的划款指令中的编号不属于指令要素，属于基金管理人内部业务信息，基金托管人不对指令编号承担任何审核职责；基金管理人应确保其在划款指令中填写的内容真实、准确、完整，划款指令编号不存在重复。因划款指令编号重复、编号不连续、空缺导致的重复性扣款，所产生的责任由基金管理人承担，与基金托管人无关。指令复核无误后应在规定期限内及时执行。指令若以传真</w:t>
      </w:r>
      <w:r>
        <w:rPr>
          <w:rFonts w:hint="eastAsia" w:hAnsi="宋体" w:cs="Arial"/>
          <w:szCs w:val="24"/>
        </w:rPr>
        <w:t>或邮件</w:t>
      </w:r>
      <w:r>
        <w:rPr>
          <w:rFonts w:hAnsi="宋体" w:cs="Arial"/>
          <w:szCs w:val="24"/>
        </w:rPr>
        <w:t>方式发出，则正本由基金管理人保管，基金托管人保管指令传真件</w:t>
      </w:r>
      <w:r>
        <w:rPr>
          <w:rFonts w:hint="eastAsia" w:hAnsi="宋体" w:cs="Arial"/>
          <w:szCs w:val="24"/>
        </w:rPr>
        <w:t>或扫描件</w:t>
      </w:r>
      <w:r>
        <w:rPr>
          <w:rFonts w:hAnsi="宋体" w:cs="Arial"/>
          <w:szCs w:val="24"/>
        </w:rPr>
        <w:t>。当两者不一致时，以基金托管人收到的指令传真件</w:t>
      </w:r>
      <w:r>
        <w:rPr>
          <w:rFonts w:hint="eastAsia" w:hAnsi="宋体" w:cs="Arial"/>
          <w:szCs w:val="24"/>
        </w:rPr>
        <w:t>或扫描件</w:t>
      </w:r>
      <w:r>
        <w:rPr>
          <w:rFonts w:hAnsi="宋体" w:cs="Arial"/>
          <w:szCs w:val="24"/>
        </w:rPr>
        <w:t>为准。</w:t>
      </w:r>
    </w:p>
    <w:p w14:paraId="4D3FAEC4">
      <w:pPr>
        <w:pStyle w:val="11"/>
        <w:spacing w:before="0" w:after="0" w:line="520" w:lineRule="atLeast"/>
        <w:ind w:left="0" w:firstLine="480" w:firstLineChars="200"/>
        <w:rPr>
          <w:rFonts w:hAnsi="宋体" w:cs="Arial"/>
          <w:szCs w:val="24"/>
        </w:rPr>
      </w:pPr>
      <w:r>
        <w:rPr>
          <w:rFonts w:hAnsi="宋体" w:cs="Arial"/>
          <w:szCs w:val="24"/>
        </w:rPr>
        <w:t>6.3.5基金管理人向基金托管人下达指令时，应确保基金银行账户有足够的资金余额，对基金管理人在没有充足资金的情况下向基金托管人发出的指令，基金托管人可不予执行，并立即通知基金管理人，基金托管人</w:t>
      </w:r>
      <w:r>
        <w:rPr>
          <w:rFonts w:hint="eastAsia" w:hAnsi="宋体" w:cs="Arial"/>
          <w:szCs w:val="24"/>
        </w:rPr>
        <w:t>已依约履行相应义务后，</w:t>
      </w:r>
      <w:r>
        <w:rPr>
          <w:rFonts w:hAnsi="宋体" w:cs="Arial"/>
          <w:szCs w:val="24"/>
        </w:rPr>
        <w:t>不承担因为不执行该指令而造成损失的责任。</w:t>
      </w:r>
    </w:p>
    <w:p w14:paraId="7C826D36">
      <w:pPr>
        <w:pStyle w:val="11"/>
        <w:spacing w:before="0" w:after="0" w:line="520" w:lineRule="atLeast"/>
        <w:ind w:left="0" w:firstLine="480" w:firstLineChars="200"/>
        <w:rPr>
          <w:rFonts w:hAnsi="宋体" w:cs="Arial"/>
          <w:szCs w:val="24"/>
        </w:rPr>
      </w:pPr>
      <w:r>
        <w:rPr>
          <w:rFonts w:hAnsi="宋体" w:cs="Arial"/>
          <w:szCs w:val="24"/>
        </w:rPr>
        <w:t>6.4基金管理人发送错误指令的情形和处理程序</w:t>
      </w:r>
    </w:p>
    <w:p w14:paraId="50B3F947">
      <w:pPr>
        <w:pStyle w:val="11"/>
        <w:spacing w:before="0" w:after="0" w:line="520" w:lineRule="atLeast"/>
        <w:ind w:left="0" w:firstLine="480" w:firstLineChars="200"/>
        <w:rPr>
          <w:rFonts w:hAnsi="宋体" w:cs="Arial"/>
          <w:szCs w:val="24"/>
        </w:rPr>
      </w:pPr>
      <w:r>
        <w:rPr>
          <w:rFonts w:hAnsi="宋体" w:cs="Arial"/>
          <w:szCs w:val="24"/>
        </w:rPr>
        <w:t>6.4.1基金管理人发送错误指令的情形包括指令违反相关法律法规或基金合同、指令发送人员无权或超越权限发送指令及交割信息错误，指令中重要信息模糊不清或不全等。</w:t>
      </w:r>
    </w:p>
    <w:p w14:paraId="34A4C110">
      <w:pPr>
        <w:pStyle w:val="11"/>
        <w:spacing w:before="0" w:after="0" w:line="520" w:lineRule="atLeast"/>
        <w:ind w:left="0" w:firstLine="480" w:firstLineChars="200"/>
        <w:rPr>
          <w:rFonts w:hAnsi="宋体" w:cs="Arial"/>
          <w:szCs w:val="24"/>
        </w:rPr>
      </w:pPr>
      <w:r>
        <w:rPr>
          <w:rFonts w:hAnsi="宋体" w:cs="Arial"/>
          <w:szCs w:val="24"/>
        </w:rPr>
        <w:t>6.4.2基金托管人在履行监督职能时，发现基金管理人的指令错误时，有权</w:t>
      </w:r>
      <w:r>
        <w:rPr>
          <w:rFonts w:hint="eastAsia" w:hAnsi="宋体" w:cs="Arial"/>
          <w:szCs w:val="24"/>
        </w:rPr>
        <w:t>视情况暂缓或</w:t>
      </w:r>
      <w:r>
        <w:rPr>
          <w:rFonts w:hAnsi="宋体" w:cs="Arial"/>
          <w:szCs w:val="24"/>
        </w:rPr>
        <w:t>拒绝执行，并及时通知基金管理人改正。</w:t>
      </w:r>
    </w:p>
    <w:p w14:paraId="44580AAE">
      <w:pPr>
        <w:pStyle w:val="11"/>
        <w:spacing w:before="0" w:after="0" w:line="520" w:lineRule="atLeast"/>
        <w:ind w:left="0" w:firstLine="480" w:firstLineChars="200"/>
        <w:rPr>
          <w:rFonts w:hAnsi="宋体" w:cs="Arial"/>
          <w:szCs w:val="24"/>
        </w:rPr>
      </w:pPr>
      <w:r>
        <w:rPr>
          <w:rFonts w:hAnsi="宋体" w:cs="Arial"/>
          <w:szCs w:val="24"/>
        </w:rPr>
        <w:t>6.5基金托管人依照法律法规暂缓、拒绝执行指令的情形和处理程序</w:t>
      </w:r>
    </w:p>
    <w:p w14:paraId="58277096">
      <w:pPr>
        <w:pStyle w:val="11"/>
        <w:spacing w:before="0" w:after="0" w:line="520" w:lineRule="atLeast"/>
        <w:ind w:left="0" w:firstLine="480" w:firstLineChars="200"/>
        <w:rPr>
          <w:rFonts w:hAnsi="宋体" w:cs="Arial"/>
          <w:szCs w:val="24"/>
        </w:rPr>
      </w:pPr>
      <w:r>
        <w:rPr>
          <w:rFonts w:hAnsi="宋体" w:cs="Arial"/>
          <w:szCs w:val="24"/>
        </w:rPr>
        <w:t>基金托管人发现基金管理人发送的指令违反《基金法》、基金合同、本协议或有关基金法规的有关规定，有权视情况暂缓执行或不予执行，并应及时通知基金管理人纠正，基金托管人不承担</w:t>
      </w:r>
      <w:r>
        <w:rPr>
          <w:rFonts w:hint="eastAsia" w:hAnsi="宋体" w:cs="Arial"/>
          <w:szCs w:val="24"/>
        </w:rPr>
        <w:t>相应</w:t>
      </w:r>
      <w:r>
        <w:rPr>
          <w:rFonts w:hAnsi="宋体" w:cs="Arial"/>
          <w:szCs w:val="24"/>
        </w:rPr>
        <w:t>损失和责任。对基金管理人更正并重新发送后的指令经基金托管人核对确认后方能执行。</w:t>
      </w:r>
    </w:p>
    <w:p w14:paraId="038F391A">
      <w:pPr>
        <w:pStyle w:val="11"/>
        <w:spacing w:before="0" w:after="0" w:line="520" w:lineRule="atLeast"/>
        <w:ind w:left="0" w:firstLine="480" w:firstLineChars="200"/>
        <w:rPr>
          <w:rFonts w:hAnsi="宋体" w:cs="Arial"/>
          <w:szCs w:val="24"/>
        </w:rPr>
      </w:pPr>
      <w:r>
        <w:rPr>
          <w:rFonts w:hAnsi="宋体" w:cs="Arial"/>
          <w:szCs w:val="24"/>
        </w:rPr>
        <w:t>6.6基金托管人未按照基金管理人指令执行的处理方法</w:t>
      </w:r>
    </w:p>
    <w:p w14:paraId="253C80F1">
      <w:pPr>
        <w:pStyle w:val="11"/>
        <w:spacing w:before="0" w:after="0" w:line="520" w:lineRule="atLeast"/>
        <w:ind w:left="0" w:firstLine="480" w:firstLineChars="200"/>
        <w:rPr>
          <w:rFonts w:hAnsi="宋体" w:cs="Arial"/>
          <w:szCs w:val="24"/>
        </w:rPr>
      </w:pPr>
      <w:r>
        <w:rPr>
          <w:rFonts w:hAnsi="宋体" w:cs="Arial"/>
          <w:szCs w:val="24"/>
        </w:rPr>
        <w:t>基金托管人由于自身过错原因造成未按照或者未及时按照基金管理人发送的符合法律法规规定以及基金合同、本协议约定的指令执行，给基金份额持有人或基金财产造成损失的，应承担相应的责任，但如遇到不可抗力的情况除外。</w:t>
      </w:r>
    </w:p>
    <w:p w14:paraId="0C036E1C">
      <w:pPr>
        <w:pStyle w:val="11"/>
        <w:spacing w:before="0" w:after="0" w:line="520" w:lineRule="atLeast"/>
        <w:ind w:left="0" w:firstLine="480" w:firstLineChars="200"/>
        <w:rPr>
          <w:rFonts w:hAnsi="宋体" w:cs="Arial"/>
          <w:szCs w:val="24"/>
        </w:rPr>
      </w:pPr>
      <w:r>
        <w:rPr>
          <w:rFonts w:hAnsi="宋体" w:cs="Arial"/>
          <w:szCs w:val="24"/>
        </w:rPr>
        <w:t>6.7更换被授权人的程序</w:t>
      </w:r>
    </w:p>
    <w:p w14:paraId="79B9B63F">
      <w:pPr>
        <w:pStyle w:val="11"/>
        <w:spacing w:before="0" w:after="0" w:line="520" w:lineRule="atLeast"/>
        <w:ind w:left="0" w:firstLine="480" w:firstLineChars="200"/>
        <w:rPr>
          <w:rFonts w:hAnsi="宋体" w:cs="Arial"/>
          <w:szCs w:val="24"/>
        </w:rPr>
      </w:pPr>
      <w:r>
        <w:rPr>
          <w:rFonts w:hAnsi="宋体" w:cs="Arial"/>
          <w:szCs w:val="24"/>
        </w:rPr>
        <w:t>基金管理人撤换被授权人员或改变被授权人员的权限，必须提前至少1个交易日，使用传真方式或其他基金托管人和基金管理人认可的方式向基金托管人发出由基金管理人签字和盖章的被授权人变更通知，同时电话通知基金托管人，基金托管人收到变更通知当日与基金管理人确认。被授权人变更通知，自基金管理人收到基金托管人确认时开始生效。</w:t>
      </w:r>
      <w:r>
        <w:rPr>
          <w:rFonts w:hint="eastAsia" w:hAnsi="宋体" w:cs="Arial"/>
          <w:szCs w:val="24"/>
        </w:rPr>
        <w:t>如变更通知中载明的生效日期早于基金托管人与基金管理人确认的时间，则以基金托管人与基金管理人确认的时间为变更通知生效日期；如变更通知中载明的生效日期晚于基金托管人与基金管理人确认的时间，则以变更通知中载明的日期为变更通知生效日期。</w:t>
      </w:r>
      <w:r>
        <w:rPr>
          <w:rFonts w:hAnsi="宋体" w:cs="Arial"/>
          <w:szCs w:val="24"/>
        </w:rPr>
        <w:t>基金管理人在此后3个工作日内将被授权人变更通知的正本送交基金托管人。被授权人变更通知的正本应与传真内容一致，若有不一致的，以基金托管人收到的传真件为准。在被授权人变更通知生效之前，基金托管人所接收的原被授权人所签发的划款指令及其它文件仍然完全有效。基金管理人更换被授权人通知生效后，对于已被撤换的人员无权发送的指令，或被改变授权人员超权限发送的指令，基金管理人不承担责任。</w:t>
      </w:r>
    </w:p>
    <w:p w14:paraId="2291DFB2">
      <w:pPr>
        <w:pStyle w:val="2"/>
        <w:spacing w:line="520" w:lineRule="atLeast"/>
        <w:ind w:firstLine="482" w:firstLineChars="200"/>
        <w:rPr>
          <w:rFonts w:cs="Arial"/>
          <w:bCs/>
          <w:color w:val="auto"/>
          <w:szCs w:val="24"/>
        </w:rPr>
      </w:pPr>
      <w:bookmarkStart w:id="27" w:name="_Toc238554477"/>
      <w:r>
        <w:rPr>
          <w:rFonts w:cs="Arial"/>
          <w:bCs/>
          <w:color w:val="auto"/>
          <w:szCs w:val="24"/>
        </w:rPr>
        <w:t>第七条 交易及清算交收安排</w:t>
      </w:r>
      <w:bookmarkEnd w:id="27"/>
    </w:p>
    <w:p w14:paraId="3B0306B7">
      <w:pPr>
        <w:pStyle w:val="11"/>
        <w:spacing w:before="0" w:after="0" w:line="520" w:lineRule="atLeast"/>
        <w:ind w:left="0" w:firstLine="480" w:firstLineChars="200"/>
        <w:rPr>
          <w:rFonts w:hAnsi="宋体" w:cs="Arial"/>
          <w:szCs w:val="24"/>
        </w:rPr>
      </w:pPr>
      <w:r>
        <w:rPr>
          <w:rFonts w:hint="eastAsia" w:hAnsi="宋体" w:cs="Arial"/>
          <w:szCs w:val="24"/>
        </w:rPr>
        <w:t>7.1选择代理证券买卖的证券经营机构</w:t>
      </w:r>
    </w:p>
    <w:p w14:paraId="68468FF8">
      <w:pPr>
        <w:pStyle w:val="11"/>
        <w:spacing w:before="0" w:after="0" w:line="520" w:lineRule="atLeast"/>
        <w:ind w:left="0" w:firstLine="480" w:firstLineChars="200"/>
        <w:rPr>
          <w:rFonts w:hAnsi="宋体" w:cs="Arial"/>
          <w:szCs w:val="24"/>
        </w:rPr>
      </w:pPr>
      <w:r>
        <w:rPr>
          <w:rFonts w:hint="eastAsia" w:hAnsi="宋体" w:cs="Arial"/>
          <w:szCs w:val="24"/>
        </w:rPr>
        <w:t>7.1.1基金管理人负责选择代理本基金证券买卖的证券经纪机构，并与其签订证券经纪服务协议，基金管理人、基金托管人和证券经纪机构就基金参与证券交易的具体事项另行签订协议，明确三方在本基金参与场内证券买卖中各类证券交易、证券交收及相关资金交收过程中的职责和义务。</w:t>
      </w:r>
    </w:p>
    <w:p w14:paraId="4738241A">
      <w:pPr>
        <w:pStyle w:val="11"/>
        <w:spacing w:before="0" w:after="0" w:line="520" w:lineRule="atLeast"/>
        <w:ind w:left="0" w:firstLine="480" w:firstLineChars="200"/>
        <w:rPr>
          <w:rFonts w:hAnsi="宋体" w:cs="Arial"/>
          <w:szCs w:val="24"/>
        </w:rPr>
      </w:pPr>
      <w:r>
        <w:rPr>
          <w:rFonts w:hint="eastAsia" w:hAnsi="宋体" w:cs="Arial"/>
          <w:szCs w:val="24"/>
        </w:rPr>
        <w:t>7.1.2基金管理人应及时将本基金财产的佣金费率等基本信息以及变更情况以书面形式通知基金托管人，以便基金托管人估值核算使用。</w:t>
      </w:r>
    </w:p>
    <w:p w14:paraId="03960A49">
      <w:pPr>
        <w:pStyle w:val="11"/>
        <w:spacing w:before="0" w:after="0" w:line="520" w:lineRule="atLeast"/>
        <w:ind w:left="0" w:firstLine="480" w:firstLineChars="200"/>
        <w:rPr>
          <w:rFonts w:hAnsi="宋体" w:cs="Arial"/>
          <w:szCs w:val="24"/>
        </w:rPr>
      </w:pPr>
      <w:r>
        <w:rPr>
          <w:rFonts w:hint="eastAsia" w:hAnsi="宋体" w:cs="Arial"/>
          <w:szCs w:val="24"/>
        </w:rPr>
        <w:t>7.2清算与交割</w:t>
      </w:r>
    </w:p>
    <w:p w14:paraId="03FC0603">
      <w:pPr>
        <w:pStyle w:val="11"/>
        <w:spacing w:before="0" w:after="0" w:line="520" w:lineRule="atLeast"/>
        <w:ind w:left="0" w:firstLine="480" w:firstLineChars="200"/>
        <w:rPr>
          <w:rFonts w:hAnsi="宋体" w:cs="Arial"/>
          <w:szCs w:val="24"/>
        </w:rPr>
      </w:pPr>
      <w:r>
        <w:rPr>
          <w:rFonts w:hint="eastAsia" w:hAnsi="宋体" w:cs="Arial"/>
          <w:szCs w:val="24"/>
        </w:rPr>
        <w:t>7.2.1基金投资证券后的清算交收安排</w:t>
      </w:r>
    </w:p>
    <w:p w14:paraId="786977ED">
      <w:pPr>
        <w:pStyle w:val="11"/>
        <w:spacing w:before="0" w:after="0" w:line="520" w:lineRule="atLeast"/>
        <w:ind w:left="0" w:firstLine="480" w:firstLineChars="200"/>
        <w:rPr>
          <w:rFonts w:hAnsi="宋体" w:cs="Arial"/>
          <w:szCs w:val="24"/>
        </w:rPr>
      </w:pPr>
      <w:r>
        <w:rPr>
          <w:rFonts w:hint="eastAsia" w:hAnsi="宋体" w:cs="Arial"/>
          <w:szCs w:val="24"/>
        </w:rPr>
        <w:t>本基金通过证券经纪机构进行的交易由证券经纪机构作为结算参与人代理本基金进行结算；本基金其它证券交易由基金托管人或相关机构负责结算。</w:t>
      </w:r>
    </w:p>
    <w:p w14:paraId="66FBB760">
      <w:pPr>
        <w:pStyle w:val="11"/>
        <w:spacing w:before="0" w:after="0" w:line="520" w:lineRule="atLeast"/>
        <w:ind w:left="0" w:firstLine="480" w:firstLineChars="200"/>
        <w:rPr>
          <w:rFonts w:hAnsi="宋体" w:cs="Arial"/>
          <w:szCs w:val="24"/>
        </w:rPr>
      </w:pPr>
      <w:r>
        <w:rPr>
          <w:rFonts w:hint="eastAsia" w:hAnsi="宋体" w:cs="Arial"/>
          <w:szCs w:val="24"/>
        </w:rPr>
        <w:t>7.2.2证券交易所证券资金结算</w:t>
      </w:r>
    </w:p>
    <w:p w14:paraId="08C95B18">
      <w:pPr>
        <w:pStyle w:val="11"/>
        <w:spacing w:before="0" w:after="0" w:line="520" w:lineRule="atLeast"/>
        <w:ind w:left="0" w:firstLine="480" w:firstLineChars="200"/>
        <w:rPr>
          <w:rFonts w:hAnsi="宋体" w:cs="Arial"/>
          <w:szCs w:val="24"/>
        </w:rPr>
      </w:pPr>
      <w:r>
        <w:rPr>
          <w:rFonts w:hint="eastAsia" w:hAnsi="宋体" w:cs="Arial"/>
          <w:szCs w:val="24"/>
        </w:rPr>
        <w:t>基金托管人、基金管理人应共同遵守中登公司制定的相关业务规则和规定，该等规则和规定自动成为本条款约定内容。</w:t>
      </w:r>
    </w:p>
    <w:p w14:paraId="7270E56D">
      <w:pPr>
        <w:pStyle w:val="11"/>
        <w:spacing w:before="0" w:after="0" w:line="520" w:lineRule="atLeast"/>
        <w:ind w:left="0" w:firstLine="480" w:firstLineChars="200"/>
        <w:rPr>
          <w:rFonts w:hAnsi="宋体" w:cs="Arial"/>
          <w:szCs w:val="24"/>
        </w:rPr>
      </w:pPr>
      <w:r>
        <w:rPr>
          <w:rFonts w:hint="eastAsia" w:hAnsi="宋体" w:cs="Arial"/>
          <w:szCs w:val="24"/>
        </w:rPr>
        <w:t>基金管理人在投资前，应充分知晓与理解中登公司针对各类交易品种制定的结算业务规则和规定。</w:t>
      </w:r>
    </w:p>
    <w:p w14:paraId="7E50CBE5">
      <w:pPr>
        <w:pStyle w:val="11"/>
        <w:spacing w:before="0" w:after="0" w:line="520" w:lineRule="atLeast"/>
        <w:ind w:left="0" w:firstLine="480" w:firstLineChars="200"/>
        <w:rPr>
          <w:rFonts w:hAnsi="宋体" w:cs="Arial"/>
          <w:szCs w:val="24"/>
        </w:rPr>
      </w:pPr>
      <w:r>
        <w:rPr>
          <w:rFonts w:hint="eastAsia" w:hAnsi="宋体" w:cs="Arial"/>
          <w:szCs w:val="24"/>
        </w:rPr>
        <w:t>证券经纪机构代理本基金与中登公司完成证券交易及非交易涉及的证券资金结算业务，并承担由证券经纪机构原因造成的正常结算、交收业务无法完成的责任；若由于基金管理人原因造成的正常结算业务无法完成，责任由基金管理人承担。</w:t>
      </w:r>
    </w:p>
    <w:p w14:paraId="5F0BFDBC">
      <w:pPr>
        <w:pStyle w:val="11"/>
        <w:spacing w:before="0" w:after="0" w:line="520" w:lineRule="atLeast"/>
        <w:ind w:left="0" w:firstLine="480" w:firstLineChars="200"/>
        <w:rPr>
          <w:rFonts w:hAnsi="宋体" w:cs="Arial"/>
          <w:szCs w:val="24"/>
        </w:rPr>
      </w:pPr>
      <w:r>
        <w:rPr>
          <w:rFonts w:hint="eastAsia" w:hAnsi="宋体" w:cs="Arial"/>
          <w:szCs w:val="24"/>
        </w:rPr>
        <w:t>对于任何原因发生的证券资金交收违约事件，相关各方应当及时协商解决。</w:t>
      </w:r>
    </w:p>
    <w:p w14:paraId="01102C22">
      <w:pPr>
        <w:pStyle w:val="11"/>
        <w:spacing w:before="0" w:after="0" w:line="520" w:lineRule="atLeast"/>
        <w:ind w:left="0" w:firstLine="480" w:firstLineChars="200"/>
        <w:rPr>
          <w:rFonts w:hAnsi="宋体" w:cs="Arial"/>
          <w:szCs w:val="24"/>
        </w:rPr>
      </w:pPr>
      <w:r>
        <w:rPr>
          <w:rFonts w:hint="eastAsia" w:hAnsi="宋体" w:cs="Arial"/>
          <w:szCs w:val="24"/>
        </w:rPr>
        <w:t>7.2.3场外交易资金结算</w:t>
      </w:r>
    </w:p>
    <w:p w14:paraId="457B9B29">
      <w:pPr>
        <w:pStyle w:val="11"/>
        <w:spacing w:before="0" w:after="0" w:line="520" w:lineRule="atLeast"/>
        <w:ind w:left="0" w:firstLine="480" w:firstLineChars="200"/>
        <w:rPr>
          <w:rFonts w:hAnsi="宋体" w:cs="Arial"/>
          <w:szCs w:val="24"/>
        </w:rPr>
      </w:pPr>
      <w:r>
        <w:rPr>
          <w:rFonts w:hint="eastAsia" w:hAnsi="宋体" w:cs="Arial"/>
          <w:szCs w:val="24"/>
        </w:rPr>
        <w:t>场外资金对外投资划款由基金托管人凭基金管理人符合本托管协议约定的有效资金划拨指令和相关投资合同（如有）进行资金划拨；场外投资本金及收益的划回，由管理人负责协调相关资金划拨回产品托管户事宜。</w:t>
      </w:r>
    </w:p>
    <w:p w14:paraId="2C451689">
      <w:pPr>
        <w:pStyle w:val="11"/>
        <w:spacing w:before="0" w:after="0" w:line="520" w:lineRule="atLeast"/>
        <w:ind w:left="0" w:firstLine="480" w:firstLineChars="200"/>
        <w:rPr>
          <w:rFonts w:hAnsi="宋体" w:cs="Arial"/>
          <w:szCs w:val="24"/>
        </w:rPr>
      </w:pPr>
      <w:r>
        <w:rPr>
          <w:rFonts w:hAnsi="宋体" w:cs="Arial"/>
          <w:szCs w:val="24"/>
        </w:rPr>
        <w:t>7.3资金、证券账目及交易记录的核对</w:t>
      </w:r>
    </w:p>
    <w:p w14:paraId="2685DC45">
      <w:pPr>
        <w:pStyle w:val="11"/>
        <w:spacing w:before="0" w:after="0" w:line="520" w:lineRule="atLeast"/>
        <w:ind w:left="0" w:firstLine="480" w:firstLineChars="200"/>
        <w:rPr>
          <w:rFonts w:hAnsi="宋体" w:cs="Arial"/>
          <w:szCs w:val="24"/>
        </w:rPr>
      </w:pPr>
      <w:r>
        <w:rPr>
          <w:rFonts w:hAnsi="宋体" w:cs="Arial"/>
          <w:szCs w:val="24"/>
        </w:rPr>
        <w:t>7.3.1基金管理人与基金托管人按日进行交易记录的核对。对外披露基金份额净值之前，必须保证当天所有实际交易记录与基金会计账簿上的交易记录完全一致。如果实际交易记录与会计账簿记录不一致，造成基金会计核算不完整或不真实，由此导致的损失由责任方承担。</w:t>
      </w:r>
    </w:p>
    <w:p w14:paraId="2062B828">
      <w:pPr>
        <w:pStyle w:val="11"/>
        <w:spacing w:before="0" w:after="0" w:line="520" w:lineRule="atLeast"/>
        <w:ind w:left="0" w:firstLine="480" w:firstLineChars="200"/>
        <w:rPr>
          <w:rFonts w:hAnsi="宋体" w:cs="Arial"/>
          <w:szCs w:val="24"/>
        </w:rPr>
      </w:pPr>
      <w:r>
        <w:rPr>
          <w:rFonts w:hAnsi="宋体" w:cs="Arial"/>
          <w:szCs w:val="24"/>
        </w:rPr>
        <w:t>7.3.2对基金的资金账目，由相关各方每日对账一次，确保相关各方账账相符。对基金证券账目，由相关各方每日进行对账。对实物券账目，每月月末由相关各方进行账实核对。对交易记录，由相关各方每日对账一次。</w:t>
      </w:r>
    </w:p>
    <w:p w14:paraId="0646D9CA">
      <w:pPr>
        <w:pStyle w:val="2"/>
        <w:spacing w:line="520" w:lineRule="atLeast"/>
        <w:ind w:firstLine="482" w:firstLineChars="200"/>
        <w:rPr>
          <w:rFonts w:cs="Arial"/>
          <w:bCs/>
          <w:color w:val="auto"/>
          <w:szCs w:val="24"/>
        </w:rPr>
      </w:pPr>
      <w:bookmarkStart w:id="28" w:name="_Toc238554478"/>
      <w:bookmarkStart w:id="29" w:name="_Toc296551344"/>
      <w:r>
        <w:rPr>
          <w:rFonts w:cs="Arial"/>
          <w:bCs/>
          <w:color w:val="auto"/>
          <w:szCs w:val="24"/>
        </w:rPr>
        <w:t>第八条 基金净值计算和会计核算</w:t>
      </w:r>
      <w:bookmarkEnd w:id="28"/>
      <w:bookmarkEnd w:id="29"/>
    </w:p>
    <w:p w14:paraId="05D01D16">
      <w:pPr>
        <w:pStyle w:val="11"/>
        <w:spacing w:before="0" w:after="0" w:line="520" w:lineRule="atLeast"/>
        <w:ind w:left="0" w:firstLine="480" w:firstLineChars="200"/>
        <w:rPr>
          <w:rFonts w:hAnsi="宋体" w:cs="Arial"/>
          <w:szCs w:val="24"/>
        </w:rPr>
      </w:pPr>
      <w:r>
        <w:rPr>
          <w:rFonts w:hAnsi="宋体" w:cs="Arial"/>
          <w:szCs w:val="24"/>
        </w:rPr>
        <w:t>8.1基金净值的计算、复核的时间和程序</w:t>
      </w:r>
    </w:p>
    <w:p w14:paraId="71671F4C">
      <w:pPr>
        <w:pStyle w:val="11"/>
        <w:spacing w:before="0" w:after="0" w:line="520" w:lineRule="atLeast"/>
        <w:ind w:left="0" w:firstLine="480" w:firstLineChars="200"/>
        <w:rPr>
          <w:rFonts w:hAnsi="宋体" w:cs="Arial"/>
          <w:szCs w:val="24"/>
        </w:rPr>
      </w:pPr>
      <w:r>
        <w:rPr>
          <w:rFonts w:hAnsi="宋体" w:cs="Arial"/>
          <w:szCs w:val="24"/>
        </w:rPr>
        <w:t>8.1.1基金资产净值是指基金资产总值减去负债后的净资产值。</w:t>
      </w:r>
      <w:r>
        <w:rPr>
          <w:rFonts w:hint="eastAsia" w:hAnsi="宋体" w:cs="Arial"/>
          <w:szCs w:val="24"/>
        </w:rPr>
        <w:t>基金资产净值是指基金资产总值减去负债后的价值。基金份额净值是按照每个工作日闭市后，基金资产净值除以当日基金份额的余额数量计算，精确到0.0001元，小数点后第5位四舍五入。国家另有规定的，从其规定。</w:t>
      </w:r>
    </w:p>
    <w:p w14:paraId="7EDCD9DE">
      <w:pPr>
        <w:pStyle w:val="11"/>
        <w:spacing w:before="0" w:after="0" w:line="520" w:lineRule="atLeast"/>
        <w:ind w:left="0" w:firstLine="480" w:firstLineChars="200"/>
        <w:rPr>
          <w:rFonts w:hAnsi="宋体" w:cs="Arial"/>
          <w:szCs w:val="24"/>
        </w:rPr>
      </w:pPr>
      <w:r>
        <w:rPr>
          <w:rFonts w:hint="eastAsia" w:hAnsi="宋体" w:cs="Arial"/>
          <w:szCs w:val="24"/>
        </w:rPr>
        <w:t>基金管理人于每个工作日计算基金资产净值及基金份额净值，并按规定公告。</w:t>
      </w:r>
    </w:p>
    <w:p w14:paraId="4C00938B">
      <w:pPr>
        <w:pStyle w:val="11"/>
        <w:spacing w:before="0" w:after="0" w:line="520" w:lineRule="atLeast"/>
        <w:ind w:left="0" w:firstLine="480" w:firstLineChars="200"/>
        <w:rPr>
          <w:rFonts w:hAnsi="宋体" w:cs="Arial"/>
          <w:szCs w:val="24"/>
        </w:rPr>
      </w:pPr>
      <w:r>
        <w:rPr>
          <w:rFonts w:hAnsi="宋体" w:cs="Arial"/>
          <w:szCs w:val="24"/>
        </w:rPr>
        <w:t>8.1.2基金管理人应每工作日对基金资产估值，但基金管理人根据法律法规或基金合同的规定暂停估值时除外。估值原则应符合基金合同、《证券投资基金会计核算业务指引》及其他法律、法规的规定。</w:t>
      </w:r>
      <w:r>
        <w:rPr>
          <w:rFonts w:hAnsi="宋体" w:cs="Arial"/>
          <w:bCs/>
          <w:szCs w:val="24"/>
        </w:rPr>
        <w:t>基金资产净值和基金份额净值由基金管理人负责计算，基金托管人负责进行复核。基金管理人</w:t>
      </w:r>
      <w:r>
        <w:rPr>
          <w:rFonts w:hint="eastAsia" w:hAnsi="宋体" w:cs="Arial"/>
          <w:bCs/>
          <w:szCs w:val="24"/>
        </w:rPr>
        <w:t>每个工作日将</w:t>
      </w:r>
      <w:r>
        <w:rPr>
          <w:rFonts w:hAnsi="宋体" w:cs="Arial"/>
          <w:bCs/>
          <w:szCs w:val="24"/>
        </w:rPr>
        <w:t>基金资产净值和基金份额净值并发送给基金托管人。基金托管人对净值计算结果复核确认后发送给基金管理人，由基金管理人依据基金合同和相关法律法规的规定对基金净值信息予以公布。</w:t>
      </w:r>
    </w:p>
    <w:p w14:paraId="4923CD19">
      <w:pPr>
        <w:pStyle w:val="11"/>
        <w:spacing w:before="0" w:after="0" w:line="520" w:lineRule="atLeast"/>
        <w:ind w:left="0" w:firstLine="480" w:firstLineChars="200"/>
        <w:rPr>
          <w:rFonts w:hAnsi="宋体" w:cs="Arial"/>
          <w:szCs w:val="24"/>
        </w:rPr>
      </w:pPr>
      <w:r>
        <w:rPr>
          <w:rFonts w:hAnsi="宋体" w:cs="Arial"/>
          <w:szCs w:val="24"/>
        </w:rPr>
        <w:t>8.1.3根据《基金法》，基金管理人计算并公告基金净值，基金托管人复核、审查基金管理人计算的基金净值。因此，本基金的会计责任方是基金管理人，就与本基金有关的会计问题，如经相关各方在平等基础上充分讨论后，仍无法达成一致意见的，按照基金管理人对基金净值信息的计算结果对外予以公布。</w:t>
      </w:r>
    </w:p>
    <w:p w14:paraId="61C107F9">
      <w:pPr>
        <w:pStyle w:val="11"/>
        <w:spacing w:before="0" w:after="0" w:line="520" w:lineRule="atLeast"/>
        <w:ind w:left="0" w:firstLine="480" w:firstLineChars="200"/>
        <w:rPr>
          <w:rFonts w:hAnsi="宋体" w:cs="Arial"/>
          <w:szCs w:val="24"/>
        </w:rPr>
      </w:pPr>
      <w:r>
        <w:rPr>
          <w:rFonts w:hAnsi="宋体" w:cs="Arial"/>
          <w:szCs w:val="24"/>
        </w:rPr>
        <w:t>8.2基金资产估值方法</w:t>
      </w:r>
    </w:p>
    <w:p w14:paraId="5BDECCF1">
      <w:pPr>
        <w:pStyle w:val="11"/>
        <w:spacing w:before="0" w:after="0" w:line="520" w:lineRule="atLeast"/>
        <w:ind w:left="0" w:firstLine="480" w:firstLineChars="200"/>
        <w:rPr>
          <w:rFonts w:hAnsi="宋体" w:cs="Arial"/>
          <w:szCs w:val="24"/>
        </w:rPr>
      </w:pPr>
      <w:r>
        <w:rPr>
          <w:rFonts w:hAnsi="宋体" w:cs="Arial"/>
          <w:szCs w:val="24"/>
        </w:rPr>
        <w:t>8.2.1估值对象</w:t>
      </w:r>
    </w:p>
    <w:p w14:paraId="717B7928">
      <w:pPr>
        <w:pStyle w:val="11"/>
        <w:spacing w:before="0" w:after="0" w:line="520" w:lineRule="atLeast"/>
        <w:ind w:left="0" w:firstLine="480" w:firstLineChars="200"/>
        <w:rPr>
          <w:rFonts w:hAnsi="宋体" w:cs="Arial"/>
          <w:szCs w:val="24"/>
        </w:rPr>
      </w:pPr>
      <w:r>
        <w:rPr>
          <w:rFonts w:hint="eastAsia" w:hAnsi="宋体" w:cs="Arial"/>
          <w:bCs/>
          <w:szCs w:val="24"/>
        </w:rPr>
        <w:t>基金所拥有的债券、资产支持证券、银行存款本息、应收款项、货币市场工具和其它投资等资产及负债。</w:t>
      </w:r>
    </w:p>
    <w:p w14:paraId="1C391C9E">
      <w:pPr>
        <w:pStyle w:val="11"/>
        <w:spacing w:before="0" w:after="0" w:line="520" w:lineRule="atLeast"/>
        <w:ind w:left="0" w:firstLine="480" w:firstLineChars="200"/>
        <w:rPr>
          <w:rFonts w:hAnsi="宋体" w:cs="Arial"/>
          <w:szCs w:val="24"/>
        </w:rPr>
      </w:pPr>
      <w:r>
        <w:rPr>
          <w:rFonts w:hAnsi="宋体" w:cs="Arial"/>
          <w:szCs w:val="24"/>
        </w:rPr>
        <w:t>8.2.2估值方法</w:t>
      </w:r>
    </w:p>
    <w:p w14:paraId="483E9E5D">
      <w:pPr>
        <w:spacing w:line="520" w:lineRule="exact"/>
        <w:ind w:firstLine="480" w:firstLineChars="200"/>
        <w:rPr>
          <w:rFonts w:ascii="宋体" w:hAnsi="宋体"/>
          <w:sz w:val="24"/>
          <w:szCs w:val="22"/>
        </w:rPr>
      </w:pPr>
      <w:r>
        <w:rPr>
          <w:rFonts w:hint="eastAsia" w:ascii="宋体" w:hAnsi="宋体"/>
          <w:sz w:val="24"/>
          <w:szCs w:val="22"/>
        </w:rPr>
        <w:t>（1）本基金估值采用摊余成本法，即估值对象以买入成本列示，按票面利率或协议利率并考虑其买入时的溢价与折价，在其剩余存续期内按照实际利率法进行摊销，确认利息收入并评估减值准备。本基金不采用市场利率和上市交易的债券和票据的市价计算基金资产净值。</w:t>
      </w:r>
    </w:p>
    <w:p w14:paraId="67635791">
      <w:pPr>
        <w:spacing w:line="520" w:lineRule="exact"/>
        <w:ind w:firstLine="480" w:firstLineChars="200"/>
        <w:rPr>
          <w:rFonts w:ascii="宋体" w:hAnsi="宋体"/>
          <w:sz w:val="24"/>
          <w:szCs w:val="22"/>
        </w:rPr>
      </w:pPr>
      <w:r>
        <w:rPr>
          <w:rFonts w:hint="eastAsia" w:ascii="宋体" w:hAnsi="宋体"/>
          <w:sz w:val="24"/>
          <w:szCs w:val="22"/>
        </w:rPr>
        <w:t>（2）债券回购以协议成本列示，按协议商定利率在实际持有期内逐日计提利息。</w:t>
      </w:r>
    </w:p>
    <w:p w14:paraId="13E0BC4B">
      <w:pPr>
        <w:spacing w:line="520" w:lineRule="exact"/>
        <w:ind w:firstLine="480" w:firstLineChars="200"/>
        <w:rPr>
          <w:rFonts w:ascii="宋体" w:hAnsi="宋体"/>
          <w:sz w:val="24"/>
          <w:szCs w:val="22"/>
        </w:rPr>
      </w:pPr>
      <w:r>
        <w:rPr>
          <w:rFonts w:hint="eastAsia" w:ascii="宋体" w:hAnsi="宋体"/>
          <w:sz w:val="24"/>
          <w:szCs w:val="22"/>
        </w:rPr>
        <w:t>（3）银行存款以本金列示，按银行实际协议利率逐日计提利息。如提前支取或利率发生变化，则按实际情况进行账务调整。</w:t>
      </w:r>
    </w:p>
    <w:p w14:paraId="0FA9967F">
      <w:pPr>
        <w:spacing w:line="520" w:lineRule="exact"/>
        <w:ind w:firstLine="480" w:firstLineChars="200"/>
        <w:rPr>
          <w:rFonts w:ascii="宋体" w:hAnsi="宋体"/>
          <w:sz w:val="24"/>
          <w:szCs w:val="22"/>
        </w:rPr>
      </w:pPr>
      <w:r>
        <w:rPr>
          <w:rFonts w:hint="eastAsia" w:ascii="宋体" w:hAnsi="宋体"/>
          <w:sz w:val="24"/>
          <w:szCs w:val="22"/>
        </w:rPr>
        <w:t>（4）</w:t>
      </w:r>
      <w:r>
        <w:rPr>
          <w:rFonts w:ascii="宋体" w:hAnsi="宋体"/>
          <w:sz w:val="24"/>
          <w:szCs w:val="22"/>
        </w:rPr>
        <w:t>同业存单以摊余成本法估值，以买入成本列示，按票面利率并考虑其买入时的溢价与折价，在其剩余存续期内按实际利率法摊销，每日计提损益。</w:t>
      </w:r>
    </w:p>
    <w:p w14:paraId="3DE54B4D">
      <w:pPr>
        <w:spacing w:line="520" w:lineRule="exact"/>
        <w:ind w:firstLine="480" w:firstLineChars="200"/>
        <w:rPr>
          <w:rFonts w:ascii="宋体" w:hAnsi="宋体"/>
          <w:sz w:val="24"/>
          <w:szCs w:val="22"/>
        </w:rPr>
      </w:pPr>
      <w:r>
        <w:rPr>
          <w:rFonts w:hint="eastAsia" w:ascii="宋体" w:hAnsi="宋体"/>
          <w:sz w:val="24"/>
          <w:szCs w:val="22"/>
        </w:rPr>
        <w:t>（5）本基金不得采用固定单位份额净值。</w:t>
      </w:r>
    </w:p>
    <w:p w14:paraId="416EED21">
      <w:pPr>
        <w:spacing w:line="520" w:lineRule="exact"/>
        <w:ind w:firstLine="480" w:firstLineChars="200"/>
        <w:rPr>
          <w:rFonts w:ascii="宋体" w:hAnsi="宋体"/>
          <w:sz w:val="24"/>
          <w:szCs w:val="22"/>
        </w:rPr>
      </w:pPr>
      <w:r>
        <w:rPr>
          <w:rFonts w:hint="eastAsia" w:ascii="宋体" w:hAnsi="宋体"/>
          <w:sz w:val="24"/>
          <w:szCs w:val="22"/>
        </w:rPr>
        <w:t>（6）</w:t>
      </w:r>
      <w:bookmarkStart w:id="30" w:name="_Hlk236411070"/>
      <w:r>
        <w:rPr>
          <w:rFonts w:ascii="宋体" w:hAnsi="宋体"/>
          <w:sz w:val="24"/>
          <w:szCs w:val="22"/>
        </w:rPr>
        <w:t>本基金应当根据《企业会计准则》的相关规定，对采用摊余成本法计量的金融资产计提或转回减值准备</w:t>
      </w:r>
      <w:bookmarkEnd w:id="30"/>
      <w:r>
        <w:rPr>
          <w:rFonts w:ascii="宋体" w:hAnsi="宋体"/>
          <w:sz w:val="24"/>
          <w:szCs w:val="22"/>
        </w:rPr>
        <w:t>。</w:t>
      </w:r>
    </w:p>
    <w:p w14:paraId="018416FA">
      <w:pPr>
        <w:spacing w:line="520" w:lineRule="exact"/>
        <w:ind w:firstLine="480" w:firstLineChars="200"/>
        <w:rPr>
          <w:rFonts w:ascii="宋体" w:hAnsi="宋体"/>
          <w:sz w:val="24"/>
          <w:szCs w:val="22"/>
        </w:rPr>
      </w:pPr>
      <w:r>
        <w:rPr>
          <w:rFonts w:hint="eastAsia" w:ascii="宋体" w:hAnsi="宋体"/>
          <w:sz w:val="24"/>
          <w:szCs w:val="22"/>
        </w:rPr>
        <w:t>（7）如有确凿证据表明本基金在封闭期内买入持有至到期的投资策略发生变化或其他原因，导致按原有摊余成本法估值不能客观反映上述资产或负债的公允价值，基金管理人可根据具体情况与基金托管人商定后，按最能反映上述资产或负债的公允价值的方法估值。为最大限度保护持有人利益，基金管理人可采用的风险控制手段包括但不限于：处置信用风险显著增加的固定收益品种、及时评估和计提固定收益品种减值损失、对相关金融资产进行重分类并改按公允价值计量等。</w:t>
      </w:r>
    </w:p>
    <w:p w14:paraId="41B97AE9">
      <w:pPr>
        <w:spacing w:line="520" w:lineRule="exact"/>
        <w:ind w:firstLine="480" w:firstLineChars="200"/>
        <w:rPr>
          <w:rFonts w:ascii="宋体" w:hAnsi="宋体"/>
          <w:sz w:val="24"/>
          <w:szCs w:val="22"/>
        </w:rPr>
      </w:pPr>
      <w:r>
        <w:rPr>
          <w:rFonts w:hint="eastAsia" w:ascii="宋体" w:hAnsi="宋体"/>
          <w:sz w:val="24"/>
          <w:szCs w:val="22"/>
        </w:rPr>
        <w:t>（8）相关法律法规以及监管部门、自律规则另有规定的，从其规定。如有新增事项，按国家最新规定估值。</w:t>
      </w:r>
    </w:p>
    <w:p w14:paraId="79E0C9B3">
      <w:pPr>
        <w:spacing w:line="520" w:lineRule="exact"/>
        <w:ind w:firstLine="480" w:firstLineChars="200"/>
        <w:rPr>
          <w:rFonts w:ascii="宋体" w:hAnsi="宋体"/>
          <w:sz w:val="24"/>
          <w:szCs w:val="22"/>
        </w:rPr>
      </w:pPr>
      <w:r>
        <w:rPr>
          <w:rFonts w:ascii="宋体" w:hAnsi="宋体"/>
          <w:sz w:val="24"/>
          <w:szCs w:val="22"/>
        </w:rPr>
        <w:t>如基金管理人或基金托管人发现基金估值违反基金合同订明的估值方法、程序及相关法律法规的规定或者未能充分维护基金份额持有人利益时，应立即通知对方，共同查明原因，双方协商解决。</w:t>
      </w:r>
    </w:p>
    <w:p w14:paraId="656B1E4F">
      <w:pPr>
        <w:spacing w:line="520" w:lineRule="exact"/>
        <w:ind w:firstLine="480" w:firstLineChars="200"/>
        <w:rPr>
          <w:rFonts w:ascii="宋体" w:hAnsi="宋体"/>
          <w:sz w:val="24"/>
          <w:szCs w:val="22"/>
        </w:rPr>
      </w:pPr>
      <w:r>
        <w:rPr>
          <w:rFonts w:ascii="宋体" w:hAnsi="宋体"/>
          <w:sz w:val="24"/>
          <w:szCs w:val="22"/>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w:t>
      </w:r>
      <w:r>
        <w:rPr>
          <w:rFonts w:hint="eastAsia" w:ascii="宋体" w:hAnsi="宋体"/>
          <w:sz w:val="24"/>
          <w:szCs w:val="22"/>
        </w:rPr>
        <w:t>信息</w:t>
      </w:r>
      <w:r>
        <w:rPr>
          <w:rFonts w:ascii="宋体" w:hAnsi="宋体"/>
          <w:sz w:val="24"/>
          <w:szCs w:val="22"/>
        </w:rPr>
        <w:t>的计算结果对外予以公布。</w:t>
      </w:r>
    </w:p>
    <w:p w14:paraId="3680C35C">
      <w:pPr>
        <w:pStyle w:val="11"/>
        <w:spacing w:before="0" w:after="0" w:line="520" w:lineRule="atLeast"/>
        <w:ind w:left="0" w:firstLine="480" w:firstLineChars="200"/>
        <w:rPr>
          <w:rFonts w:hAnsi="宋体" w:cs="Arial"/>
          <w:szCs w:val="24"/>
        </w:rPr>
      </w:pPr>
      <w:r>
        <w:rPr>
          <w:rFonts w:hAnsi="宋体" w:cs="Arial"/>
          <w:szCs w:val="24"/>
        </w:rPr>
        <w:t>8.3估值差错处理</w:t>
      </w:r>
    </w:p>
    <w:p w14:paraId="33A6D1EB">
      <w:pPr>
        <w:pStyle w:val="11"/>
        <w:spacing w:before="0" w:after="0" w:line="520" w:lineRule="atLeast"/>
        <w:ind w:left="0" w:firstLine="480" w:firstLineChars="200"/>
        <w:rPr>
          <w:rFonts w:hAnsi="宋体" w:cs="Arial"/>
          <w:szCs w:val="24"/>
        </w:rPr>
      </w:pPr>
      <w:r>
        <w:rPr>
          <w:rFonts w:hAnsi="宋体" w:cs="Arial"/>
          <w:szCs w:val="24"/>
        </w:rPr>
        <w:t>8.3.1因基金估值错误给投资人造成损失的应先由基金管理人承担，基金管理人对不应由其承担的责任，有权向过错人追偿。</w:t>
      </w:r>
    </w:p>
    <w:p w14:paraId="05C258D2">
      <w:pPr>
        <w:pStyle w:val="11"/>
        <w:spacing w:before="0" w:after="0" w:line="520" w:lineRule="atLeast"/>
        <w:ind w:left="0" w:firstLine="480" w:firstLineChars="200"/>
        <w:rPr>
          <w:rFonts w:hAnsi="宋体" w:cs="Arial"/>
          <w:szCs w:val="24"/>
        </w:rPr>
      </w:pPr>
      <w:r>
        <w:rPr>
          <w:rFonts w:hAnsi="宋体" w:cs="Arial"/>
          <w:szCs w:val="24"/>
        </w:rPr>
        <w:t>8.3.2当基金管理人计算的基金净值信息已由基金托管人复核确认后公告的，由此造成的投资人或基金的损失，应根据法律法规的规定对投资人或基金支付赔偿金，就实际向投资人或基金支付的赔偿金额，由基金管理人与基金托管人按照各自</w:t>
      </w:r>
      <w:r>
        <w:rPr>
          <w:rFonts w:hint="eastAsia" w:hAnsi="宋体" w:cs="Arial"/>
          <w:szCs w:val="24"/>
        </w:rPr>
        <w:t>过错</w:t>
      </w:r>
      <w:r>
        <w:rPr>
          <w:rFonts w:hAnsi="宋体" w:cs="Arial"/>
          <w:szCs w:val="24"/>
        </w:rPr>
        <w:t>承担相应的责任。</w:t>
      </w:r>
    </w:p>
    <w:p w14:paraId="0BF1EF3A">
      <w:pPr>
        <w:pStyle w:val="11"/>
        <w:spacing w:before="0" w:after="0" w:line="520" w:lineRule="atLeast"/>
        <w:ind w:left="0" w:firstLine="480" w:firstLineChars="200"/>
        <w:rPr>
          <w:rFonts w:hAnsi="宋体" w:cs="Arial"/>
          <w:szCs w:val="24"/>
        </w:rPr>
      </w:pPr>
      <w:r>
        <w:rPr>
          <w:rFonts w:hAnsi="宋体" w:cs="Arial"/>
          <w:szCs w:val="24"/>
        </w:rPr>
        <w:t>8.3.3由于一方当事人提供的信息错误，另一方当事人在采取了必要合理的措施后仍不能发现该错误，进而导致基金资产净值、基金份额净值计算错误造成投资人或基金的损失，以及由此造成以后交易日基金资产净值、基金份额净值计算顺延错误而引起的投资人或基金的损失，由提供错误信息的当事人一方负责赔偿。</w:t>
      </w:r>
    </w:p>
    <w:p w14:paraId="4B0E5E9B">
      <w:pPr>
        <w:pStyle w:val="11"/>
        <w:spacing w:before="0" w:after="0" w:line="520" w:lineRule="atLeast"/>
        <w:ind w:left="0" w:firstLine="480" w:firstLineChars="200"/>
        <w:rPr>
          <w:rFonts w:hAnsi="宋体" w:cs="Arial"/>
          <w:szCs w:val="24"/>
        </w:rPr>
      </w:pPr>
      <w:r>
        <w:rPr>
          <w:rFonts w:hAnsi="宋体" w:cs="Arial"/>
          <w:szCs w:val="24"/>
        </w:rPr>
        <w:t>8.3.4当基金管理人计算的基金净值与基金托管人的计算结果不一致时，相关各方应本着勤勉尽责的态度重新计算核对，如果最后仍无法达成一致，应以基金管理人的计算结果为准对外公布，由此造成的损失基金托管人不负赔偿责任。</w:t>
      </w:r>
    </w:p>
    <w:p w14:paraId="2B01B6A8">
      <w:pPr>
        <w:pStyle w:val="11"/>
        <w:spacing w:before="0" w:after="0" w:line="520" w:lineRule="atLeast"/>
        <w:ind w:left="0" w:firstLine="480" w:firstLineChars="200"/>
        <w:rPr>
          <w:rFonts w:hAnsi="宋体" w:cs="Arial"/>
          <w:szCs w:val="24"/>
        </w:rPr>
      </w:pPr>
      <w:r>
        <w:rPr>
          <w:rFonts w:hAnsi="宋体" w:cs="Arial"/>
          <w:szCs w:val="24"/>
        </w:rPr>
        <w:t>8.3.5基金管理人及基金托管人基金份额净值计算错误偏差达到本基金份额净值的0.25%时，基金管理人应当通报基金托管人并报中国证监会备案；错误偏差达到基金份额净值的0.5%时，基金管理人应当公告，并报中国证监会备案。</w:t>
      </w:r>
    </w:p>
    <w:p w14:paraId="31AD0944">
      <w:pPr>
        <w:pStyle w:val="11"/>
        <w:spacing w:before="0" w:after="0" w:line="520" w:lineRule="atLeast"/>
        <w:ind w:left="0" w:firstLine="480" w:firstLineChars="200"/>
        <w:rPr>
          <w:rFonts w:hAnsi="宋体" w:cs="Arial"/>
          <w:szCs w:val="24"/>
        </w:rPr>
      </w:pPr>
      <w:r>
        <w:rPr>
          <w:rFonts w:hAnsi="宋体" w:cs="Arial"/>
          <w:szCs w:val="24"/>
        </w:rPr>
        <w:t>8.4基金账册的建立</w:t>
      </w:r>
    </w:p>
    <w:p w14:paraId="39ECD2F9">
      <w:pPr>
        <w:pStyle w:val="11"/>
        <w:spacing w:before="0" w:after="0" w:line="520" w:lineRule="atLeast"/>
        <w:ind w:left="0" w:firstLine="480" w:firstLineChars="200"/>
        <w:rPr>
          <w:rFonts w:hAnsi="宋体" w:cs="Arial"/>
          <w:szCs w:val="24"/>
        </w:rPr>
      </w:pPr>
      <w:r>
        <w:rPr>
          <w:rFonts w:hAnsi="宋体" w:cs="Arial"/>
          <w:szCs w:val="24"/>
        </w:rPr>
        <w:t>8.4.1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52A009C4">
      <w:pPr>
        <w:pStyle w:val="11"/>
        <w:spacing w:before="0" w:after="0" w:line="520" w:lineRule="atLeast"/>
        <w:ind w:left="0" w:firstLine="480" w:firstLineChars="200"/>
        <w:rPr>
          <w:rFonts w:hAnsi="宋体" w:cs="Arial"/>
          <w:szCs w:val="24"/>
        </w:rPr>
      </w:pPr>
      <w:r>
        <w:rPr>
          <w:rFonts w:hAnsi="宋体" w:cs="Arial"/>
          <w:szCs w:val="24"/>
        </w:rPr>
        <w:t>8.4.2经对账发现相关各方的账目存在不符的，基金管理人和基金托管人必须及时查明原因并纠正，保证相关各方平行登录的账册记录完全相符。若当日核对不符，暂时无法查找到错账的原因而影响到基金净值的计算和公告的，以基金管理人的账册为准。</w:t>
      </w:r>
    </w:p>
    <w:p w14:paraId="24903156">
      <w:pPr>
        <w:pStyle w:val="11"/>
        <w:spacing w:before="0" w:after="0" w:line="520" w:lineRule="atLeast"/>
        <w:ind w:left="0" w:firstLine="480" w:firstLineChars="200"/>
        <w:rPr>
          <w:rFonts w:hAnsi="宋体" w:cs="Arial"/>
          <w:szCs w:val="24"/>
        </w:rPr>
      </w:pPr>
      <w:r>
        <w:rPr>
          <w:rFonts w:hAnsi="宋体" w:cs="Arial"/>
          <w:szCs w:val="24"/>
        </w:rPr>
        <w:t>8.5基金定期报告的编制和复核</w:t>
      </w:r>
    </w:p>
    <w:p w14:paraId="72DC0273">
      <w:pPr>
        <w:pStyle w:val="11"/>
        <w:spacing w:before="0" w:after="0" w:line="520" w:lineRule="atLeast"/>
        <w:ind w:left="0" w:firstLine="480" w:firstLineChars="200"/>
        <w:rPr>
          <w:rFonts w:hAnsi="宋体" w:cs="Arial"/>
          <w:szCs w:val="24"/>
        </w:rPr>
      </w:pPr>
      <w:r>
        <w:rPr>
          <w:rFonts w:hAnsi="宋体" w:cs="Arial"/>
          <w:szCs w:val="24"/>
        </w:rPr>
        <w:t>8.5.1基金财务报告由基金管理人编制，基金托管人复核。月度报告的编制，应于每月终了后5个工作日内完成。</w:t>
      </w:r>
    </w:p>
    <w:p w14:paraId="56BF200B">
      <w:pPr>
        <w:pStyle w:val="11"/>
        <w:spacing w:before="0" w:after="0" w:line="520" w:lineRule="atLeast"/>
        <w:ind w:left="0" w:firstLine="480" w:firstLineChars="200"/>
        <w:rPr>
          <w:rFonts w:hAnsi="宋体" w:cs="Arial"/>
          <w:szCs w:val="24"/>
        </w:rPr>
      </w:pPr>
      <w:r>
        <w:rPr>
          <w:rFonts w:hAnsi="宋体" w:cs="Arial"/>
          <w:szCs w:val="24"/>
        </w:rPr>
        <w:t>8.5.2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基金管理人应当在上半年结束之日起两个月内，编制完成基金中期报告，将中期报告登载在规定网站上，并将中期报告提示性公告登载在规定报刊上。基金管理人应当在季度结束之日起15个工作日内，编制完成基金季度报告，将季度报告登载在</w:t>
      </w:r>
      <w:r>
        <w:rPr>
          <w:rFonts w:hint="eastAsia" w:hAnsi="宋体" w:cs="Arial"/>
          <w:szCs w:val="24"/>
        </w:rPr>
        <w:t>规定</w:t>
      </w:r>
      <w:r>
        <w:rPr>
          <w:rFonts w:hAnsi="宋体" w:cs="Arial"/>
          <w:szCs w:val="24"/>
        </w:rPr>
        <w:t>网站上，并将季度报告提示性公告登载在</w:t>
      </w:r>
      <w:r>
        <w:rPr>
          <w:rFonts w:hint="eastAsia" w:hAnsi="宋体" w:cs="Arial"/>
          <w:szCs w:val="24"/>
        </w:rPr>
        <w:t>规定</w:t>
      </w:r>
      <w:r>
        <w:rPr>
          <w:rFonts w:hAnsi="宋体" w:cs="Arial"/>
          <w:szCs w:val="24"/>
        </w:rPr>
        <w:t>报刊上。《基金合同》生效不足2个月的，基金管理人可以不编制当期季度报告、中期报告或者年度报告。</w:t>
      </w:r>
    </w:p>
    <w:p w14:paraId="1DFDC5AE">
      <w:pPr>
        <w:pStyle w:val="11"/>
        <w:spacing w:before="0" w:after="0" w:line="520" w:lineRule="atLeast"/>
        <w:ind w:left="0" w:firstLine="480" w:firstLineChars="200"/>
        <w:rPr>
          <w:rFonts w:hAnsi="宋体" w:cs="Arial"/>
          <w:szCs w:val="24"/>
        </w:rPr>
      </w:pPr>
      <w:r>
        <w:rPr>
          <w:rFonts w:hAnsi="宋体" w:cs="Arial"/>
          <w:szCs w:val="24"/>
        </w:rPr>
        <w:t>8.5.3《基金合同》生效后，基金招募说明书、基金产品资料概要的信息发生重大变更的，基金管理人应当在三个工作日内，更新基金招募说明书、基金产品资料概要，并登载在规定网站上，并将基金产品资料概要登载在基金销售机构网站或营业网点。基金招募说明书、基金产品资料概要其他信息发生变更的，基金管理人至少每年更新一次。</w:t>
      </w:r>
    </w:p>
    <w:p w14:paraId="5F15671B">
      <w:pPr>
        <w:pStyle w:val="11"/>
        <w:spacing w:before="0" w:after="0" w:line="520" w:lineRule="atLeast"/>
        <w:ind w:left="0" w:firstLine="480" w:firstLineChars="200"/>
        <w:rPr>
          <w:rFonts w:hAnsi="宋体" w:cs="Arial"/>
          <w:szCs w:val="24"/>
        </w:rPr>
      </w:pPr>
      <w:bookmarkStart w:id="31" w:name="_DV_C270"/>
      <w:r>
        <w:rPr>
          <w:rFonts w:hAnsi="宋体" w:cs="Arial"/>
          <w:szCs w:val="24"/>
        </w:rPr>
        <w:t>8.5.4基金管理人应及时完成报告编制，将有关报告提供基金托管人复核；基金托管人应当在收到报告之日起2个工作日内完成月度报告的复核；在收到报告之日起7个工作日内完成基金季度报告的复核；在收到报告之日起20个工作日内完成基金中期报告的复核；在收到报告之日起30个工作日内完成基金年度报告的</w:t>
      </w:r>
      <w:bookmarkEnd w:id="31"/>
      <w:r>
        <w:rPr>
          <w:rFonts w:hAnsi="宋体" w:cs="Arial"/>
          <w:szCs w:val="24"/>
        </w:rPr>
        <w:t>复核。基金托管人在复核过程中，发现双方的数据、信息存在不符时，基金管理人和基金托管人应共同查明原因，进行调整，调整以国家有关规定为准。</w:t>
      </w:r>
    </w:p>
    <w:p w14:paraId="75F4C1F8">
      <w:pPr>
        <w:pStyle w:val="11"/>
        <w:spacing w:before="0" w:after="0" w:line="520" w:lineRule="atLeast"/>
        <w:ind w:left="0" w:firstLine="480" w:firstLineChars="200"/>
        <w:rPr>
          <w:rFonts w:hAnsi="宋体" w:cs="Arial"/>
          <w:szCs w:val="24"/>
        </w:rPr>
      </w:pPr>
      <w:r>
        <w:rPr>
          <w:rFonts w:hAnsi="宋体" w:cs="Arial"/>
          <w:szCs w:val="24"/>
        </w:rPr>
        <w:t>8.5.5基金托管人在对财务会计报告、季度、中期报告或年度报告复核完毕后，需盖章确认或出具相应的复核确认书，以备有权机构对相关文件审核时提示。</w:t>
      </w:r>
    </w:p>
    <w:p w14:paraId="5B7BCA49">
      <w:pPr>
        <w:pStyle w:val="11"/>
        <w:spacing w:before="0" w:after="0" w:line="520" w:lineRule="atLeast"/>
        <w:ind w:left="0" w:firstLine="480" w:firstLineChars="200"/>
        <w:rPr>
          <w:rFonts w:hAnsi="宋体" w:cs="Arial"/>
          <w:szCs w:val="24"/>
        </w:rPr>
      </w:pPr>
      <w:r>
        <w:rPr>
          <w:rFonts w:hAnsi="宋体" w:cs="Arial"/>
          <w:szCs w:val="24"/>
        </w:rPr>
        <w:t>8.6暂停估值的情形</w:t>
      </w:r>
    </w:p>
    <w:p w14:paraId="49DDC6CD">
      <w:pPr>
        <w:pStyle w:val="11"/>
        <w:spacing w:before="0" w:after="0" w:line="520" w:lineRule="atLeast"/>
        <w:ind w:left="0" w:firstLine="480" w:firstLineChars="200"/>
        <w:rPr>
          <w:rFonts w:hAnsi="宋体" w:cs="Arial"/>
          <w:szCs w:val="24"/>
        </w:rPr>
      </w:pPr>
      <w:r>
        <w:rPr>
          <w:rFonts w:hAnsi="宋体" w:cs="Arial"/>
          <w:szCs w:val="24"/>
        </w:rPr>
        <w:t>（1）基金投资所涉及的证券交易市场遇法定节假日或因其他原因暂停营业时；</w:t>
      </w:r>
    </w:p>
    <w:p w14:paraId="4B138F9E">
      <w:pPr>
        <w:pStyle w:val="11"/>
        <w:spacing w:before="0" w:after="0" w:line="520" w:lineRule="atLeast"/>
        <w:ind w:left="0" w:firstLine="480" w:firstLineChars="200"/>
        <w:rPr>
          <w:rFonts w:hAnsi="宋体" w:cs="Arial"/>
          <w:szCs w:val="24"/>
        </w:rPr>
      </w:pPr>
      <w:r>
        <w:rPr>
          <w:rFonts w:hAnsi="宋体" w:cs="Arial"/>
          <w:szCs w:val="24"/>
        </w:rPr>
        <w:t>（2）因不可抗力致使基金管理人、基金托管人无法准确评估基金资产价值时；</w:t>
      </w:r>
    </w:p>
    <w:p w14:paraId="51A5B14F">
      <w:pPr>
        <w:pStyle w:val="11"/>
        <w:spacing w:before="0" w:after="0" w:line="520" w:lineRule="atLeast"/>
        <w:ind w:left="0" w:firstLine="480" w:firstLineChars="200"/>
        <w:rPr>
          <w:rFonts w:hAnsi="宋体" w:cs="Arial"/>
          <w:szCs w:val="24"/>
        </w:rPr>
      </w:pPr>
      <w:r>
        <w:rPr>
          <w:rFonts w:hAnsi="宋体" w:cs="Arial"/>
          <w:bCs/>
        </w:rPr>
        <w:t>（3）</w:t>
      </w:r>
      <w:r>
        <w:rPr>
          <w:rFonts w:hAnsi="宋体" w:cs="Arial"/>
          <w:szCs w:val="24"/>
        </w:rPr>
        <w:t>法律法规、中国证监会和基金合同认定的其他情形。</w:t>
      </w:r>
    </w:p>
    <w:p w14:paraId="0301A222">
      <w:pPr>
        <w:pStyle w:val="11"/>
        <w:spacing w:before="0" w:after="0" w:line="520" w:lineRule="atLeast"/>
        <w:ind w:left="0" w:firstLine="480" w:firstLineChars="200"/>
        <w:rPr>
          <w:rFonts w:hAnsi="宋体" w:cs="Arial"/>
          <w:szCs w:val="24"/>
        </w:rPr>
      </w:pPr>
      <w:r>
        <w:rPr>
          <w:rFonts w:hAnsi="宋体" w:cs="Arial"/>
          <w:szCs w:val="24"/>
        </w:rPr>
        <w:t>8.7特殊情况的处理</w:t>
      </w:r>
    </w:p>
    <w:p w14:paraId="46B4672D">
      <w:pPr>
        <w:pStyle w:val="11"/>
        <w:spacing w:before="0" w:after="0" w:line="520" w:lineRule="atLeast"/>
        <w:ind w:left="0" w:firstLine="480" w:firstLineChars="200"/>
        <w:rPr>
          <w:rFonts w:hAnsi="宋体" w:cs="Arial"/>
          <w:szCs w:val="24"/>
        </w:rPr>
      </w:pPr>
      <w:r>
        <w:rPr>
          <w:rFonts w:hAnsi="宋体" w:cs="Arial"/>
          <w:szCs w:val="24"/>
        </w:rPr>
        <w:t>（1）</w:t>
      </w:r>
      <w:r>
        <w:rPr>
          <w:rFonts w:hAnsi="宋体" w:cs="Arial"/>
          <w:bCs/>
          <w:szCs w:val="24"/>
        </w:rPr>
        <w:t>基金管理人或基金托管人按基金合同约定的估值方法的第（</w:t>
      </w:r>
      <w:r>
        <w:rPr>
          <w:rFonts w:hint="eastAsia" w:hAnsi="宋体" w:cs="Arial"/>
          <w:bCs/>
          <w:szCs w:val="24"/>
        </w:rPr>
        <w:t>7</w:t>
      </w:r>
      <w:r>
        <w:rPr>
          <w:rFonts w:hAnsi="宋体" w:cs="Arial"/>
          <w:bCs/>
          <w:szCs w:val="24"/>
        </w:rPr>
        <w:t>）项进行估值时，所造成的误差不作为基金资产估值错误处理。</w:t>
      </w:r>
    </w:p>
    <w:p w14:paraId="12C2FC15">
      <w:pPr>
        <w:pStyle w:val="11"/>
        <w:spacing w:before="0" w:after="0" w:line="520" w:lineRule="atLeast"/>
        <w:ind w:left="0" w:firstLine="480" w:firstLineChars="200"/>
        <w:rPr>
          <w:rFonts w:hAnsi="宋体" w:cs="Arial"/>
          <w:szCs w:val="24"/>
        </w:rPr>
      </w:pPr>
      <w:r>
        <w:rPr>
          <w:rFonts w:hAnsi="宋体" w:cs="Arial"/>
          <w:szCs w:val="24"/>
        </w:rPr>
        <w:t>（2）</w:t>
      </w:r>
      <w:r>
        <w:rPr>
          <w:rFonts w:hAnsi="宋体" w:cs="Arial"/>
          <w:bCs/>
          <w:szCs w:val="24"/>
        </w:rPr>
        <w:t>由于证券</w:t>
      </w:r>
      <w:r>
        <w:rPr>
          <w:rFonts w:hint="eastAsia" w:hAnsi="宋体" w:cs="Arial"/>
          <w:bCs/>
          <w:szCs w:val="24"/>
        </w:rPr>
        <w:t>交易所、证券经纪机构或登记结算公司及存款银行等第三方机构</w:t>
      </w:r>
      <w:r>
        <w:rPr>
          <w:rFonts w:hAnsi="宋体" w:cs="Arial"/>
          <w:bCs/>
          <w:szCs w:val="24"/>
        </w:rPr>
        <w:t>等机构发送的数据错误，或由于</w:t>
      </w:r>
      <w:r>
        <w:rPr>
          <w:rFonts w:hint="eastAsia" w:hAnsi="宋体" w:cs="Arial"/>
          <w:bCs/>
          <w:szCs w:val="24"/>
        </w:rPr>
        <w:t>其他</w:t>
      </w:r>
      <w:r>
        <w:rPr>
          <w:rFonts w:hAnsi="宋体" w:cs="Arial"/>
          <w:bCs/>
          <w:szCs w:val="24"/>
        </w:rPr>
        <w:t>不可抗力</w:t>
      </w:r>
      <w:r>
        <w:rPr>
          <w:rFonts w:hint="eastAsia" w:hAnsi="宋体" w:cs="Arial"/>
          <w:bCs/>
          <w:szCs w:val="24"/>
        </w:rPr>
        <w:t>，或国家会计政策变更、市场规则变更</w:t>
      </w:r>
      <w:r>
        <w:rPr>
          <w:rFonts w:hAnsi="宋体" w:cs="Arial"/>
          <w:bCs/>
          <w:szCs w:val="24"/>
        </w:rPr>
        <w:t>等</w:t>
      </w:r>
      <w:r>
        <w:rPr>
          <w:rFonts w:hint="eastAsia" w:hAnsi="宋体" w:cs="Arial"/>
          <w:bCs/>
          <w:szCs w:val="24"/>
        </w:rPr>
        <w:t>非基金管理人与基金托管人等</w:t>
      </w:r>
      <w:r>
        <w:rPr>
          <w:rFonts w:hAnsi="宋体" w:cs="Arial"/>
          <w:bCs/>
          <w:szCs w:val="24"/>
        </w:rPr>
        <w:t>原因，基金管理人和基金托管人虽然已经采取必要、适当、合理的措施进行检查，但未能发现该错误</w:t>
      </w:r>
      <w:r>
        <w:rPr>
          <w:rFonts w:hint="eastAsia" w:hAnsi="宋体" w:cs="Arial"/>
          <w:bCs/>
          <w:szCs w:val="24"/>
        </w:rPr>
        <w:t>或即使发现错误但因前述原因无法及时更正</w:t>
      </w:r>
      <w:r>
        <w:rPr>
          <w:rFonts w:hAnsi="宋体" w:cs="Arial"/>
          <w:bCs/>
          <w:szCs w:val="24"/>
        </w:rPr>
        <w:t>的，由此造成的基金资产估值错误，基金管理人和基金托管人免除赔偿责任。但基金管理人和基金托管人应当积极采取必要的措施消除或减轻由此造成的影响。</w:t>
      </w:r>
    </w:p>
    <w:p w14:paraId="75B5BB55">
      <w:pPr>
        <w:pStyle w:val="2"/>
        <w:spacing w:line="520" w:lineRule="atLeast"/>
        <w:ind w:firstLine="482" w:firstLineChars="200"/>
        <w:rPr>
          <w:rFonts w:cs="Arial"/>
          <w:bCs/>
          <w:color w:val="auto"/>
          <w:szCs w:val="24"/>
        </w:rPr>
      </w:pPr>
      <w:bookmarkStart w:id="32" w:name="_Toc238554479"/>
      <w:bookmarkStart w:id="33" w:name="_Toc296551345"/>
      <w:r>
        <w:rPr>
          <w:rFonts w:cs="Arial"/>
          <w:bCs/>
          <w:color w:val="auto"/>
          <w:szCs w:val="24"/>
        </w:rPr>
        <w:t>第九条 基金收益分配</w:t>
      </w:r>
      <w:bookmarkEnd w:id="32"/>
      <w:bookmarkEnd w:id="33"/>
    </w:p>
    <w:p w14:paraId="176F9D66">
      <w:pPr>
        <w:pStyle w:val="11"/>
        <w:spacing w:before="0" w:after="0" w:line="520" w:lineRule="atLeast"/>
        <w:ind w:left="0" w:firstLine="480" w:firstLineChars="200"/>
        <w:rPr>
          <w:rFonts w:hAnsi="宋体" w:cs="Arial"/>
          <w:szCs w:val="24"/>
        </w:rPr>
      </w:pPr>
      <w:r>
        <w:rPr>
          <w:rFonts w:hAnsi="宋体" w:cs="Arial"/>
          <w:szCs w:val="24"/>
        </w:rPr>
        <w:t>9.1基金利润的构成</w:t>
      </w:r>
    </w:p>
    <w:p w14:paraId="59956099">
      <w:pPr>
        <w:pStyle w:val="11"/>
        <w:spacing w:before="0" w:after="0" w:line="520" w:lineRule="atLeast"/>
        <w:ind w:left="0" w:firstLine="480" w:firstLineChars="200"/>
        <w:rPr>
          <w:rFonts w:hAnsi="宋体" w:cs="Arial"/>
          <w:szCs w:val="24"/>
        </w:rPr>
      </w:pPr>
      <w:r>
        <w:rPr>
          <w:rFonts w:hint="eastAsia" w:hAnsi="宋体" w:cs="Arial"/>
          <w:szCs w:val="24"/>
        </w:rPr>
        <w:t>基金利润指基金利息收入、投资收益、其他收入扣除资产减值损失和相关费用后的余额，基金已实现收益与基金利润一致。</w:t>
      </w:r>
    </w:p>
    <w:p w14:paraId="2C41265A">
      <w:pPr>
        <w:pStyle w:val="11"/>
        <w:spacing w:before="0" w:after="0" w:line="520" w:lineRule="atLeast"/>
        <w:ind w:left="0" w:firstLine="480" w:firstLineChars="200"/>
        <w:rPr>
          <w:rFonts w:hAnsi="宋体" w:cs="Arial"/>
          <w:szCs w:val="24"/>
        </w:rPr>
      </w:pPr>
      <w:r>
        <w:rPr>
          <w:rFonts w:hAnsi="宋体" w:cs="Arial"/>
          <w:szCs w:val="24"/>
        </w:rPr>
        <w:t>9.2基金可供分配利润</w:t>
      </w:r>
    </w:p>
    <w:p w14:paraId="7FA76690">
      <w:pPr>
        <w:pStyle w:val="11"/>
        <w:spacing w:before="0" w:after="0" w:line="520" w:lineRule="atLeast"/>
        <w:ind w:left="0" w:firstLine="480" w:firstLineChars="200"/>
        <w:rPr>
          <w:rFonts w:hAnsi="宋体" w:cs="Arial"/>
          <w:szCs w:val="24"/>
        </w:rPr>
      </w:pPr>
      <w:r>
        <w:rPr>
          <w:rFonts w:hAnsi="宋体" w:cs="Arial"/>
          <w:szCs w:val="24"/>
        </w:rPr>
        <w:t>基金可供分配利润指截至收益分配基准日基金未分配利润与未分配利润中已实现收益的孰低数。</w:t>
      </w:r>
    </w:p>
    <w:p w14:paraId="09CF8D2F">
      <w:pPr>
        <w:pStyle w:val="11"/>
        <w:spacing w:before="0" w:after="0" w:line="520" w:lineRule="atLeast"/>
        <w:ind w:left="0" w:firstLine="480" w:firstLineChars="200"/>
        <w:rPr>
          <w:rFonts w:hAnsi="宋体" w:cs="Arial"/>
          <w:szCs w:val="24"/>
        </w:rPr>
      </w:pPr>
      <w:r>
        <w:rPr>
          <w:rFonts w:hAnsi="宋体" w:cs="Arial"/>
          <w:szCs w:val="24"/>
        </w:rPr>
        <w:t>9.3收益分配原则</w:t>
      </w:r>
    </w:p>
    <w:p w14:paraId="36B38352">
      <w:pPr>
        <w:pStyle w:val="11"/>
        <w:spacing w:before="0" w:after="0" w:line="520" w:lineRule="atLeast"/>
        <w:ind w:left="0" w:firstLine="480" w:firstLineChars="200"/>
        <w:rPr>
          <w:rFonts w:hAnsi="宋体" w:cs="Arial"/>
          <w:bCs/>
          <w:szCs w:val="24"/>
        </w:rPr>
      </w:pPr>
      <w:r>
        <w:rPr>
          <w:rFonts w:hint="eastAsia" w:hAnsi="宋体" w:cs="Arial"/>
          <w:bCs/>
          <w:szCs w:val="24"/>
        </w:rPr>
        <w:t>（1）在符合收益分配条件的前提下，</w:t>
      </w:r>
      <w:bookmarkStart w:id="34" w:name="_Hlk236413621"/>
      <w:r>
        <w:rPr>
          <w:rFonts w:hint="eastAsia" w:hAnsi="宋体" w:cs="Arial"/>
          <w:bCs/>
          <w:szCs w:val="24"/>
        </w:rPr>
        <w:t>本基金应当将不低于基金年度可供分配利润的90%以现金形式分配给投资者，每年不得少于1次，若基金合同生效不满6个月可不进行收益分配</w:t>
      </w:r>
      <w:bookmarkEnd w:id="34"/>
      <w:r>
        <w:rPr>
          <w:rFonts w:hint="eastAsia" w:hAnsi="宋体" w:cs="Arial"/>
          <w:bCs/>
          <w:szCs w:val="24"/>
        </w:rPr>
        <w:t>；</w:t>
      </w:r>
    </w:p>
    <w:p w14:paraId="40464CD0">
      <w:pPr>
        <w:pStyle w:val="11"/>
        <w:spacing w:before="0" w:after="0" w:line="520" w:lineRule="atLeast"/>
        <w:ind w:left="0" w:firstLine="480" w:firstLineChars="200"/>
        <w:rPr>
          <w:rFonts w:hAnsi="宋体" w:cs="Arial"/>
          <w:bCs/>
          <w:szCs w:val="24"/>
        </w:rPr>
      </w:pPr>
      <w:r>
        <w:rPr>
          <w:rFonts w:hint="eastAsia" w:hAnsi="宋体" w:cs="Arial"/>
          <w:bCs/>
          <w:szCs w:val="24"/>
        </w:rPr>
        <w:t>（2）本基金收益分配采取现金分红方式；</w:t>
      </w:r>
    </w:p>
    <w:p w14:paraId="02EBDBEE">
      <w:pPr>
        <w:pStyle w:val="11"/>
        <w:spacing w:before="0" w:after="0" w:line="520" w:lineRule="atLeast"/>
        <w:ind w:left="0" w:firstLine="480" w:firstLineChars="200"/>
        <w:rPr>
          <w:rFonts w:hAnsi="宋体" w:cs="Arial"/>
          <w:bCs/>
          <w:szCs w:val="24"/>
        </w:rPr>
      </w:pPr>
      <w:r>
        <w:rPr>
          <w:rFonts w:hint="eastAsia" w:hAnsi="宋体" w:cs="Arial"/>
          <w:bCs/>
          <w:szCs w:val="24"/>
        </w:rPr>
        <w:t>（3）基金收益分配后基金份额净值不能低于面值，即基金收益分配基准日的基金份额净值减去每单位基金份额收益分配金额后不能低于面值；</w:t>
      </w:r>
    </w:p>
    <w:p w14:paraId="2A663D38">
      <w:pPr>
        <w:pStyle w:val="11"/>
        <w:spacing w:before="0" w:after="0" w:line="520" w:lineRule="atLeast"/>
        <w:ind w:left="0" w:firstLine="480" w:firstLineChars="200"/>
        <w:rPr>
          <w:rFonts w:hAnsi="宋体" w:cs="Arial"/>
          <w:bCs/>
          <w:szCs w:val="24"/>
        </w:rPr>
      </w:pPr>
      <w:r>
        <w:rPr>
          <w:rFonts w:hint="eastAsia" w:hAnsi="宋体" w:cs="Arial"/>
          <w:bCs/>
          <w:szCs w:val="24"/>
        </w:rPr>
        <w:t>（4）本基金每一基金份额享有同等分配权；</w:t>
      </w:r>
    </w:p>
    <w:p w14:paraId="2ED46757">
      <w:pPr>
        <w:pStyle w:val="11"/>
        <w:spacing w:before="0" w:after="0" w:line="520" w:lineRule="atLeast"/>
        <w:ind w:left="0" w:firstLine="480" w:firstLineChars="200"/>
        <w:rPr>
          <w:rFonts w:hAnsi="宋体" w:cs="Arial"/>
          <w:bCs/>
          <w:szCs w:val="24"/>
        </w:rPr>
      </w:pPr>
      <w:r>
        <w:rPr>
          <w:rFonts w:hint="eastAsia" w:hAnsi="宋体" w:cs="Arial"/>
          <w:bCs/>
          <w:szCs w:val="24"/>
        </w:rPr>
        <w:t>（5）</w:t>
      </w:r>
      <w:r>
        <w:rPr>
          <w:rFonts w:hAnsi="宋体" w:cs="Arial"/>
          <w:bCs/>
          <w:szCs w:val="24"/>
        </w:rPr>
        <w:t>法律法规或监管机关另有规定的，从其规定。</w:t>
      </w:r>
    </w:p>
    <w:p w14:paraId="5AA8F599">
      <w:pPr>
        <w:spacing w:line="520" w:lineRule="atLeast"/>
        <w:ind w:firstLine="540" w:firstLineChars="225"/>
        <w:rPr>
          <w:rFonts w:ascii="宋体" w:hAnsi="宋体" w:cs="Arial"/>
          <w:bCs/>
          <w:sz w:val="24"/>
        </w:rPr>
      </w:pPr>
      <w:r>
        <w:rPr>
          <w:rFonts w:hint="eastAsia" w:ascii="宋体" w:hAnsi="宋体" w:cs="Arial"/>
          <w:bCs/>
          <w:sz w:val="24"/>
          <w:szCs w:val="24"/>
        </w:rPr>
        <w:t>在不违反法律法规且对基金份额持有人利益无实质不利影响的前提下，基金管理人在履行适当程序后酌情调整以上基金收益分配原则，并于变更实施日前在规定媒介公告。</w:t>
      </w:r>
    </w:p>
    <w:p w14:paraId="567B8FD0">
      <w:pPr>
        <w:pStyle w:val="11"/>
        <w:spacing w:before="0" w:after="0" w:line="520" w:lineRule="atLeast"/>
        <w:ind w:left="0" w:firstLine="480" w:firstLineChars="200"/>
        <w:rPr>
          <w:rFonts w:hAnsi="宋体" w:cs="Arial"/>
          <w:szCs w:val="24"/>
        </w:rPr>
      </w:pPr>
      <w:r>
        <w:rPr>
          <w:rFonts w:hAnsi="宋体" w:cs="Arial"/>
          <w:szCs w:val="24"/>
        </w:rPr>
        <w:t>9.4收益分配方案</w:t>
      </w:r>
    </w:p>
    <w:p w14:paraId="738AC25A">
      <w:pPr>
        <w:pStyle w:val="11"/>
        <w:spacing w:before="0" w:after="0" w:line="520" w:lineRule="atLeast"/>
        <w:ind w:left="0" w:firstLine="480" w:firstLineChars="200"/>
        <w:rPr>
          <w:rFonts w:hAnsi="宋体" w:cs="Arial"/>
          <w:szCs w:val="24"/>
        </w:rPr>
      </w:pPr>
      <w:r>
        <w:rPr>
          <w:rFonts w:hAnsi="宋体" w:cs="Arial"/>
          <w:szCs w:val="24"/>
        </w:rPr>
        <w:t>基金收益分配方案中应载明</w:t>
      </w:r>
      <w:r>
        <w:rPr>
          <w:rFonts w:hint="eastAsia" w:hAnsi="宋体" w:cs="Arial"/>
          <w:szCs w:val="24"/>
        </w:rPr>
        <w:t>截至</w:t>
      </w:r>
      <w:r>
        <w:rPr>
          <w:rFonts w:hAnsi="宋体" w:cs="Arial"/>
          <w:szCs w:val="24"/>
        </w:rPr>
        <w:t>收益分配基准日的可供分配利润、基金收益分配对象、分配时间、分配数额及比例、分配方式</w:t>
      </w:r>
      <w:r>
        <w:rPr>
          <w:bCs/>
        </w:rPr>
        <w:t>、支付方式</w:t>
      </w:r>
      <w:r>
        <w:rPr>
          <w:rFonts w:hAnsi="宋体" w:cs="Arial"/>
          <w:szCs w:val="24"/>
        </w:rPr>
        <w:t>等内容。</w:t>
      </w:r>
    </w:p>
    <w:p w14:paraId="0F15AD94">
      <w:pPr>
        <w:pStyle w:val="11"/>
        <w:spacing w:before="0" w:after="0" w:line="520" w:lineRule="atLeast"/>
        <w:ind w:left="0" w:firstLine="480" w:firstLineChars="200"/>
        <w:rPr>
          <w:rFonts w:hAnsi="宋体" w:cs="Arial"/>
          <w:szCs w:val="24"/>
        </w:rPr>
      </w:pPr>
      <w:r>
        <w:rPr>
          <w:rFonts w:hAnsi="宋体" w:cs="Arial"/>
          <w:szCs w:val="24"/>
        </w:rPr>
        <w:t>9.5收益分配的时间和程序</w:t>
      </w:r>
    </w:p>
    <w:p w14:paraId="14B39916">
      <w:pPr>
        <w:pStyle w:val="11"/>
        <w:spacing w:before="0" w:after="0" w:line="520" w:lineRule="atLeast"/>
        <w:ind w:left="0" w:firstLine="480" w:firstLineChars="200"/>
        <w:rPr>
          <w:rFonts w:hAnsi="宋体" w:cs="Arial"/>
          <w:bCs/>
        </w:rPr>
      </w:pPr>
      <w:r>
        <w:rPr>
          <w:rFonts w:hAnsi="宋体" w:cs="Arial"/>
          <w:szCs w:val="24"/>
        </w:rPr>
        <w:t>9.5.1本基金收益分配方案由基金管理人拟定，并由基金托管人复核，按照《信息披露办法》有关规定在规定媒介公告。</w:t>
      </w:r>
    </w:p>
    <w:p w14:paraId="4597EF06">
      <w:pPr>
        <w:pStyle w:val="11"/>
        <w:spacing w:before="0" w:after="0" w:line="520" w:lineRule="atLeast"/>
        <w:ind w:left="0" w:firstLine="480" w:firstLineChars="200"/>
        <w:rPr>
          <w:rFonts w:hAnsi="宋体" w:cs="Arial"/>
          <w:szCs w:val="24"/>
        </w:rPr>
      </w:pPr>
      <w:r>
        <w:rPr>
          <w:rFonts w:hAnsi="宋体" w:cs="Arial"/>
          <w:szCs w:val="24"/>
        </w:rPr>
        <w:t>9.5.2在收益分配方案公布后，基金管理人依据具体方案的规定就支付的现金红利向基金托管人发送划款指令，基金托管人按照基金管理人的指令及时进行分红资金的划付。基金托管人负责核对收益分配方案的总金额与划款指令金额一致，不对每个投资者的明细分配金额进行复核。</w:t>
      </w:r>
    </w:p>
    <w:p w14:paraId="6AB2D35B">
      <w:pPr>
        <w:pStyle w:val="11"/>
        <w:spacing w:before="0" w:after="0" w:line="520" w:lineRule="atLeast"/>
        <w:ind w:left="0" w:firstLine="480" w:firstLineChars="200"/>
        <w:rPr>
          <w:rFonts w:hAnsi="宋体" w:cs="Arial"/>
          <w:szCs w:val="24"/>
        </w:rPr>
      </w:pPr>
      <w:r>
        <w:rPr>
          <w:rFonts w:hAnsi="宋体" w:cs="Arial"/>
          <w:szCs w:val="24"/>
        </w:rPr>
        <w:t>9.5.3法律法规或监管机关另有规定的，从其规定。</w:t>
      </w:r>
    </w:p>
    <w:p w14:paraId="1382B913">
      <w:pPr>
        <w:pStyle w:val="11"/>
        <w:spacing w:before="0" w:after="0" w:line="520" w:lineRule="atLeast"/>
        <w:ind w:left="0" w:firstLine="480" w:firstLineChars="200"/>
        <w:rPr>
          <w:rFonts w:hAnsi="宋体" w:cs="Arial"/>
          <w:szCs w:val="24"/>
        </w:rPr>
      </w:pPr>
      <w:r>
        <w:rPr>
          <w:rFonts w:hAnsi="宋体" w:cs="Arial"/>
          <w:szCs w:val="24"/>
        </w:rPr>
        <w:t>9.</w:t>
      </w:r>
      <w:r>
        <w:rPr>
          <w:rFonts w:hint="eastAsia" w:hAnsi="宋体" w:cs="Arial"/>
          <w:szCs w:val="24"/>
        </w:rPr>
        <w:t>6</w:t>
      </w:r>
      <w:r>
        <w:rPr>
          <w:rFonts w:hAnsi="宋体" w:cs="Arial"/>
          <w:szCs w:val="24"/>
        </w:rPr>
        <w:t>基金收益分配中发生的费用</w:t>
      </w:r>
    </w:p>
    <w:p w14:paraId="5BA92851">
      <w:pPr>
        <w:pStyle w:val="11"/>
        <w:spacing w:before="0" w:after="0" w:line="520" w:lineRule="atLeast"/>
        <w:ind w:left="0" w:firstLine="480" w:firstLineChars="200"/>
        <w:rPr>
          <w:rFonts w:hAnsi="宋体" w:cs="Arial"/>
          <w:szCs w:val="24"/>
        </w:rPr>
      </w:pPr>
      <w:r>
        <w:rPr>
          <w:rFonts w:hAnsi="宋体" w:cs="Arial"/>
          <w:szCs w:val="24"/>
        </w:rPr>
        <w:t>基金收益分配时所发生的银行转账或其他手续费用由投资者自行承担。</w:t>
      </w:r>
    </w:p>
    <w:p w14:paraId="43A2B27B">
      <w:pPr>
        <w:pStyle w:val="2"/>
        <w:spacing w:line="520" w:lineRule="atLeast"/>
        <w:ind w:firstLine="482" w:firstLineChars="200"/>
        <w:rPr>
          <w:rFonts w:cs="Arial"/>
          <w:bCs/>
          <w:color w:val="auto"/>
          <w:szCs w:val="24"/>
        </w:rPr>
      </w:pPr>
      <w:bookmarkStart w:id="35" w:name="_Toc296551346"/>
      <w:bookmarkStart w:id="36" w:name="_Toc238554480"/>
      <w:r>
        <w:rPr>
          <w:rFonts w:cs="Arial"/>
          <w:bCs/>
          <w:color w:val="auto"/>
          <w:szCs w:val="24"/>
        </w:rPr>
        <w:t>第十条 信息披露</w:t>
      </w:r>
      <w:bookmarkEnd w:id="35"/>
      <w:bookmarkEnd w:id="36"/>
    </w:p>
    <w:p w14:paraId="4EA229FC">
      <w:pPr>
        <w:pStyle w:val="11"/>
        <w:spacing w:before="0" w:after="0" w:line="520" w:lineRule="atLeast"/>
        <w:ind w:left="0" w:firstLine="480" w:firstLineChars="200"/>
        <w:rPr>
          <w:rFonts w:hAnsi="宋体" w:cs="Arial"/>
          <w:szCs w:val="24"/>
        </w:rPr>
      </w:pPr>
      <w:r>
        <w:rPr>
          <w:rFonts w:hAnsi="宋体" w:cs="Arial"/>
          <w:szCs w:val="24"/>
        </w:rPr>
        <w:t>10.1保密义务</w:t>
      </w:r>
    </w:p>
    <w:p w14:paraId="75BD2C14">
      <w:pPr>
        <w:pStyle w:val="11"/>
        <w:spacing w:before="0" w:after="0" w:line="520" w:lineRule="atLeast"/>
        <w:ind w:left="0" w:firstLine="480" w:firstLineChars="200"/>
        <w:rPr>
          <w:rFonts w:hAnsi="宋体" w:cs="Arial"/>
          <w:szCs w:val="24"/>
        </w:rPr>
      </w:pPr>
      <w:r>
        <w:rPr>
          <w:rFonts w:hAnsi="宋体" w:cs="Arial"/>
          <w:szCs w:val="24"/>
        </w:rPr>
        <w:t>除按照《基金法》、《信息披露办法》、基金合同及中国证监会关于基金信息披露的有关规定进行披露以外，基金管理人和基金托管人对基金运作中产生的信息以及从对方获得的业务信息应恪守保密的义务。基金管理人与基金托管人对基金的任何信息，除法律法规规定之外，不得在其公开披露之前，先行对任何第三方披露。但是，如下情况不应视为基金管理人或基金托管人违反保密义务：</w:t>
      </w:r>
    </w:p>
    <w:p w14:paraId="2AEB5C72">
      <w:pPr>
        <w:pStyle w:val="11"/>
        <w:spacing w:before="0" w:after="0" w:line="520" w:lineRule="atLeast"/>
        <w:ind w:left="0" w:firstLine="480" w:firstLineChars="200"/>
        <w:rPr>
          <w:rFonts w:hAnsi="宋体" w:cs="Arial"/>
          <w:szCs w:val="24"/>
        </w:rPr>
      </w:pPr>
      <w:r>
        <w:rPr>
          <w:rFonts w:hAnsi="宋体" w:cs="Arial"/>
          <w:szCs w:val="24"/>
        </w:rPr>
        <w:t>（1）非因基金管理人和基金托管人的原因导致保密信息被披露、泄露或公开；</w:t>
      </w:r>
    </w:p>
    <w:p w14:paraId="1DF14DC3">
      <w:pPr>
        <w:pStyle w:val="11"/>
        <w:spacing w:before="0" w:after="0" w:line="520" w:lineRule="atLeast"/>
        <w:ind w:left="0" w:firstLine="480" w:firstLineChars="200"/>
        <w:rPr>
          <w:rFonts w:hAnsi="宋体" w:cs="Arial"/>
          <w:szCs w:val="24"/>
        </w:rPr>
      </w:pPr>
      <w:r>
        <w:rPr>
          <w:rFonts w:hAnsi="宋体" w:cs="Arial"/>
          <w:szCs w:val="24"/>
        </w:rPr>
        <w:t>（2）基金管理人和基金托管人为遵守和服从法院判决或裁定、仲裁裁决或中国证监会等监管机构的命令、决定所做出的信息披露或公开</w:t>
      </w:r>
      <w:r>
        <w:rPr>
          <w:rFonts w:hint="eastAsia" w:hAnsi="宋体" w:cs="Arial"/>
          <w:szCs w:val="24"/>
        </w:rPr>
        <w:t>；</w:t>
      </w:r>
    </w:p>
    <w:p w14:paraId="70980096">
      <w:pPr>
        <w:pStyle w:val="11"/>
        <w:spacing w:before="0" w:after="0" w:line="520" w:lineRule="atLeast"/>
        <w:ind w:left="0" w:firstLine="480" w:firstLineChars="200"/>
        <w:rPr>
          <w:rFonts w:hAnsi="宋体" w:cs="Arial"/>
          <w:szCs w:val="24"/>
        </w:rPr>
      </w:pPr>
      <w:r>
        <w:rPr>
          <w:rFonts w:hint="eastAsia" w:hAnsi="宋体" w:cs="Arial"/>
          <w:szCs w:val="24"/>
        </w:rPr>
        <w:t>（3）基金管理人和基金托管人在要求接收方保密的前提下，对自身聘请的外部法律顾问、财务顾问、审计人员、技术顾问等做出的必要信息披露。</w:t>
      </w:r>
    </w:p>
    <w:p w14:paraId="18732BF9">
      <w:pPr>
        <w:pStyle w:val="11"/>
        <w:spacing w:before="0" w:after="0" w:line="520" w:lineRule="atLeast"/>
        <w:ind w:left="0" w:firstLine="480" w:firstLineChars="200"/>
        <w:rPr>
          <w:rFonts w:hAnsi="宋体" w:cs="Arial"/>
          <w:szCs w:val="24"/>
        </w:rPr>
      </w:pPr>
      <w:r>
        <w:rPr>
          <w:rFonts w:hAnsi="宋体" w:cs="Arial"/>
          <w:szCs w:val="24"/>
        </w:rPr>
        <w:t>10.2基金管理人和基金托管人在信息披露中的职责和信息披露程序</w:t>
      </w:r>
    </w:p>
    <w:p w14:paraId="6B873E53">
      <w:pPr>
        <w:pStyle w:val="11"/>
        <w:spacing w:before="0" w:after="0" w:line="520" w:lineRule="atLeast"/>
        <w:ind w:left="0" w:firstLine="480" w:firstLineChars="200"/>
        <w:rPr>
          <w:rFonts w:hAnsi="宋体" w:cs="Arial"/>
          <w:szCs w:val="24"/>
        </w:rPr>
      </w:pPr>
      <w:r>
        <w:rPr>
          <w:rFonts w:hAnsi="宋体" w:cs="Arial"/>
          <w:szCs w:val="24"/>
        </w:rPr>
        <w:t>10.2.1基金管理人和基金托管人应根据相关法律法规、基金合同的规定各自承担相应的信息披露职责。基金管理人和基金托管人负有积极配合、互相督促、彼此监督、保证其履行按照法定方式和时限披露的义务。</w:t>
      </w:r>
    </w:p>
    <w:p w14:paraId="2CF6A539">
      <w:pPr>
        <w:pStyle w:val="11"/>
        <w:spacing w:before="0" w:after="0" w:line="520" w:lineRule="atLeast"/>
        <w:ind w:left="0" w:firstLine="480" w:firstLineChars="200"/>
        <w:rPr>
          <w:rFonts w:hAnsi="宋体" w:cs="Arial"/>
          <w:szCs w:val="24"/>
        </w:rPr>
      </w:pPr>
      <w:r>
        <w:rPr>
          <w:rFonts w:hAnsi="宋体" w:cs="Arial"/>
          <w:szCs w:val="24"/>
        </w:rPr>
        <w:t>10.2.2本基金信息披露的文件主要包括基金招募说明书、基金产品资料概要、基金合同、托管协议、基金份额发售公告、基金合同生效公告、基金净值信息、基金定期报告（包括基金年度报告、基金中期报告和基金季度报告）、临时报告、澄清公告、基金份额持有人大会决议、清算报告、</w:t>
      </w:r>
      <w:r>
        <w:rPr>
          <w:rFonts w:hAnsi="宋体" w:cs="Arial"/>
          <w:bCs/>
          <w:szCs w:val="24"/>
        </w:rPr>
        <w:t>投资资产支持证券的信息披露</w:t>
      </w:r>
      <w:r>
        <w:rPr>
          <w:rFonts w:hAnsi="宋体" w:cs="Arial"/>
          <w:szCs w:val="24"/>
        </w:rPr>
        <w:t>以及中国证监会规定的其他信息。</w:t>
      </w:r>
    </w:p>
    <w:p w14:paraId="1EC38E24">
      <w:pPr>
        <w:pStyle w:val="11"/>
        <w:spacing w:before="0" w:after="0" w:line="520" w:lineRule="atLeast"/>
        <w:ind w:left="0" w:firstLine="480" w:firstLineChars="200"/>
        <w:rPr>
          <w:rFonts w:hAnsi="宋体" w:cs="Arial"/>
          <w:szCs w:val="24"/>
        </w:rPr>
      </w:pPr>
      <w:r>
        <w:rPr>
          <w:rFonts w:hAnsi="宋体" w:cs="Arial"/>
          <w:szCs w:val="24"/>
        </w:rPr>
        <w:t>10.2.3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基金托管人应当同时将基金合同、基金托管协议登载在规定网站上。</w:t>
      </w:r>
    </w:p>
    <w:p w14:paraId="19D67FF4">
      <w:pPr>
        <w:pStyle w:val="11"/>
        <w:spacing w:before="0" w:after="0" w:line="520" w:lineRule="atLeast"/>
        <w:ind w:left="0" w:firstLine="480" w:firstLineChars="200"/>
        <w:rPr>
          <w:rFonts w:hAnsi="宋体" w:cs="Arial"/>
          <w:szCs w:val="24"/>
        </w:rPr>
      </w:pPr>
      <w:r>
        <w:rPr>
          <w:rFonts w:hAnsi="宋体" w:cs="Arial"/>
          <w:szCs w:val="24"/>
        </w:rPr>
        <w:t>10.2.4基金托管人应当按照相关法律法规、中国证监会的规定和《基金合同》的约定，对基金管理人编制的基金资产净值、基金份额净值、基金定期报告、更新的招募说明书、基金产品资料概要、基金清算报告等公开披露的相关基金信息进行复核、审查，并向基金管理人出具书面文件或者盖章确认。</w:t>
      </w:r>
    </w:p>
    <w:p w14:paraId="3A83DC30">
      <w:pPr>
        <w:pStyle w:val="11"/>
        <w:spacing w:before="0" w:after="0" w:line="520" w:lineRule="atLeast"/>
        <w:ind w:left="0" w:firstLine="480" w:firstLineChars="200"/>
        <w:rPr>
          <w:rFonts w:hAnsi="宋体" w:cs="Arial"/>
          <w:szCs w:val="24"/>
        </w:rPr>
      </w:pPr>
      <w:r>
        <w:rPr>
          <w:rFonts w:hAnsi="宋体" w:cs="Arial"/>
          <w:szCs w:val="24"/>
        </w:rPr>
        <w:t>10.2.5基金年度报告中的财务报告部分，经符合《证券法》规定的会计师事务所审计后，方可披露。</w:t>
      </w:r>
    </w:p>
    <w:p w14:paraId="1304A07D">
      <w:pPr>
        <w:pStyle w:val="11"/>
        <w:spacing w:before="0" w:after="0" w:line="520" w:lineRule="atLeast"/>
        <w:ind w:left="0" w:firstLine="480" w:firstLineChars="200"/>
        <w:rPr>
          <w:rFonts w:hAnsi="宋体" w:cs="Arial"/>
          <w:szCs w:val="24"/>
        </w:rPr>
      </w:pPr>
      <w:r>
        <w:rPr>
          <w:rFonts w:hAnsi="宋体" w:cs="Arial"/>
          <w:szCs w:val="24"/>
        </w:rPr>
        <w:t>10.2.6基金管理人应当在中国证监会规定的时间内，将应予披露的基金信息通过基金管理人网站和中国证监会规定媒介披露。根据法律法规应由基金托管人公开披露的信息，基金托管人将通过中国证监会规定媒介公开披露。</w:t>
      </w:r>
    </w:p>
    <w:p w14:paraId="5827D237">
      <w:pPr>
        <w:pStyle w:val="11"/>
        <w:spacing w:before="0" w:after="0" w:line="520" w:lineRule="atLeast"/>
        <w:ind w:left="0" w:firstLine="480" w:firstLineChars="200"/>
        <w:rPr>
          <w:rFonts w:hAnsi="宋体" w:cs="Arial"/>
          <w:szCs w:val="24"/>
        </w:rPr>
      </w:pPr>
      <w:r>
        <w:rPr>
          <w:rFonts w:hAnsi="宋体" w:cs="Arial"/>
          <w:szCs w:val="24"/>
        </w:rPr>
        <w:t>10.2.7</w:t>
      </w:r>
      <w:r>
        <w:rPr>
          <w:rFonts w:hAnsi="宋体" w:cs="Arial"/>
          <w:bCs/>
          <w:szCs w:val="24"/>
        </w:rPr>
        <w:t>依法必须披露的信息发布后，基金管理人、基金托管人应当按照相关法律法规规定将信息置备于各自住所，供社会公众查阅、复制。</w:t>
      </w:r>
    </w:p>
    <w:p w14:paraId="3D0BFE1C">
      <w:pPr>
        <w:pStyle w:val="11"/>
        <w:spacing w:before="0" w:after="0" w:line="520" w:lineRule="atLeast"/>
        <w:ind w:left="0" w:firstLine="480" w:firstLineChars="200"/>
        <w:rPr>
          <w:rFonts w:hAnsi="宋体" w:cs="Arial"/>
          <w:szCs w:val="24"/>
        </w:rPr>
      </w:pPr>
      <w:r>
        <w:rPr>
          <w:rFonts w:hAnsi="宋体" w:cs="Arial"/>
          <w:szCs w:val="24"/>
        </w:rPr>
        <w:t>10.3暂停或延迟信息披露的情形</w:t>
      </w:r>
    </w:p>
    <w:p w14:paraId="0873C8AF">
      <w:pPr>
        <w:pStyle w:val="11"/>
        <w:spacing w:line="520" w:lineRule="atLeast"/>
        <w:rPr>
          <w:rFonts w:hAnsi="宋体" w:cs="Arial"/>
          <w:bCs/>
          <w:szCs w:val="24"/>
        </w:rPr>
      </w:pPr>
      <w:r>
        <w:rPr>
          <w:rFonts w:hint="eastAsia" w:hAnsi="宋体" w:cs="Arial"/>
          <w:bCs/>
          <w:szCs w:val="24"/>
        </w:rPr>
        <w:t>（1）</w:t>
      </w:r>
      <w:r>
        <w:rPr>
          <w:rFonts w:hAnsi="宋体" w:cs="Arial"/>
          <w:bCs/>
          <w:szCs w:val="24"/>
        </w:rPr>
        <w:t>不可抗力；</w:t>
      </w:r>
    </w:p>
    <w:p w14:paraId="5A81091B">
      <w:pPr>
        <w:pStyle w:val="11"/>
        <w:spacing w:line="520" w:lineRule="atLeast"/>
        <w:rPr>
          <w:rFonts w:hAnsi="宋体" w:cs="Arial"/>
          <w:bCs/>
          <w:szCs w:val="24"/>
        </w:rPr>
      </w:pPr>
      <w:r>
        <w:rPr>
          <w:rFonts w:hint="eastAsia" w:hAnsi="宋体" w:cs="Arial"/>
          <w:bCs/>
          <w:szCs w:val="24"/>
        </w:rPr>
        <w:t>（2）基金投资所涉及的证券交易市场或外汇市场遇法定节假日或因其他原因暂停营业时；</w:t>
      </w:r>
    </w:p>
    <w:p w14:paraId="30345EA0">
      <w:pPr>
        <w:pStyle w:val="11"/>
        <w:spacing w:line="520" w:lineRule="atLeast"/>
        <w:rPr>
          <w:rFonts w:hAnsi="宋体" w:cs="Arial"/>
          <w:bCs/>
          <w:szCs w:val="24"/>
        </w:rPr>
      </w:pPr>
      <w:r>
        <w:rPr>
          <w:rFonts w:hint="eastAsia" w:hAnsi="宋体" w:cs="Arial"/>
          <w:bCs/>
          <w:szCs w:val="24"/>
        </w:rPr>
        <w:t>（3）</w:t>
      </w:r>
      <w:r>
        <w:rPr>
          <w:rFonts w:hAnsi="宋体" w:cs="Arial"/>
          <w:bCs/>
          <w:szCs w:val="24"/>
        </w:rPr>
        <w:t>发生暂停估值的情形；</w:t>
      </w:r>
    </w:p>
    <w:p w14:paraId="22B4FECE">
      <w:pPr>
        <w:pStyle w:val="11"/>
        <w:spacing w:before="0" w:after="0" w:line="520" w:lineRule="atLeast"/>
        <w:ind w:left="0" w:firstLine="480" w:firstLineChars="200"/>
        <w:rPr>
          <w:rFonts w:hAnsi="宋体" w:cs="Arial"/>
          <w:szCs w:val="24"/>
        </w:rPr>
      </w:pPr>
      <w:r>
        <w:rPr>
          <w:rFonts w:hint="eastAsia" w:hAnsi="宋体" w:cs="Arial"/>
          <w:bCs/>
          <w:szCs w:val="24"/>
        </w:rPr>
        <w:t>（4）</w:t>
      </w:r>
      <w:r>
        <w:rPr>
          <w:rFonts w:hAnsi="宋体" w:cs="Arial"/>
          <w:bCs/>
          <w:szCs w:val="24"/>
        </w:rPr>
        <w:t>法律法规、基金合同或中国证监会规定的其他情况。</w:t>
      </w:r>
    </w:p>
    <w:p w14:paraId="41B3CEFE">
      <w:pPr>
        <w:pStyle w:val="11"/>
        <w:spacing w:before="0" w:after="0" w:line="520" w:lineRule="atLeast"/>
        <w:ind w:left="0" w:firstLine="480" w:firstLineChars="200"/>
        <w:rPr>
          <w:rFonts w:hAnsi="宋体" w:cs="Arial"/>
          <w:szCs w:val="24"/>
        </w:rPr>
      </w:pPr>
      <w:r>
        <w:rPr>
          <w:rFonts w:hAnsi="宋体" w:cs="Arial"/>
          <w:szCs w:val="24"/>
        </w:rPr>
        <w:t>10.4基金托管人报告</w:t>
      </w:r>
    </w:p>
    <w:p w14:paraId="5F6ABE5B">
      <w:pPr>
        <w:pStyle w:val="11"/>
        <w:spacing w:before="0" w:after="0" w:line="520" w:lineRule="atLeast"/>
        <w:ind w:left="0" w:firstLine="480" w:firstLineChars="200"/>
        <w:rPr>
          <w:rFonts w:hAnsi="宋体" w:cs="Arial"/>
          <w:szCs w:val="24"/>
        </w:rPr>
      </w:pPr>
      <w:r>
        <w:rPr>
          <w:rFonts w:hAnsi="宋体" w:cs="Arial"/>
          <w:szCs w:val="24"/>
        </w:rPr>
        <w:t>基金托管人应按《基金法》、《运作办法》、《信息披露办法》和其他有关法律法规的规定于每个上半年度结束后两个月内、每个会计年度结束后三个月内在基金中期报告及年度报告中分别出具基金托管人报告，并提交给基金管理人。</w:t>
      </w:r>
    </w:p>
    <w:p w14:paraId="0605809D">
      <w:pPr>
        <w:pStyle w:val="2"/>
        <w:spacing w:line="520" w:lineRule="atLeast"/>
        <w:ind w:firstLine="482" w:firstLineChars="200"/>
        <w:rPr>
          <w:rFonts w:cs="Arial"/>
          <w:bCs/>
          <w:color w:val="auto"/>
          <w:szCs w:val="24"/>
        </w:rPr>
      </w:pPr>
      <w:bookmarkStart w:id="37" w:name="_Toc238554481"/>
      <w:bookmarkStart w:id="38" w:name="_Toc296551347"/>
      <w:r>
        <w:rPr>
          <w:rFonts w:cs="Arial"/>
          <w:bCs/>
          <w:color w:val="auto"/>
          <w:szCs w:val="24"/>
        </w:rPr>
        <w:t>第十一条 基金费用</w:t>
      </w:r>
      <w:bookmarkEnd w:id="37"/>
      <w:bookmarkEnd w:id="38"/>
    </w:p>
    <w:p w14:paraId="54E0DF7F">
      <w:pPr>
        <w:pStyle w:val="11"/>
        <w:spacing w:before="0" w:after="0" w:line="520" w:lineRule="atLeast"/>
        <w:ind w:left="0" w:firstLine="480" w:firstLineChars="200"/>
        <w:rPr>
          <w:rFonts w:hAnsi="宋体" w:cs="Arial"/>
          <w:szCs w:val="24"/>
        </w:rPr>
      </w:pPr>
      <w:r>
        <w:rPr>
          <w:rFonts w:hAnsi="宋体" w:cs="Arial"/>
          <w:szCs w:val="24"/>
        </w:rPr>
        <w:t>11.1基金管理费的计提比例和计提方法</w:t>
      </w:r>
    </w:p>
    <w:p w14:paraId="5DA120B4">
      <w:pPr>
        <w:pStyle w:val="11"/>
        <w:spacing w:before="0" w:after="0" w:line="520" w:lineRule="atLeast"/>
        <w:ind w:left="0" w:firstLine="480" w:firstLineChars="200"/>
        <w:rPr>
          <w:rFonts w:hAnsi="宋体" w:cs="Arial"/>
          <w:szCs w:val="24"/>
        </w:rPr>
      </w:pPr>
      <w:r>
        <w:rPr>
          <w:rFonts w:hAnsi="宋体" w:cs="Arial"/>
          <w:szCs w:val="24"/>
        </w:rPr>
        <w:t>本基金的管理费按前一日基金资产净值的0.15%年费率计提。管理费的计算方法如下：</w:t>
      </w:r>
    </w:p>
    <w:p w14:paraId="2476F669">
      <w:pPr>
        <w:pStyle w:val="11"/>
        <w:spacing w:before="0" w:after="0" w:line="520" w:lineRule="atLeast"/>
        <w:ind w:left="0" w:firstLine="480" w:firstLineChars="200"/>
        <w:rPr>
          <w:rFonts w:hAnsi="宋体" w:cs="Arial"/>
          <w:szCs w:val="24"/>
        </w:rPr>
      </w:pPr>
      <w:r>
        <w:rPr>
          <w:rFonts w:hAnsi="宋体" w:cs="Arial"/>
          <w:szCs w:val="24"/>
        </w:rPr>
        <w:t>H＝E×</w:t>
      </w:r>
      <w:r>
        <w:rPr>
          <w:rFonts w:hAnsi="宋体" w:cs="Arial"/>
        </w:rPr>
        <w:t>0.15%</w:t>
      </w:r>
      <w:r>
        <w:rPr>
          <w:rFonts w:hAnsi="宋体" w:cs="Arial"/>
          <w:szCs w:val="24"/>
        </w:rPr>
        <w:t>÷当年天数</w:t>
      </w:r>
    </w:p>
    <w:p w14:paraId="6F906131">
      <w:pPr>
        <w:pStyle w:val="11"/>
        <w:spacing w:before="0" w:after="0" w:line="520" w:lineRule="atLeast"/>
        <w:ind w:left="0" w:firstLine="480" w:firstLineChars="200"/>
        <w:rPr>
          <w:rFonts w:hAnsi="宋体" w:cs="Arial"/>
          <w:szCs w:val="24"/>
        </w:rPr>
      </w:pPr>
      <w:r>
        <w:rPr>
          <w:rFonts w:hAnsi="宋体" w:cs="Arial"/>
          <w:szCs w:val="24"/>
        </w:rPr>
        <w:t>H为每日应计提的基金管理费</w:t>
      </w:r>
    </w:p>
    <w:p w14:paraId="085F0727">
      <w:pPr>
        <w:pStyle w:val="11"/>
        <w:spacing w:before="0" w:after="0" w:line="520" w:lineRule="atLeast"/>
        <w:ind w:left="0" w:firstLine="480" w:firstLineChars="200"/>
        <w:rPr>
          <w:rFonts w:hAnsi="宋体" w:cs="Arial"/>
          <w:szCs w:val="24"/>
        </w:rPr>
      </w:pPr>
      <w:r>
        <w:rPr>
          <w:rFonts w:hAnsi="宋体" w:cs="Arial"/>
          <w:szCs w:val="24"/>
        </w:rPr>
        <w:t>E为前一日的基金资产净值</w:t>
      </w:r>
    </w:p>
    <w:p w14:paraId="2B5B3503">
      <w:pPr>
        <w:pStyle w:val="11"/>
        <w:spacing w:before="0" w:after="0" w:line="520" w:lineRule="atLeast"/>
        <w:ind w:left="0" w:firstLine="480" w:firstLineChars="200"/>
        <w:rPr>
          <w:rFonts w:hAnsi="宋体" w:cs="Arial"/>
          <w:szCs w:val="24"/>
        </w:rPr>
      </w:pPr>
      <w:r>
        <w:rPr>
          <w:rFonts w:hAnsi="宋体" w:cs="Arial"/>
          <w:szCs w:val="24"/>
        </w:rPr>
        <w:t>基金管理费每日</w:t>
      </w:r>
      <w:r>
        <w:rPr>
          <w:rFonts w:hint="eastAsia" w:hAnsi="宋体" w:cs="Arial"/>
          <w:szCs w:val="24"/>
        </w:rPr>
        <w:t>计提</w:t>
      </w:r>
      <w:r>
        <w:rPr>
          <w:rFonts w:hAnsi="宋体" w:cs="Arial"/>
          <w:szCs w:val="24"/>
        </w:rPr>
        <w:t>，</w:t>
      </w:r>
      <w:r>
        <w:rPr>
          <w:rFonts w:hAnsi="宋体" w:cs="Arial"/>
        </w:rPr>
        <w:t>逐日累计至</w:t>
      </w:r>
      <w:r>
        <w:rPr>
          <w:rFonts w:hAnsi="宋体" w:cs="Arial"/>
          <w:szCs w:val="24"/>
        </w:rPr>
        <w:t>每</w:t>
      </w:r>
      <w:r>
        <w:rPr>
          <w:rFonts w:hAnsi="宋体" w:cs="Arial"/>
        </w:rPr>
        <w:t>月月末，</w:t>
      </w:r>
      <w:r>
        <w:rPr>
          <w:rFonts w:hAnsi="宋体" w:cs="Arial"/>
          <w:szCs w:val="24"/>
        </w:rPr>
        <w:t>按月支付</w:t>
      </w:r>
      <w:r>
        <w:rPr>
          <w:rFonts w:hint="eastAsia" w:hAnsi="宋体" w:cs="Arial"/>
          <w:szCs w:val="24"/>
        </w:rPr>
        <w:t>。经</w:t>
      </w:r>
      <w:r>
        <w:rPr>
          <w:rFonts w:hAnsi="宋体" w:cs="Arial"/>
          <w:szCs w:val="24"/>
        </w:rPr>
        <w:t>基金管理人与基金托管人核对一致后，</w:t>
      </w:r>
      <w:r>
        <w:rPr>
          <w:rFonts w:hint="eastAsia" w:hAnsi="宋体" w:cs="Arial"/>
          <w:szCs w:val="24"/>
        </w:rPr>
        <w:t>由</w:t>
      </w:r>
      <w:r>
        <w:rPr>
          <w:rFonts w:hAnsi="宋体" w:cs="Arial"/>
          <w:szCs w:val="24"/>
        </w:rPr>
        <w:t>基金托管人</w:t>
      </w:r>
      <w:r>
        <w:rPr>
          <w:rFonts w:hint="eastAsia" w:hAnsi="宋体" w:cs="Arial"/>
          <w:szCs w:val="24"/>
        </w:rPr>
        <w:t>根据基金管理人指令或双方认可的方式</w:t>
      </w:r>
      <w:r>
        <w:rPr>
          <w:rFonts w:hAnsi="宋体" w:cs="Arial"/>
          <w:szCs w:val="24"/>
        </w:rPr>
        <w:t>于次月</w:t>
      </w:r>
      <w:r>
        <w:rPr>
          <w:rFonts w:hint="eastAsia" w:hAnsi="宋体" w:cs="Arial"/>
          <w:szCs w:val="24"/>
        </w:rPr>
        <w:t>首日起</w:t>
      </w:r>
      <w:r>
        <w:rPr>
          <w:rFonts w:hAnsi="宋体" w:cs="Arial"/>
          <w:szCs w:val="24"/>
        </w:rPr>
        <w:t>5个工作日内从基金财产中一次性支付给基金管理人。若遇法定节假日、</w:t>
      </w:r>
      <w:r>
        <w:rPr>
          <w:rFonts w:hint="eastAsia" w:hAnsi="宋体" w:cs="Arial"/>
          <w:szCs w:val="24"/>
        </w:rPr>
        <w:t>公休日</w:t>
      </w:r>
      <w:bookmarkStart w:id="39" w:name="_Hlk236413845"/>
      <w:r>
        <w:rPr>
          <w:rFonts w:hint="eastAsia" w:hAnsi="宋体" w:cs="Arial"/>
          <w:szCs w:val="24"/>
        </w:rPr>
        <w:t>或不可抗力</w:t>
      </w:r>
      <w:bookmarkEnd w:id="39"/>
      <w:r>
        <w:rPr>
          <w:rFonts w:hint="eastAsia" w:hAnsi="宋体" w:cs="Arial"/>
          <w:szCs w:val="24"/>
        </w:rPr>
        <w:t>等，</w:t>
      </w:r>
      <w:r>
        <w:rPr>
          <w:rFonts w:hAnsi="宋体" w:cs="Arial"/>
          <w:szCs w:val="24"/>
        </w:rPr>
        <w:t>支付日期顺延。</w:t>
      </w:r>
    </w:p>
    <w:p w14:paraId="32DE5A43">
      <w:pPr>
        <w:pStyle w:val="11"/>
        <w:spacing w:before="0" w:after="0" w:line="520" w:lineRule="atLeast"/>
        <w:ind w:left="0" w:firstLine="480" w:firstLineChars="200"/>
        <w:rPr>
          <w:rFonts w:hAnsi="宋体" w:cs="Arial"/>
          <w:szCs w:val="24"/>
        </w:rPr>
      </w:pPr>
      <w:r>
        <w:rPr>
          <w:rFonts w:hAnsi="宋体" w:cs="Arial"/>
          <w:szCs w:val="24"/>
        </w:rPr>
        <w:t>11.2基金托管费的计提比例和计提方法</w:t>
      </w:r>
    </w:p>
    <w:p w14:paraId="727D3D10">
      <w:pPr>
        <w:pStyle w:val="11"/>
        <w:spacing w:before="0" w:after="0" w:line="520" w:lineRule="atLeast"/>
        <w:ind w:left="0" w:firstLine="480" w:firstLineChars="200"/>
        <w:rPr>
          <w:rFonts w:hAnsi="宋体" w:cs="Arial"/>
          <w:szCs w:val="24"/>
        </w:rPr>
      </w:pPr>
      <w:r>
        <w:rPr>
          <w:rFonts w:hAnsi="宋体" w:cs="Arial"/>
          <w:szCs w:val="24"/>
        </w:rPr>
        <w:t>本基金的托管费按前一日基金资产净值的0.05%的年费率计提。托管费的计算方法如下：</w:t>
      </w:r>
    </w:p>
    <w:p w14:paraId="767D2AA7">
      <w:pPr>
        <w:pStyle w:val="11"/>
        <w:spacing w:before="0" w:after="0" w:line="520" w:lineRule="atLeast"/>
        <w:ind w:left="0" w:firstLine="480" w:firstLineChars="200"/>
        <w:rPr>
          <w:rFonts w:hAnsi="宋体" w:cs="Arial"/>
          <w:szCs w:val="24"/>
        </w:rPr>
      </w:pPr>
      <w:r>
        <w:rPr>
          <w:rFonts w:hAnsi="宋体" w:cs="Arial"/>
          <w:szCs w:val="24"/>
        </w:rPr>
        <w:t>H＝E×0.05%÷当年天数</w:t>
      </w:r>
    </w:p>
    <w:p w14:paraId="4BF53EDA">
      <w:pPr>
        <w:pStyle w:val="11"/>
        <w:spacing w:before="0" w:after="0" w:line="520" w:lineRule="atLeast"/>
        <w:ind w:left="0" w:firstLine="480" w:firstLineChars="200"/>
        <w:rPr>
          <w:rFonts w:hAnsi="宋体" w:cs="Arial"/>
          <w:szCs w:val="24"/>
        </w:rPr>
      </w:pPr>
      <w:r>
        <w:rPr>
          <w:rFonts w:hAnsi="宋体" w:cs="Arial"/>
          <w:szCs w:val="24"/>
        </w:rPr>
        <w:t>H为每日应计提的基金托管费</w:t>
      </w:r>
    </w:p>
    <w:p w14:paraId="4D5054B7">
      <w:pPr>
        <w:pStyle w:val="11"/>
        <w:spacing w:before="0" w:after="0" w:line="520" w:lineRule="atLeast"/>
        <w:ind w:left="0" w:firstLine="480" w:firstLineChars="200"/>
        <w:rPr>
          <w:rFonts w:hAnsi="宋体" w:cs="Arial"/>
          <w:szCs w:val="24"/>
        </w:rPr>
      </w:pPr>
      <w:r>
        <w:rPr>
          <w:rFonts w:hAnsi="宋体" w:cs="Arial"/>
          <w:szCs w:val="24"/>
        </w:rPr>
        <w:t>E为前一日的基金资产净值</w:t>
      </w:r>
    </w:p>
    <w:p w14:paraId="0B21128E">
      <w:pPr>
        <w:pStyle w:val="11"/>
        <w:spacing w:before="0" w:after="0" w:line="520" w:lineRule="atLeast"/>
        <w:ind w:left="0" w:firstLine="480" w:firstLineChars="200"/>
        <w:rPr>
          <w:rFonts w:hAnsi="宋体" w:cs="Arial"/>
          <w:szCs w:val="24"/>
        </w:rPr>
      </w:pPr>
      <w:r>
        <w:rPr>
          <w:rFonts w:hAnsi="宋体" w:cs="Arial"/>
          <w:szCs w:val="24"/>
        </w:rPr>
        <w:t>基金托管费每日</w:t>
      </w:r>
      <w:r>
        <w:rPr>
          <w:rFonts w:hint="eastAsia" w:hAnsi="宋体" w:cs="Arial"/>
          <w:szCs w:val="24"/>
        </w:rPr>
        <w:t>计提</w:t>
      </w:r>
      <w:r>
        <w:rPr>
          <w:rFonts w:hAnsi="宋体" w:cs="Arial"/>
          <w:szCs w:val="24"/>
        </w:rPr>
        <w:t>，</w:t>
      </w:r>
      <w:r>
        <w:rPr>
          <w:rFonts w:hAnsi="宋体" w:cs="Arial"/>
        </w:rPr>
        <w:t>逐日累计至</w:t>
      </w:r>
      <w:r>
        <w:rPr>
          <w:rFonts w:hAnsi="宋体" w:cs="Arial"/>
          <w:szCs w:val="24"/>
        </w:rPr>
        <w:t>每</w:t>
      </w:r>
      <w:r>
        <w:rPr>
          <w:rFonts w:hAnsi="宋体" w:cs="Arial"/>
        </w:rPr>
        <w:t>月月末，</w:t>
      </w:r>
      <w:r>
        <w:rPr>
          <w:rFonts w:hAnsi="宋体" w:cs="Arial"/>
          <w:szCs w:val="24"/>
        </w:rPr>
        <w:t>按月支付</w:t>
      </w:r>
      <w:r>
        <w:rPr>
          <w:rFonts w:hint="eastAsia" w:hAnsi="宋体" w:cs="Arial"/>
          <w:szCs w:val="24"/>
        </w:rPr>
        <w:t>。经</w:t>
      </w:r>
      <w:r>
        <w:rPr>
          <w:rFonts w:hAnsi="宋体" w:cs="Arial"/>
          <w:szCs w:val="24"/>
        </w:rPr>
        <w:t>基金管理人与基金托管人核对一致后，</w:t>
      </w:r>
      <w:r>
        <w:rPr>
          <w:rFonts w:hint="eastAsia" w:hAnsi="宋体" w:cs="Arial"/>
          <w:szCs w:val="24"/>
        </w:rPr>
        <w:t>由</w:t>
      </w:r>
      <w:r>
        <w:rPr>
          <w:rFonts w:hAnsi="宋体" w:cs="Arial"/>
          <w:szCs w:val="24"/>
        </w:rPr>
        <w:t>基金托管人</w:t>
      </w:r>
      <w:r>
        <w:rPr>
          <w:rFonts w:hint="eastAsia" w:hAnsi="宋体" w:cs="Arial"/>
          <w:szCs w:val="24"/>
        </w:rPr>
        <w:t>根据基金管理人指令或者双方认可的方式</w:t>
      </w:r>
      <w:r>
        <w:rPr>
          <w:rFonts w:hAnsi="宋体" w:cs="Arial"/>
          <w:szCs w:val="24"/>
        </w:rPr>
        <w:t>于次月</w:t>
      </w:r>
      <w:r>
        <w:rPr>
          <w:rFonts w:hint="eastAsia" w:hAnsi="宋体" w:cs="Arial"/>
          <w:szCs w:val="24"/>
        </w:rPr>
        <w:t>首日起</w:t>
      </w:r>
      <w:r>
        <w:rPr>
          <w:rFonts w:hAnsi="宋体" w:cs="Arial"/>
          <w:szCs w:val="24"/>
        </w:rPr>
        <w:t>5个工作日内从基金财产中一次性支取。若遇法定节假日、</w:t>
      </w:r>
      <w:r>
        <w:rPr>
          <w:rFonts w:hint="eastAsia" w:hAnsi="宋体" w:cs="Arial"/>
          <w:bCs/>
          <w:szCs w:val="24"/>
        </w:rPr>
        <w:t>公休日或不可抗力等，</w:t>
      </w:r>
      <w:r>
        <w:rPr>
          <w:rFonts w:hAnsi="宋体" w:cs="Arial"/>
          <w:szCs w:val="24"/>
        </w:rPr>
        <w:t>支付日期顺延。</w:t>
      </w:r>
    </w:p>
    <w:p w14:paraId="700BE817">
      <w:pPr>
        <w:pStyle w:val="11"/>
        <w:spacing w:line="520" w:lineRule="atLeast"/>
        <w:ind w:left="0" w:firstLine="480" w:firstLineChars="200"/>
        <w:rPr>
          <w:rFonts w:hAnsi="宋体" w:cs="Arial"/>
          <w:szCs w:val="24"/>
        </w:rPr>
      </w:pPr>
      <w:r>
        <w:rPr>
          <w:rFonts w:hAnsi="宋体" w:cs="Arial"/>
          <w:szCs w:val="24"/>
        </w:rPr>
        <w:t>11.</w:t>
      </w:r>
      <w:r>
        <w:rPr>
          <w:rFonts w:hint="eastAsia" w:hAnsi="宋体" w:cs="Arial"/>
          <w:szCs w:val="24"/>
        </w:rPr>
        <w:t>3</w:t>
      </w:r>
      <w:r>
        <w:rPr>
          <w:rFonts w:hAnsi="宋体" w:cs="Arial"/>
          <w:szCs w:val="24"/>
        </w:rPr>
        <w:t>《基金合同》生效后与基金相关的信息披露费用、《基金合同》生效后与基金相关的会计师费、律师费、仲裁费和诉讼费、基金份额持有人大会费用、基金的证券交易费用、基金的银行汇划费用、基金账户开户费用及维护费用等根据有关法律法规、基金合同及相应协议的规定，由基金托管人按基金管理人的划款指令并根据费用实际支出金额支付，列入或摊入当期基金费用。</w:t>
      </w:r>
    </w:p>
    <w:p w14:paraId="603A907A">
      <w:pPr>
        <w:pStyle w:val="11"/>
        <w:spacing w:before="0" w:after="0" w:line="520" w:lineRule="atLeast"/>
        <w:ind w:left="0" w:firstLine="480" w:firstLineChars="200"/>
        <w:rPr>
          <w:rFonts w:hAnsi="宋体" w:cs="Arial"/>
          <w:szCs w:val="24"/>
        </w:rPr>
      </w:pPr>
      <w:r>
        <w:rPr>
          <w:rFonts w:hAnsi="宋体" w:cs="Arial"/>
          <w:szCs w:val="24"/>
        </w:rPr>
        <w:t>11.</w:t>
      </w:r>
      <w:r>
        <w:rPr>
          <w:rFonts w:hint="eastAsia" w:hAnsi="宋体" w:cs="Arial"/>
          <w:szCs w:val="24"/>
        </w:rPr>
        <w:t>4</w:t>
      </w:r>
      <w:r>
        <w:rPr>
          <w:rFonts w:hAnsi="宋体" w:cs="Arial"/>
          <w:szCs w:val="24"/>
        </w:rPr>
        <w:t>不列入基金费用的项目</w:t>
      </w:r>
    </w:p>
    <w:p w14:paraId="0D6C6124">
      <w:pPr>
        <w:pStyle w:val="11"/>
        <w:spacing w:before="0" w:after="0" w:line="520" w:lineRule="atLeast"/>
        <w:ind w:left="0" w:firstLine="480" w:firstLineChars="200"/>
        <w:rPr>
          <w:rFonts w:hAnsi="宋体" w:cs="Arial"/>
          <w:szCs w:val="24"/>
        </w:rPr>
      </w:pPr>
      <w:r>
        <w:rPr>
          <w:rFonts w:hAnsi="宋体" w:cs="Arial"/>
          <w:szCs w:val="24"/>
        </w:rPr>
        <w:t>基金管理人与基金托管人因未履行或未完全履行义务导致的费用支出或基金财产的损失，以及处理与基金运作无关的事项发生的费用等不列入基金费用。基金合同生效前所发生的信息披露费、律师费、验资费和会计师费以及其他费用不从基金财产中支付。其他根据相关法律法规及中国证监会的有关规定不得列入基金费用的项目也不列入基金费用。</w:t>
      </w:r>
    </w:p>
    <w:p w14:paraId="60C5A0FE">
      <w:pPr>
        <w:pStyle w:val="11"/>
        <w:spacing w:before="0" w:after="0" w:line="520" w:lineRule="atLeast"/>
        <w:ind w:left="0" w:firstLine="480" w:firstLineChars="200"/>
        <w:rPr>
          <w:rFonts w:hAnsi="宋体" w:cs="Arial"/>
          <w:szCs w:val="24"/>
        </w:rPr>
      </w:pPr>
      <w:r>
        <w:rPr>
          <w:rFonts w:hAnsi="宋体" w:cs="Arial"/>
          <w:szCs w:val="24"/>
        </w:rPr>
        <w:t>11.</w:t>
      </w:r>
      <w:r>
        <w:rPr>
          <w:rFonts w:hint="eastAsia" w:hAnsi="宋体" w:cs="Arial"/>
          <w:szCs w:val="24"/>
        </w:rPr>
        <w:t>5</w:t>
      </w:r>
      <w:r>
        <w:rPr>
          <w:rFonts w:hAnsi="宋体" w:cs="Arial"/>
          <w:szCs w:val="24"/>
        </w:rPr>
        <w:t>基金管理费和基金托管费的调整</w:t>
      </w:r>
    </w:p>
    <w:p w14:paraId="4E74AE81">
      <w:pPr>
        <w:spacing w:line="520" w:lineRule="atLeast"/>
        <w:ind w:firstLine="480" w:firstLineChars="200"/>
        <w:rPr>
          <w:rFonts w:ascii="宋体" w:hAnsi="宋体" w:cs="Arial"/>
          <w:bCs/>
          <w:sz w:val="24"/>
        </w:rPr>
      </w:pPr>
      <w:r>
        <w:rPr>
          <w:rFonts w:ascii="宋体" w:hAnsi="宋体" w:cs="Arial"/>
          <w:bCs/>
          <w:sz w:val="24"/>
        </w:rPr>
        <w:t>在不对基金份额持有人权益产生实质性不利影响的情况下，基金管理人和基金托管人协商一致且在履行适当程序后，可按照基金发展情况，并根据法律法规规定和基金合同约定酌情调整基金管理费率、基金托管费率等相关费率。</w:t>
      </w:r>
    </w:p>
    <w:p w14:paraId="7B9B73FB">
      <w:pPr>
        <w:spacing w:line="520" w:lineRule="atLeast"/>
        <w:ind w:firstLine="480" w:firstLineChars="200"/>
        <w:rPr>
          <w:rFonts w:ascii="宋体" w:hAnsi="宋体" w:cs="Arial"/>
          <w:bCs/>
          <w:sz w:val="24"/>
        </w:rPr>
      </w:pPr>
      <w:r>
        <w:rPr>
          <w:rFonts w:ascii="宋体" w:hAnsi="宋体" w:cs="Arial"/>
          <w:bCs/>
          <w:sz w:val="24"/>
        </w:rPr>
        <w:t>基金管理人必须于新的费率实施前依照《信息披露办法》的规定在规定媒介上公告。</w:t>
      </w:r>
    </w:p>
    <w:p w14:paraId="4FA965D0">
      <w:pPr>
        <w:pStyle w:val="11"/>
        <w:spacing w:before="0" w:after="0" w:line="520" w:lineRule="atLeast"/>
        <w:ind w:left="0" w:firstLine="480" w:firstLineChars="200"/>
        <w:rPr>
          <w:rFonts w:hAnsi="宋体" w:cs="Arial"/>
          <w:szCs w:val="24"/>
        </w:rPr>
      </w:pPr>
      <w:r>
        <w:rPr>
          <w:rFonts w:hAnsi="宋体" w:cs="Arial"/>
          <w:szCs w:val="24"/>
        </w:rPr>
        <w:t>11.</w:t>
      </w:r>
      <w:r>
        <w:rPr>
          <w:rFonts w:hint="eastAsia" w:hAnsi="宋体" w:cs="Arial"/>
          <w:szCs w:val="24"/>
        </w:rPr>
        <w:t>6</w:t>
      </w:r>
      <w:r>
        <w:rPr>
          <w:rFonts w:hAnsi="宋体" w:cs="Arial"/>
          <w:szCs w:val="24"/>
        </w:rPr>
        <w:t>如果基金托管人发现基金管理人违反有关法律法规的有关规定和基金合同、本协议的约定，从基金财产中列支费用，有权要求基金管理人做出书面解释，如果基金托管人认为基金管理人无正当或合理的理由，可以拒绝支付。</w:t>
      </w:r>
    </w:p>
    <w:p w14:paraId="6ED85AAD">
      <w:pPr>
        <w:pStyle w:val="2"/>
        <w:spacing w:line="520" w:lineRule="atLeast"/>
        <w:ind w:firstLine="482" w:firstLineChars="200"/>
        <w:rPr>
          <w:rFonts w:cs="Arial"/>
          <w:bCs/>
          <w:color w:val="auto"/>
          <w:szCs w:val="24"/>
        </w:rPr>
      </w:pPr>
      <w:bookmarkStart w:id="40" w:name="_Toc296551348"/>
      <w:bookmarkStart w:id="41" w:name="_Toc238554482"/>
      <w:r>
        <w:rPr>
          <w:rFonts w:cs="Arial"/>
          <w:bCs/>
          <w:color w:val="auto"/>
          <w:szCs w:val="24"/>
        </w:rPr>
        <w:t>第十二条 基金份额持有人名册的保管</w:t>
      </w:r>
      <w:bookmarkEnd w:id="40"/>
      <w:bookmarkEnd w:id="41"/>
    </w:p>
    <w:p w14:paraId="29AD6E2E">
      <w:pPr>
        <w:pStyle w:val="11"/>
        <w:spacing w:before="0" w:after="0" w:line="520" w:lineRule="atLeast"/>
        <w:ind w:left="0" w:firstLine="480" w:firstLineChars="200"/>
        <w:rPr>
          <w:rFonts w:hAnsi="宋体" w:cs="Arial"/>
          <w:szCs w:val="24"/>
        </w:rPr>
      </w:pPr>
      <w:r>
        <w:rPr>
          <w:rFonts w:hAnsi="宋体" w:cs="Arial"/>
          <w:szCs w:val="24"/>
        </w:rPr>
        <w:t>12.1基金管理人和基金托管人须分别妥善保管基金份额持有人名册，基金份额持有人名册的内容必须包括基金份额持有人的名称和持有的基金份额。</w:t>
      </w:r>
    </w:p>
    <w:p w14:paraId="1498D992">
      <w:pPr>
        <w:pStyle w:val="11"/>
        <w:spacing w:before="0" w:after="0" w:line="520" w:lineRule="atLeast"/>
        <w:ind w:left="0" w:firstLine="480" w:firstLineChars="200"/>
        <w:rPr>
          <w:rFonts w:hAnsi="宋体" w:cs="Arial"/>
          <w:szCs w:val="24"/>
        </w:rPr>
      </w:pPr>
      <w:r>
        <w:rPr>
          <w:rFonts w:hAnsi="宋体" w:cs="Arial"/>
          <w:szCs w:val="24"/>
        </w:rPr>
        <w:t>12.2基金份额持有人名册由基金的基金登记机构根据基金管理人的指令编制和保管，基金管理人和基金托管人应按照目前相关规则分别保管基金份额持有人名册。保管方式可以采用电子或文档的形式。保管期限为20年，法律法规或监管规则另有规定的，从其规定。</w:t>
      </w:r>
    </w:p>
    <w:p w14:paraId="4E804F17">
      <w:pPr>
        <w:pStyle w:val="11"/>
        <w:spacing w:before="0" w:after="0" w:line="520" w:lineRule="atLeast"/>
        <w:ind w:left="0" w:firstLine="480" w:firstLineChars="200"/>
        <w:rPr>
          <w:rFonts w:hAnsi="宋体" w:cs="Arial"/>
          <w:szCs w:val="24"/>
        </w:rPr>
      </w:pPr>
      <w:r>
        <w:rPr>
          <w:rFonts w:hAnsi="宋体" w:cs="Arial"/>
          <w:szCs w:val="24"/>
        </w:rPr>
        <w:t>12.3若基金管理人或基金托管人由于自身原因无法妥善保管基金份额持有人名册，应按有关法规规定各自承担相应的责任。</w:t>
      </w:r>
    </w:p>
    <w:p w14:paraId="063B28F8">
      <w:pPr>
        <w:pStyle w:val="2"/>
        <w:spacing w:line="520" w:lineRule="atLeast"/>
        <w:ind w:firstLine="482" w:firstLineChars="200"/>
        <w:rPr>
          <w:rFonts w:cs="Arial"/>
          <w:bCs/>
          <w:color w:val="auto"/>
          <w:szCs w:val="24"/>
        </w:rPr>
      </w:pPr>
      <w:bookmarkStart w:id="42" w:name="_Toc296551349"/>
      <w:bookmarkStart w:id="43" w:name="_Toc238554483"/>
      <w:r>
        <w:rPr>
          <w:rFonts w:cs="Arial"/>
          <w:bCs/>
          <w:color w:val="auto"/>
          <w:szCs w:val="24"/>
        </w:rPr>
        <w:t>第十三条 基金有关文件和档案的保存</w:t>
      </w:r>
      <w:bookmarkEnd w:id="42"/>
      <w:bookmarkEnd w:id="43"/>
    </w:p>
    <w:p w14:paraId="256E9DFF">
      <w:pPr>
        <w:pStyle w:val="11"/>
        <w:spacing w:before="0" w:after="0" w:line="520" w:lineRule="atLeast"/>
        <w:ind w:left="0" w:firstLine="480" w:firstLineChars="200"/>
        <w:rPr>
          <w:rFonts w:hAnsi="宋体" w:cs="Arial"/>
          <w:szCs w:val="24"/>
        </w:rPr>
      </w:pPr>
      <w:r>
        <w:rPr>
          <w:rFonts w:hAnsi="宋体" w:cs="Arial"/>
          <w:szCs w:val="24"/>
        </w:rPr>
        <w:t>13.1基金管理人、基金托管人按各自职责完整保存原始凭证、记账凭证、基金账册、交易记录和重要合同等，其中基金托管人的保存期限不少于20年，对相关信息负有保密义务，但本协议另有约定或根据有关法律法规规定或有权机关要求披露的除外。其中，基金管理人应保存基金财产管理业务活动的记录、账册、报表和其他相关资料，基金托管人应保存基金托管业务活动的记录、账册、报表和其他相关资料。</w:t>
      </w:r>
    </w:p>
    <w:p w14:paraId="7640CCB6">
      <w:pPr>
        <w:pStyle w:val="11"/>
        <w:spacing w:before="0" w:after="0" w:line="520" w:lineRule="atLeast"/>
        <w:ind w:left="0" w:firstLine="480" w:firstLineChars="200"/>
        <w:rPr>
          <w:rFonts w:hAnsi="宋体" w:cs="Arial"/>
          <w:szCs w:val="24"/>
        </w:rPr>
      </w:pPr>
      <w:r>
        <w:rPr>
          <w:rFonts w:hAnsi="宋体" w:cs="Arial"/>
          <w:szCs w:val="24"/>
        </w:rPr>
        <w:t>13.2基金管理人签署重大合同文本后，应及时将合同文本正本送达基金托管人处。基金管理人应及时将与本基金账务处理、资金划拨等有关的合同、协议传真给基金托管人。</w:t>
      </w:r>
    </w:p>
    <w:p w14:paraId="1B2E70E8">
      <w:pPr>
        <w:pStyle w:val="11"/>
        <w:spacing w:before="0" w:after="0" w:line="520" w:lineRule="atLeast"/>
        <w:ind w:left="0" w:firstLine="480" w:firstLineChars="200"/>
        <w:rPr>
          <w:rFonts w:hAnsi="宋体" w:cs="Arial"/>
          <w:szCs w:val="24"/>
        </w:rPr>
      </w:pPr>
      <w:r>
        <w:rPr>
          <w:rFonts w:hAnsi="宋体" w:cs="Arial"/>
          <w:szCs w:val="24"/>
        </w:rPr>
        <w:t>13.3基金管理人或基金托管人变更后，未变更的一方有义务协助接任人接</w:t>
      </w:r>
      <w:r>
        <w:rPr>
          <w:rFonts w:hint="eastAsia" w:hAnsi="宋体" w:cs="Arial"/>
          <w:szCs w:val="24"/>
        </w:rPr>
        <w:t>收</w:t>
      </w:r>
      <w:r>
        <w:rPr>
          <w:rFonts w:hAnsi="宋体" w:cs="Arial"/>
          <w:szCs w:val="24"/>
        </w:rPr>
        <w:t>基金的有关文件。</w:t>
      </w:r>
    </w:p>
    <w:p w14:paraId="2238453D">
      <w:pPr>
        <w:pStyle w:val="2"/>
        <w:spacing w:line="520" w:lineRule="atLeast"/>
        <w:ind w:firstLine="482" w:firstLineChars="200"/>
        <w:rPr>
          <w:rFonts w:cs="Arial"/>
          <w:bCs/>
          <w:color w:val="auto"/>
          <w:szCs w:val="24"/>
        </w:rPr>
      </w:pPr>
      <w:bookmarkStart w:id="44" w:name="_Toc296551350"/>
      <w:bookmarkStart w:id="45" w:name="_Toc238554484"/>
      <w:r>
        <w:rPr>
          <w:rFonts w:cs="Arial"/>
          <w:bCs/>
          <w:color w:val="auto"/>
          <w:szCs w:val="24"/>
        </w:rPr>
        <w:t>第十四条 基金管理人和基金托管人的更换</w:t>
      </w:r>
      <w:bookmarkEnd w:id="44"/>
      <w:bookmarkEnd w:id="45"/>
    </w:p>
    <w:p w14:paraId="0E7D8E25">
      <w:pPr>
        <w:pStyle w:val="11"/>
        <w:spacing w:before="0" w:after="0" w:line="520" w:lineRule="atLeast"/>
        <w:ind w:left="0" w:firstLine="480" w:firstLineChars="200"/>
        <w:rPr>
          <w:rFonts w:hAnsi="宋体" w:cs="Arial"/>
          <w:szCs w:val="24"/>
        </w:rPr>
      </w:pPr>
      <w:r>
        <w:rPr>
          <w:rFonts w:hAnsi="宋体" w:cs="Arial"/>
          <w:szCs w:val="24"/>
        </w:rPr>
        <w:t>14.1基金管理人的更换</w:t>
      </w:r>
    </w:p>
    <w:p w14:paraId="259B293F">
      <w:pPr>
        <w:pStyle w:val="11"/>
        <w:spacing w:before="0" w:after="0" w:line="520" w:lineRule="atLeast"/>
        <w:ind w:left="0" w:firstLine="480" w:firstLineChars="200"/>
        <w:rPr>
          <w:rFonts w:hAnsi="宋体" w:cs="Arial"/>
          <w:szCs w:val="24"/>
        </w:rPr>
      </w:pPr>
      <w:r>
        <w:rPr>
          <w:rFonts w:hAnsi="宋体" w:cs="Arial"/>
          <w:szCs w:val="24"/>
        </w:rPr>
        <w:t>14.1.1基金管理人的更换条件</w:t>
      </w:r>
    </w:p>
    <w:p w14:paraId="0B06ADDD">
      <w:pPr>
        <w:pStyle w:val="11"/>
        <w:spacing w:before="0" w:after="0" w:line="520" w:lineRule="atLeast"/>
        <w:ind w:left="0" w:firstLine="480" w:firstLineChars="200"/>
        <w:rPr>
          <w:rFonts w:hAnsi="宋体" w:cs="Arial"/>
          <w:szCs w:val="24"/>
        </w:rPr>
      </w:pPr>
      <w:r>
        <w:rPr>
          <w:rFonts w:hAnsi="宋体" w:cs="Arial"/>
          <w:szCs w:val="24"/>
        </w:rPr>
        <w:t>有下列情形之一的，基金管理人职责终止：</w:t>
      </w:r>
    </w:p>
    <w:p w14:paraId="5E2F0693">
      <w:pPr>
        <w:pStyle w:val="11"/>
        <w:spacing w:before="0" w:after="0" w:line="520" w:lineRule="atLeast"/>
        <w:ind w:left="0" w:firstLine="480" w:firstLineChars="200"/>
        <w:rPr>
          <w:rFonts w:hAnsi="宋体" w:cs="Arial"/>
          <w:szCs w:val="24"/>
        </w:rPr>
      </w:pPr>
      <w:r>
        <w:rPr>
          <w:rFonts w:hAnsi="宋体" w:cs="Arial"/>
          <w:szCs w:val="24"/>
        </w:rPr>
        <w:t>（1）基金管理人被依法取消基金管理资格；</w:t>
      </w:r>
    </w:p>
    <w:p w14:paraId="5C99B4D3">
      <w:pPr>
        <w:pStyle w:val="11"/>
        <w:spacing w:before="0" w:after="0" w:line="520" w:lineRule="atLeast"/>
        <w:ind w:left="0" w:firstLine="480" w:firstLineChars="200"/>
        <w:rPr>
          <w:rFonts w:hAnsi="宋体" w:cs="Arial"/>
          <w:szCs w:val="24"/>
        </w:rPr>
      </w:pPr>
      <w:r>
        <w:rPr>
          <w:rFonts w:hAnsi="宋体" w:cs="Arial"/>
          <w:szCs w:val="24"/>
        </w:rPr>
        <w:t>（2）基金管理人依法解散、被依法撤销或者被依法宣告破产；</w:t>
      </w:r>
    </w:p>
    <w:p w14:paraId="37A96FD1">
      <w:pPr>
        <w:pStyle w:val="11"/>
        <w:spacing w:before="0" w:after="0" w:line="520" w:lineRule="atLeast"/>
        <w:ind w:left="0" w:firstLine="480" w:firstLineChars="200"/>
        <w:rPr>
          <w:rFonts w:hAnsi="宋体" w:cs="Arial"/>
          <w:szCs w:val="24"/>
        </w:rPr>
      </w:pPr>
      <w:r>
        <w:rPr>
          <w:rFonts w:hAnsi="宋体" w:cs="Arial"/>
          <w:szCs w:val="24"/>
        </w:rPr>
        <w:t>（3）基金管理人被基金份额持有人大会解任；</w:t>
      </w:r>
    </w:p>
    <w:p w14:paraId="35C495A5">
      <w:pPr>
        <w:pStyle w:val="11"/>
        <w:spacing w:before="0" w:after="0" w:line="520" w:lineRule="atLeast"/>
        <w:ind w:left="0" w:firstLine="480" w:firstLineChars="200"/>
        <w:rPr>
          <w:rFonts w:hAnsi="宋体" w:cs="Arial"/>
          <w:szCs w:val="24"/>
        </w:rPr>
      </w:pPr>
      <w:r>
        <w:rPr>
          <w:rFonts w:hAnsi="宋体" w:cs="Arial"/>
          <w:szCs w:val="24"/>
        </w:rPr>
        <w:t>（4）法律法规</w:t>
      </w:r>
      <w:r>
        <w:rPr>
          <w:rFonts w:hAnsi="宋体" w:cs="Arial"/>
          <w:bCs/>
        </w:rPr>
        <w:t>及中国证监会规定的</w:t>
      </w:r>
      <w:r>
        <w:rPr>
          <w:rFonts w:hAnsi="宋体" w:cs="Arial"/>
          <w:szCs w:val="24"/>
        </w:rPr>
        <w:t>和基金合同规定的其他情形。</w:t>
      </w:r>
    </w:p>
    <w:p w14:paraId="6D5E21EA">
      <w:pPr>
        <w:pStyle w:val="11"/>
        <w:spacing w:before="0" w:after="0" w:line="520" w:lineRule="atLeast"/>
        <w:ind w:left="0" w:firstLine="480" w:firstLineChars="200"/>
        <w:rPr>
          <w:rFonts w:hAnsi="宋体" w:cs="Arial"/>
          <w:szCs w:val="24"/>
        </w:rPr>
      </w:pPr>
      <w:r>
        <w:rPr>
          <w:rFonts w:hAnsi="宋体" w:cs="Arial"/>
          <w:szCs w:val="24"/>
        </w:rPr>
        <w:t>14.1.2基金管理人的更换程序</w:t>
      </w:r>
    </w:p>
    <w:p w14:paraId="05EBBFAD">
      <w:pPr>
        <w:pStyle w:val="11"/>
        <w:spacing w:before="0" w:after="0" w:line="520" w:lineRule="atLeast"/>
        <w:ind w:left="0" w:firstLine="480" w:firstLineChars="200"/>
        <w:rPr>
          <w:rFonts w:hAnsi="宋体" w:cs="Arial"/>
          <w:szCs w:val="24"/>
        </w:rPr>
      </w:pPr>
      <w:r>
        <w:rPr>
          <w:rFonts w:hAnsi="宋体" w:cs="Arial"/>
          <w:szCs w:val="24"/>
        </w:rPr>
        <w:t>更换基金管理人必须依照如下程序进行：</w:t>
      </w:r>
    </w:p>
    <w:p w14:paraId="4B1F305B">
      <w:pPr>
        <w:pStyle w:val="11"/>
        <w:spacing w:before="0" w:after="0" w:line="520" w:lineRule="atLeast"/>
        <w:ind w:left="0" w:firstLine="480" w:firstLineChars="200"/>
        <w:rPr>
          <w:rFonts w:hAnsi="宋体" w:cs="Arial"/>
          <w:szCs w:val="24"/>
        </w:rPr>
      </w:pPr>
      <w:r>
        <w:rPr>
          <w:rFonts w:hAnsi="宋体" w:cs="Arial"/>
          <w:szCs w:val="24"/>
        </w:rPr>
        <w:t>（1）提名：</w:t>
      </w:r>
      <w:r>
        <w:rPr>
          <w:bCs/>
        </w:rPr>
        <w:t>新任基金管理人由基金托管人或由单独或合计持有10%以上（含10%）基金份额的基金份额持有人提名</w:t>
      </w:r>
      <w:r>
        <w:rPr>
          <w:rFonts w:hint="eastAsia" w:hAnsi="宋体" w:cs="Arial"/>
          <w:szCs w:val="24"/>
        </w:rPr>
        <w:t>；</w:t>
      </w:r>
    </w:p>
    <w:p w14:paraId="3879A89E">
      <w:pPr>
        <w:pStyle w:val="11"/>
        <w:spacing w:before="0" w:after="0" w:line="520" w:lineRule="atLeast"/>
        <w:ind w:left="0" w:firstLine="480" w:firstLineChars="200"/>
        <w:rPr>
          <w:rFonts w:hAnsi="宋体" w:cs="Arial"/>
          <w:szCs w:val="24"/>
        </w:rPr>
      </w:pPr>
      <w:r>
        <w:rPr>
          <w:rFonts w:hAnsi="宋体" w:cs="Arial"/>
          <w:szCs w:val="24"/>
        </w:rPr>
        <w:t>（2）决议：基金份额持有人大会在基金管理人职责终止后6个月内对被提名的基金管理人形成决议，</w:t>
      </w:r>
      <w:r>
        <w:rPr>
          <w:rFonts w:hAnsi="宋体" w:cs="Arial"/>
          <w:bCs/>
        </w:rPr>
        <w:t>该决议需经参加大会的基金份额持有人所持表决权的三分之二以上（含三分之二）表决通过，决议自表决通过之日起生效</w:t>
      </w:r>
      <w:r>
        <w:rPr>
          <w:rFonts w:hAnsi="宋体" w:cs="Arial"/>
          <w:szCs w:val="24"/>
        </w:rPr>
        <w:t>；</w:t>
      </w:r>
    </w:p>
    <w:p w14:paraId="0F49A3EA">
      <w:pPr>
        <w:pStyle w:val="11"/>
        <w:spacing w:before="0" w:after="0" w:line="520" w:lineRule="atLeast"/>
        <w:ind w:left="0" w:firstLine="480" w:firstLineChars="200"/>
        <w:rPr>
          <w:rFonts w:hAnsi="宋体" w:cs="Arial"/>
          <w:szCs w:val="24"/>
        </w:rPr>
      </w:pPr>
      <w:r>
        <w:rPr>
          <w:rFonts w:hAnsi="宋体" w:cs="Arial"/>
          <w:szCs w:val="24"/>
        </w:rPr>
        <w:t>（3）临时基金管理人：</w:t>
      </w:r>
      <w:r>
        <w:rPr>
          <w:bCs/>
        </w:rPr>
        <w:t>新任基金管理人产生之前，由中国证监会指定临时基金管理人</w:t>
      </w:r>
      <w:r>
        <w:rPr>
          <w:rFonts w:hint="eastAsia" w:hAnsi="宋体" w:cs="Arial"/>
          <w:szCs w:val="24"/>
        </w:rPr>
        <w:t>；</w:t>
      </w:r>
    </w:p>
    <w:p w14:paraId="047133A5">
      <w:pPr>
        <w:pStyle w:val="11"/>
        <w:spacing w:before="0" w:after="0" w:line="520" w:lineRule="atLeast"/>
        <w:ind w:left="0" w:firstLine="480" w:firstLineChars="200"/>
        <w:rPr>
          <w:rFonts w:hAnsi="宋体" w:cs="Arial"/>
          <w:szCs w:val="24"/>
        </w:rPr>
      </w:pPr>
      <w:r>
        <w:rPr>
          <w:rFonts w:hAnsi="宋体" w:cs="Arial"/>
          <w:szCs w:val="24"/>
        </w:rPr>
        <w:t>（4）备案：基金份额持有人大会更换基金管理人的决议须报中国证监会备案；</w:t>
      </w:r>
    </w:p>
    <w:p w14:paraId="1A89F020">
      <w:pPr>
        <w:pStyle w:val="11"/>
        <w:spacing w:before="0" w:after="0" w:line="520" w:lineRule="atLeast"/>
        <w:ind w:left="0" w:firstLine="480" w:firstLineChars="200"/>
        <w:rPr>
          <w:rFonts w:hAnsi="宋体" w:cs="Arial"/>
          <w:szCs w:val="24"/>
        </w:rPr>
      </w:pPr>
      <w:r>
        <w:rPr>
          <w:rFonts w:hAnsi="宋体" w:cs="Arial"/>
          <w:szCs w:val="24"/>
        </w:rPr>
        <w:t>（5）公告：基金管理人更换后，由基金托管人在</w:t>
      </w:r>
      <w:r>
        <w:rPr>
          <w:rFonts w:hAnsi="宋体" w:cs="Arial"/>
          <w:bCs/>
        </w:rPr>
        <w:t>更换基金管理人的基金份额持有人大会决议生效后按照《信息披露办法》有关规定在规定媒介公告</w:t>
      </w:r>
      <w:r>
        <w:rPr>
          <w:rFonts w:hAnsi="宋体" w:cs="Arial"/>
          <w:szCs w:val="24"/>
        </w:rPr>
        <w:t>；</w:t>
      </w:r>
    </w:p>
    <w:p w14:paraId="6484F0D2">
      <w:pPr>
        <w:pStyle w:val="11"/>
        <w:spacing w:before="0" w:after="0" w:line="520" w:lineRule="atLeast"/>
        <w:ind w:left="0" w:firstLine="480" w:firstLineChars="200"/>
        <w:rPr>
          <w:rFonts w:hAnsi="宋体" w:cs="Arial"/>
          <w:szCs w:val="24"/>
        </w:rPr>
      </w:pPr>
      <w:r>
        <w:rPr>
          <w:rFonts w:hAnsi="宋体" w:cs="Arial"/>
          <w:szCs w:val="24"/>
        </w:rPr>
        <w:t>（6）</w:t>
      </w:r>
      <w:r>
        <w:rPr>
          <w:rFonts w:hint="eastAsia" w:hAnsi="宋体" w:cs="Arial"/>
          <w:szCs w:val="24"/>
        </w:rPr>
        <w:t>交接：原任基金管理人职责终止的，原任基金管理人应妥善保管基金管理业务资料，及时向临时基金管理人或新任基金管理人办理基金管理业务的移交手续，临时基金管理人或新任基金管理人应及时接收。临时基金管理人或新任基金管理人应与基金托管人核对基金资产总值和净值。</w:t>
      </w:r>
      <w:bookmarkStart w:id="46" w:name="_Hlk236414159"/>
      <w:r>
        <w:rPr>
          <w:rFonts w:hint="eastAsia" w:hAnsi="宋体" w:cs="Arial"/>
          <w:szCs w:val="24"/>
        </w:rPr>
        <w:t>原任基金管理人、临时基金管理人、新任基金管理人应对各自履职行为依法承担责任；</w:t>
      </w:r>
      <w:bookmarkEnd w:id="46"/>
    </w:p>
    <w:p w14:paraId="23BF8908">
      <w:pPr>
        <w:pStyle w:val="11"/>
        <w:spacing w:before="0" w:after="0" w:line="520" w:lineRule="atLeast"/>
        <w:ind w:left="0" w:firstLine="480" w:firstLineChars="200"/>
        <w:rPr>
          <w:rFonts w:hAnsi="宋体" w:cs="Arial"/>
          <w:szCs w:val="24"/>
        </w:rPr>
      </w:pPr>
      <w:r>
        <w:rPr>
          <w:rFonts w:hAnsi="宋体" w:cs="Arial"/>
          <w:szCs w:val="24"/>
        </w:rPr>
        <w:t>（7）审计：</w:t>
      </w:r>
      <w:r>
        <w:rPr>
          <w:rFonts w:hint="eastAsia"/>
          <w:bCs/>
          <w:color w:val="000000"/>
        </w:rPr>
        <w:t>原任</w:t>
      </w:r>
      <w:r>
        <w:rPr>
          <w:bCs/>
        </w:rPr>
        <w:t>基金管理人职责终止的，应当按照法律法规规定聘请会计师事务所对基金财产进行审计，并将审计结果予以公告，同时报中国证监会备案，审计费由基金财产承担</w:t>
      </w:r>
      <w:r>
        <w:rPr>
          <w:rFonts w:hAnsi="宋体" w:cs="Arial"/>
          <w:szCs w:val="24"/>
        </w:rPr>
        <w:t>；</w:t>
      </w:r>
    </w:p>
    <w:p w14:paraId="61552538">
      <w:pPr>
        <w:pStyle w:val="11"/>
        <w:spacing w:before="0" w:after="0" w:line="520" w:lineRule="atLeast"/>
        <w:ind w:left="0" w:firstLine="480" w:firstLineChars="200"/>
        <w:rPr>
          <w:rFonts w:hAnsi="宋体" w:cs="Arial"/>
          <w:szCs w:val="24"/>
        </w:rPr>
      </w:pPr>
      <w:r>
        <w:rPr>
          <w:rFonts w:hAnsi="宋体" w:cs="Arial"/>
          <w:szCs w:val="24"/>
        </w:rPr>
        <w:t>（8）基金名称变更：基金管理人更换后，如果原任或新任基金管理人要求，应按其要求替换或删除基金名称中与原基金管理人有关的名称字样。</w:t>
      </w:r>
    </w:p>
    <w:p w14:paraId="7D88C38F">
      <w:pPr>
        <w:pStyle w:val="11"/>
        <w:spacing w:before="0" w:after="0" w:line="520" w:lineRule="atLeast"/>
        <w:ind w:left="0" w:firstLine="480" w:firstLineChars="200"/>
        <w:rPr>
          <w:rFonts w:hAnsi="宋体" w:cs="Arial"/>
          <w:szCs w:val="24"/>
        </w:rPr>
      </w:pPr>
      <w:r>
        <w:rPr>
          <w:rFonts w:hAnsi="宋体" w:cs="Arial"/>
          <w:szCs w:val="24"/>
        </w:rPr>
        <w:t>14.2基金托管人的更换</w:t>
      </w:r>
    </w:p>
    <w:p w14:paraId="7576AEEE">
      <w:pPr>
        <w:pStyle w:val="11"/>
        <w:spacing w:before="0" w:after="0" w:line="520" w:lineRule="atLeast"/>
        <w:ind w:left="0" w:firstLine="480" w:firstLineChars="200"/>
        <w:rPr>
          <w:rFonts w:hAnsi="宋体" w:cs="Arial"/>
          <w:szCs w:val="24"/>
        </w:rPr>
      </w:pPr>
      <w:r>
        <w:rPr>
          <w:rFonts w:hAnsi="宋体" w:cs="Arial"/>
          <w:szCs w:val="24"/>
        </w:rPr>
        <w:t>14.2.1基金托管人的更换条件</w:t>
      </w:r>
    </w:p>
    <w:p w14:paraId="3F979A3A">
      <w:pPr>
        <w:pStyle w:val="11"/>
        <w:spacing w:before="0" w:after="0" w:line="520" w:lineRule="atLeast"/>
        <w:ind w:left="0" w:firstLine="480" w:firstLineChars="200"/>
        <w:rPr>
          <w:rFonts w:hAnsi="宋体" w:cs="Arial"/>
          <w:szCs w:val="24"/>
        </w:rPr>
      </w:pPr>
      <w:r>
        <w:rPr>
          <w:rFonts w:hAnsi="宋体" w:cs="Arial"/>
          <w:szCs w:val="24"/>
        </w:rPr>
        <w:t>有下列情形之一的，基金托管人职责终止：</w:t>
      </w:r>
    </w:p>
    <w:p w14:paraId="7EEC236E">
      <w:pPr>
        <w:pStyle w:val="11"/>
        <w:spacing w:before="0" w:after="0" w:line="520" w:lineRule="atLeast"/>
        <w:ind w:left="0" w:firstLine="480" w:firstLineChars="200"/>
        <w:rPr>
          <w:rFonts w:hAnsi="宋体" w:cs="Arial"/>
          <w:szCs w:val="24"/>
        </w:rPr>
      </w:pPr>
      <w:r>
        <w:rPr>
          <w:rFonts w:hAnsi="宋体" w:cs="Arial"/>
          <w:szCs w:val="24"/>
        </w:rPr>
        <w:t>（1）基金托管人被依法取消基金托管资格；</w:t>
      </w:r>
    </w:p>
    <w:p w14:paraId="697DB4C3">
      <w:pPr>
        <w:pStyle w:val="11"/>
        <w:spacing w:before="0" w:after="0" w:line="520" w:lineRule="atLeast"/>
        <w:ind w:left="0" w:firstLine="480" w:firstLineChars="200"/>
        <w:rPr>
          <w:rFonts w:hAnsi="宋体" w:cs="Arial"/>
          <w:szCs w:val="24"/>
        </w:rPr>
      </w:pPr>
      <w:r>
        <w:rPr>
          <w:rFonts w:hAnsi="宋体" w:cs="Arial"/>
          <w:szCs w:val="24"/>
        </w:rPr>
        <w:t>（2）基金托管人依法解散、被依法撤销或者被依法宣布破产；</w:t>
      </w:r>
    </w:p>
    <w:p w14:paraId="46CD1160">
      <w:pPr>
        <w:pStyle w:val="11"/>
        <w:spacing w:before="0" w:after="0" w:line="520" w:lineRule="atLeast"/>
        <w:ind w:left="0" w:firstLine="480" w:firstLineChars="200"/>
        <w:rPr>
          <w:rFonts w:hAnsi="宋体" w:cs="Arial"/>
          <w:szCs w:val="24"/>
        </w:rPr>
      </w:pPr>
      <w:r>
        <w:rPr>
          <w:rFonts w:hAnsi="宋体" w:cs="Arial"/>
          <w:szCs w:val="24"/>
        </w:rPr>
        <w:t>（3）基金托管人被基金份额持有人大会解任；</w:t>
      </w:r>
    </w:p>
    <w:p w14:paraId="2BFCF8EB">
      <w:pPr>
        <w:pStyle w:val="11"/>
        <w:spacing w:before="0" w:after="0" w:line="520" w:lineRule="atLeast"/>
        <w:ind w:left="0" w:firstLine="480" w:firstLineChars="200"/>
        <w:rPr>
          <w:rFonts w:hAnsi="宋体" w:cs="Arial"/>
          <w:szCs w:val="24"/>
        </w:rPr>
      </w:pPr>
      <w:r>
        <w:rPr>
          <w:rFonts w:hAnsi="宋体" w:cs="Arial"/>
          <w:szCs w:val="24"/>
        </w:rPr>
        <w:t>（4）法律法规</w:t>
      </w:r>
      <w:r>
        <w:rPr>
          <w:rFonts w:hAnsi="宋体" w:cs="Arial"/>
          <w:bCs/>
        </w:rPr>
        <w:t>及中国证监会规定的</w:t>
      </w:r>
      <w:r>
        <w:rPr>
          <w:rFonts w:hAnsi="宋体" w:cs="Arial"/>
          <w:szCs w:val="24"/>
        </w:rPr>
        <w:t>和基金合同规定的其他情形。</w:t>
      </w:r>
    </w:p>
    <w:p w14:paraId="005AA142">
      <w:pPr>
        <w:pStyle w:val="11"/>
        <w:spacing w:before="0" w:after="0" w:line="520" w:lineRule="atLeast"/>
        <w:ind w:left="0" w:firstLine="480" w:firstLineChars="200"/>
        <w:rPr>
          <w:rFonts w:hAnsi="宋体" w:cs="Arial"/>
          <w:szCs w:val="24"/>
        </w:rPr>
      </w:pPr>
      <w:r>
        <w:rPr>
          <w:rFonts w:hAnsi="宋体" w:cs="Arial"/>
          <w:szCs w:val="24"/>
        </w:rPr>
        <w:t>14.2.2基金托管人的更换程序</w:t>
      </w:r>
    </w:p>
    <w:p w14:paraId="710E3DED">
      <w:pPr>
        <w:pStyle w:val="11"/>
        <w:spacing w:before="0" w:after="0" w:line="520" w:lineRule="atLeast"/>
        <w:ind w:left="0" w:firstLine="480" w:firstLineChars="200"/>
        <w:rPr>
          <w:rFonts w:hAnsi="宋体" w:cs="Arial"/>
          <w:szCs w:val="24"/>
        </w:rPr>
      </w:pPr>
      <w:r>
        <w:rPr>
          <w:rFonts w:hAnsi="宋体" w:cs="Arial"/>
          <w:szCs w:val="24"/>
        </w:rPr>
        <w:t>（1）提名：新任基金托管人由基金管理人或由单独或合计持有10%以上（含10%）基金份额的基金份额持有人提名；</w:t>
      </w:r>
    </w:p>
    <w:p w14:paraId="078B972C">
      <w:pPr>
        <w:pStyle w:val="11"/>
        <w:spacing w:before="0" w:after="0" w:line="520" w:lineRule="atLeast"/>
        <w:ind w:left="0" w:firstLine="480" w:firstLineChars="200"/>
        <w:rPr>
          <w:rFonts w:hAnsi="宋体" w:cs="Arial"/>
          <w:szCs w:val="24"/>
        </w:rPr>
      </w:pPr>
      <w:r>
        <w:rPr>
          <w:rFonts w:hAnsi="宋体" w:cs="Arial"/>
          <w:szCs w:val="24"/>
        </w:rPr>
        <w:t>（2）决议：基金份额持有人大会在基金托管人职责终止后6个月内对被提名的基金托管人形成决议，该决议需经参加大会的基金份额持有人所持表决权的</w:t>
      </w:r>
      <w:r>
        <w:rPr>
          <w:rFonts w:hAnsi="宋体" w:cs="Arial"/>
          <w:bCs/>
          <w:szCs w:val="24"/>
        </w:rPr>
        <w:t>三分之二</w:t>
      </w:r>
      <w:r>
        <w:rPr>
          <w:rFonts w:hAnsi="宋体" w:cs="Arial"/>
          <w:szCs w:val="24"/>
        </w:rPr>
        <w:t>以上（含</w:t>
      </w:r>
      <w:r>
        <w:rPr>
          <w:rFonts w:hAnsi="宋体" w:cs="Arial"/>
          <w:bCs/>
          <w:szCs w:val="24"/>
        </w:rPr>
        <w:t>三分之二</w:t>
      </w:r>
      <w:r>
        <w:rPr>
          <w:rFonts w:hAnsi="宋体" w:cs="Arial"/>
          <w:szCs w:val="24"/>
        </w:rPr>
        <w:t>）表决通过，决议自表决通过之日起生效；</w:t>
      </w:r>
    </w:p>
    <w:p w14:paraId="3B687D0A">
      <w:pPr>
        <w:pStyle w:val="11"/>
        <w:spacing w:before="0" w:after="0" w:line="520" w:lineRule="atLeast"/>
        <w:ind w:left="0" w:firstLine="480" w:firstLineChars="200"/>
        <w:rPr>
          <w:rFonts w:hAnsi="宋体" w:cs="Arial"/>
          <w:szCs w:val="24"/>
        </w:rPr>
      </w:pPr>
      <w:r>
        <w:rPr>
          <w:rFonts w:hAnsi="宋体" w:cs="Arial"/>
          <w:szCs w:val="24"/>
        </w:rPr>
        <w:t>（3）临时基金托管人：新任基金托管人产生之前，由中国证监会指定临时基金托管人；</w:t>
      </w:r>
    </w:p>
    <w:p w14:paraId="3E5BCDA1">
      <w:pPr>
        <w:pStyle w:val="11"/>
        <w:spacing w:before="0" w:after="0" w:line="520" w:lineRule="atLeast"/>
        <w:ind w:left="0" w:firstLine="480" w:firstLineChars="200"/>
        <w:rPr>
          <w:rFonts w:hAnsi="宋体" w:cs="Arial"/>
          <w:szCs w:val="24"/>
        </w:rPr>
      </w:pPr>
      <w:r>
        <w:rPr>
          <w:rFonts w:hAnsi="宋体" w:cs="Arial"/>
          <w:szCs w:val="24"/>
        </w:rPr>
        <w:t>（4）</w:t>
      </w:r>
      <w:r>
        <w:rPr>
          <w:rFonts w:hAnsi="宋体" w:cs="Arial"/>
          <w:bCs/>
        </w:rPr>
        <w:t>备案：基金份额持有人大会更换基金托管人的决议须报中国证监会备案；</w:t>
      </w:r>
    </w:p>
    <w:p w14:paraId="2C01CDB0">
      <w:pPr>
        <w:pStyle w:val="11"/>
        <w:spacing w:before="0" w:after="0" w:line="520" w:lineRule="atLeast"/>
        <w:ind w:left="0" w:firstLine="480" w:firstLineChars="200"/>
        <w:rPr>
          <w:rFonts w:hAnsi="宋体" w:cs="Arial"/>
          <w:szCs w:val="24"/>
        </w:rPr>
      </w:pPr>
      <w:r>
        <w:rPr>
          <w:rFonts w:hAnsi="宋体" w:cs="Arial"/>
          <w:szCs w:val="24"/>
        </w:rPr>
        <w:t>（5）公告：基金托管人更换后，由基金管理人在</w:t>
      </w:r>
      <w:r>
        <w:rPr>
          <w:rFonts w:hAnsi="宋体" w:cs="Arial"/>
          <w:bCs/>
        </w:rPr>
        <w:t>更换基金托管人的基金份额持有人大会决议生效后按照《信息披露办法》有关规定在规定媒介公告</w:t>
      </w:r>
      <w:r>
        <w:rPr>
          <w:rFonts w:hAnsi="宋体" w:cs="Arial"/>
          <w:szCs w:val="24"/>
        </w:rPr>
        <w:t>；</w:t>
      </w:r>
    </w:p>
    <w:p w14:paraId="65452CEF">
      <w:pPr>
        <w:pStyle w:val="11"/>
        <w:spacing w:before="0" w:after="0" w:line="520" w:lineRule="atLeast"/>
        <w:ind w:left="0" w:firstLine="480" w:firstLineChars="200"/>
        <w:rPr>
          <w:rFonts w:hAnsi="宋体" w:cs="Arial"/>
          <w:szCs w:val="24"/>
        </w:rPr>
      </w:pPr>
      <w:r>
        <w:rPr>
          <w:rFonts w:hAnsi="宋体" w:cs="Arial"/>
          <w:szCs w:val="24"/>
        </w:rPr>
        <w:t>（6）</w:t>
      </w:r>
      <w:r>
        <w:rPr>
          <w:rFonts w:hint="eastAsia" w:hAnsi="宋体" w:cs="Arial"/>
          <w:szCs w:val="24"/>
        </w:rPr>
        <w:t>交接：原任基金托管人职责终止的，应当妥善保管基金财产和基金托管业务资料，及时向临时托管人或新任托管人办理基金财产和基金托管业务的移交手续，新任基金托管人或者临时基金托管人应当及时接收。新任基金托管人或临时基金托管人应与基金管理人核对基金资产总值和基金资产净值</w:t>
      </w:r>
      <w:bookmarkStart w:id="47" w:name="_Hlk236414257"/>
      <w:r>
        <w:rPr>
          <w:rFonts w:hint="eastAsia" w:hAnsi="宋体" w:cs="Arial"/>
          <w:szCs w:val="24"/>
        </w:rPr>
        <w:t>；原任基金托管人、临时基金托管人、新任基金托管人应对各自履职行为依法承担责任</w:t>
      </w:r>
      <w:r>
        <w:rPr>
          <w:rFonts w:hAnsi="宋体" w:cs="Arial"/>
          <w:szCs w:val="24"/>
        </w:rPr>
        <w:t>；</w:t>
      </w:r>
      <w:bookmarkEnd w:id="47"/>
    </w:p>
    <w:p w14:paraId="60459CD5">
      <w:pPr>
        <w:pStyle w:val="11"/>
        <w:spacing w:before="0" w:after="0" w:line="520" w:lineRule="atLeast"/>
        <w:ind w:left="0" w:firstLine="480" w:firstLineChars="200"/>
        <w:rPr>
          <w:rFonts w:hAnsi="宋体" w:cs="Arial"/>
          <w:szCs w:val="24"/>
        </w:rPr>
      </w:pPr>
      <w:r>
        <w:rPr>
          <w:rFonts w:hAnsi="宋体" w:cs="Arial"/>
          <w:szCs w:val="24"/>
        </w:rPr>
        <w:t>（7）审计：基金托管人职责终止的，应当按照法律法规规定聘请</w:t>
      </w:r>
      <w:r>
        <w:rPr>
          <w:rFonts w:hint="eastAsia" w:hAnsi="宋体" w:cs="Arial"/>
          <w:szCs w:val="24"/>
        </w:rPr>
        <w:t>符合《中华人民共和国证券法》规定的</w:t>
      </w:r>
      <w:r>
        <w:rPr>
          <w:rFonts w:hAnsi="宋体" w:cs="Arial"/>
          <w:szCs w:val="24"/>
        </w:rPr>
        <w:t>会计师事务所对基金财产进行审计，并将审计结果予以公告，同时报中国证监会备案。审计费由基金财产承担。</w:t>
      </w:r>
    </w:p>
    <w:p w14:paraId="6330F0D5">
      <w:pPr>
        <w:pStyle w:val="11"/>
        <w:spacing w:before="0" w:after="0" w:line="520" w:lineRule="atLeast"/>
        <w:ind w:left="0" w:firstLine="480" w:firstLineChars="200"/>
        <w:rPr>
          <w:rFonts w:hAnsi="宋体" w:cs="Arial"/>
          <w:szCs w:val="24"/>
        </w:rPr>
      </w:pPr>
      <w:r>
        <w:rPr>
          <w:rFonts w:hAnsi="宋体" w:cs="Arial"/>
          <w:szCs w:val="24"/>
        </w:rPr>
        <w:t>14.3基金管理人与基金托管人同时更换</w:t>
      </w:r>
    </w:p>
    <w:p w14:paraId="2F401309">
      <w:pPr>
        <w:pStyle w:val="11"/>
        <w:spacing w:before="0" w:after="0" w:line="520" w:lineRule="atLeast"/>
        <w:ind w:left="0" w:firstLine="480" w:firstLineChars="200"/>
        <w:rPr>
          <w:rFonts w:hAnsi="宋体" w:cs="Arial"/>
          <w:szCs w:val="24"/>
        </w:rPr>
      </w:pPr>
      <w:r>
        <w:rPr>
          <w:rFonts w:hAnsi="宋体" w:cs="Arial"/>
          <w:szCs w:val="24"/>
        </w:rPr>
        <w:t>14.3.1提名：如果基金管理人和基金托管人同时更换，由单独或合计持有基金总份额10%以上</w:t>
      </w:r>
      <w:r>
        <w:rPr>
          <w:rFonts w:hAnsi="宋体" w:cs="Arial"/>
          <w:bCs/>
        </w:rPr>
        <w:t>（含10%）</w:t>
      </w:r>
      <w:r>
        <w:rPr>
          <w:rFonts w:hAnsi="宋体" w:cs="Arial"/>
          <w:szCs w:val="24"/>
        </w:rPr>
        <w:t>的基金份额持有人提名新的基金管理人和基金托管人。</w:t>
      </w:r>
    </w:p>
    <w:p w14:paraId="1C50C9C8">
      <w:pPr>
        <w:pStyle w:val="11"/>
        <w:spacing w:before="0" w:after="0" w:line="520" w:lineRule="atLeast"/>
        <w:ind w:left="0" w:firstLine="480" w:firstLineChars="200"/>
        <w:rPr>
          <w:rFonts w:hAnsi="宋体" w:cs="Arial"/>
          <w:szCs w:val="24"/>
        </w:rPr>
      </w:pPr>
      <w:r>
        <w:rPr>
          <w:rFonts w:hAnsi="宋体" w:cs="Arial"/>
          <w:szCs w:val="24"/>
        </w:rPr>
        <w:t>14.3.2基金管理人和基金托管人的更换分别按上述程序进行。</w:t>
      </w:r>
    </w:p>
    <w:p w14:paraId="030263B7">
      <w:pPr>
        <w:pStyle w:val="11"/>
        <w:spacing w:before="0" w:after="0" w:line="520" w:lineRule="atLeast"/>
        <w:ind w:left="0" w:firstLine="480" w:firstLineChars="200"/>
        <w:rPr>
          <w:rFonts w:hAnsi="宋体" w:cs="Arial"/>
          <w:szCs w:val="24"/>
        </w:rPr>
      </w:pPr>
      <w:r>
        <w:rPr>
          <w:rFonts w:hAnsi="宋体" w:cs="Arial"/>
          <w:szCs w:val="24"/>
        </w:rPr>
        <w:t>14.3.3公告：新任基金管理人和新任基金托管人应在更换基金管理人和基金托管人的基金份额持有人大会决议生效后</w:t>
      </w:r>
      <w:r>
        <w:rPr>
          <w:rFonts w:hint="eastAsia" w:hAnsi="宋体" w:cs="Arial"/>
          <w:szCs w:val="24"/>
        </w:rPr>
        <w:t>依照《信息披露办法》的有关规定</w:t>
      </w:r>
      <w:r>
        <w:rPr>
          <w:rFonts w:hAnsi="宋体" w:cs="Arial"/>
          <w:szCs w:val="24"/>
        </w:rPr>
        <w:t>在规定媒介上联合公告。</w:t>
      </w:r>
    </w:p>
    <w:p w14:paraId="35A456AC">
      <w:pPr>
        <w:pStyle w:val="11"/>
        <w:spacing w:before="0" w:after="0" w:line="520" w:lineRule="atLeast"/>
        <w:ind w:left="0" w:firstLine="480" w:firstLineChars="200"/>
        <w:rPr>
          <w:rFonts w:hAnsi="宋体" w:cs="Arial"/>
          <w:bCs/>
        </w:rPr>
      </w:pPr>
      <w:r>
        <w:rPr>
          <w:rFonts w:hAnsi="宋体" w:cs="Arial"/>
          <w:szCs w:val="24"/>
        </w:rPr>
        <w:t>14.4</w:t>
      </w:r>
      <w:r>
        <w:rPr>
          <w:rFonts w:hint="eastAsia" w:hAnsi="宋体" w:cs="Arial"/>
          <w:szCs w:val="24"/>
        </w:rPr>
        <w:t>新任基金管理人或临时基金管理人接收基金管理业务，或新任基金托管人或临时基金托管人接收基金财产和基金托管业务前，原任基金管理人或原任基金托管人应继续履行相关职责，并保证不做出对基金份额持有人的利益造成损害的行为。原任基金管理人或原任基金托管人在继续履行相关职责期间，仍有权按照基金合同的规定收取基金管理费或基金托管费</w:t>
      </w:r>
      <w:bookmarkStart w:id="48" w:name="_Hlk234769241"/>
      <w:r>
        <w:rPr>
          <w:rFonts w:hint="eastAsia"/>
        </w:rPr>
        <w:t>以及法律法规规定或中国证监会批准的其他费用</w:t>
      </w:r>
      <w:bookmarkEnd w:id="48"/>
      <w:r>
        <w:rPr>
          <w:rFonts w:hint="eastAsia" w:hAnsi="宋体" w:cs="Arial"/>
          <w:szCs w:val="24"/>
        </w:rPr>
        <w:t>。</w:t>
      </w:r>
    </w:p>
    <w:p w14:paraId="785C3609">
      <w:pPr>
        <w:pStyle w:val="11"/>
        <w:spacing w:before="0" w:after="0" w:line="520" w:lineRule="atLeast"/>
        <w:ind w:left="0" w:firstLine="480" w:firstLineChars="200"/>
        <w:rPr>
          <w:rFonts w:hAnsi="宋体" w:cs="Arial"/>
          <w:szCs w:val="24"/>
        </w:rPr>
      </w:pPr>
      <w:r>
        <w:rPr>
          <w:rFonts w:hAnsi="宋体" w:cs="Arial"/>
          <w:bCs/>
        </w:rPr>
        <w:t>14.5本部分关于基金管理人、基金托管人更换条件和程序的约定，凡是直接引用法律法规</w:t>
      </w:r>
      <w:r>
        <w:rPr>
          <w:rFonts w:hint="eastAsia" w:hAnsi="宋体" w:cs="Arial"/>
          <w:bCs/>
        </w:rPr>
        <w:t>或监管规则</w:t>
      </w:r>
      <w:r>
        <w:rPr>
          <w:rFonts w:hAnsi="宋体" w:cs="Arial"/>
          <w:bCs/>
        </w:rPr>
        <w:t>的部分，如将来法律法规</w:t>
      </w:r>
      <w:r>
        <w:rPr>
          <w:rFonts w:hint="eastAsia" w:hAnsi="宋体" w:cs="Arial"/>
          <w:bCs/>
        </w:rPr>
        <w:t>或监管规则</w:t>
      </w:r>
      <w:r>
        <w:rPr>
          <w:rFonts w:hAnsi="宋体" w:cs="Arial"/>
          <w:bCs/>
        </w:rPr>
        <w:t>修改导致相关内容被取消或变更的，基金管理人与基金托管人协商一致并提前公告后，可直接对相应内容进行修改和调整，无需召开基金份额持有人大会审议。</w:t>
      </w:r>
      <w:bookmarkStart w:id="49" w:name="_Hlk236414437"/>
      <w:r>
        <w:rPr>
          <w:rFonts w:hint="eastAsia" w:hAnsi="宋体" w:cs="Arial"/>
          <w:bCs/>
        </w:rPr>
        <w:t>法律法规或中国证监会另有规定时，从其规定。</w:t>
      </w:r>
    </w:p>
    <w:bookmarkEnd w:id="49"/>
    <w:p w14:paraId="355F44F7">
      <w:pPr>
        <w:pStyle w:val="2"/>
        <w:snapToGrid/>
        <w:spacing w:line="520" w:lineRule="atLeast"/>
        <w:ind w:firstLine="482" w:firstLineChars="200"/>
        <w:rPr>
          <w:rFonts w:cs="Arial"/>
          <w:bCs/>
          <w:color w:val="auto"/>
          <w:szCs w:val="24"/>
        </w:rPr>
      </w:pPr>
      <w:bookmarkStart w:id="50" w:name="_Toc296551351"/>
      <w:bookmarkStart w:id="51" w:name="_Toc238554485"/>
      <w:r>
        <w:rPr>
          <w:rFonts w:cs="Arial"/>
          <w:bCs/>
          <w:color w:val="auto"/>
          <w:szCs w:val="24"/>
        </w:rPr>
        <w:t>第十五条 禁止行为</w:t>
      </w:r>
      <w:bookmarkEnd w:id="50"/>
      <w:bookmarkEnd w:id="51"/>
    </w:p>
    <w:p w14:paraId="3597CEB5">
      <w:pPr>
        <w:pStyle w:val="11"/>
        <w:spacing w:before="0" w:after="0" w:line="520" w:lineRule="atLeast"/>
        <w:ind w:left="0" w:firstLine="480" w:firstLineChars="200"/>
        <w:rPr>
          <w:rFonts w:hAnsi="宋体" w:cs="Arial"/>
          <w:szCs w:val="24"/>
        </w:rPr>
      </w:pPr>
      <w:r>
        <w:rPr>
          <w:rFonts w:hAnsi="宋体" w:cs="Arial"/>
          <w:szCs w:val="24"/>
        </w:rPr>
        <w:t>15.1基金管理人、基金托管人禁止从事的行为，包括但不限于：</w:t>
      </w:r>
    </w:p>
    <w:p w14:paraId="1B31E89C">
      <w:pPr>
        <w:pStyle w:val="11"/>
        <w:spacing w:before="0" w:after="0" w:line="520" w:lineRule="atLeast"/>
        <w:ind w:left="0" w:firstLine="480" w:firstLineChars="200"/>
        <w:rPr>
          <w:rFonts w:hAnsi="宋体" w:cs="Arial"/>
          <w:szCs w:val="24"/>
        </w:rPr>
      </w:pPr>
      <w:r>
        <w:rPr>
          <w:rFonts w:hAnsi="宋体" w:cs="Arial"/>
          <w:szCs w:val="24"/>
        </w:rPr>
        <w:t>15.1.1基金管理人、基金托管人将其固有财产或者他人财产混同于基金财产从事证券投资。</w:t>
      </w:r>
    </w:p>
    <w:p w14:paraId="409D03AA">
      <w:pPr>
        <w:pStyle w:val="11"/>
        <w:spacing w:before="0" w:after="0" w:line="520" w:lineRule="atLeast"/>
        <w:ind w:left="0" w:firstLine="480" w:firstLineChars="200"/>
        <w:rPr>
          <w:rFonts w:hAnsi="宋体" w:cs="Arial"/>
          <w:szCs w:val="24"/>
        </w:rPr>
      </w:pPr>
      <w:r>
        <w:rPr>
          <w:rFonts w:hAnsi="宋体" w:cs="Arial"/>
          <w:szCs w:val="24"/>
        </w:rPr>
        <w:t>15.1.2基金管理人不公平地对待其管理的不同基金财产，基金托管人不公平地对待其托管的不同基金财产。</w:t>
      </w:r>
    </w:p>
    <w:p w14:paraId="692125B8">
      <w:pPr>
        <w:pStyle w:val="11"/>
        <w:spacing w:before="0" w:after="0" w:line="520" w:lineRule="atLeast"/>
        <w:ind w:left="0" w:firstLine="480" w:firstLineChars="200"/>
        <w:rPr>
          <w:rFonts w:hAnsi="宋体" w:cs="Arial"/>
          <w:szCs w:val="24"/>
        </w:rPr>
      </w:pPr>
      <w:r>
        <w:rPr>
          <w:rFonts w:hAnsi="宋体" w:cs="Arial"/>
          <w:szCs w:val="24"/>
        </w:rPr>
        <w:t>15.1.3基金管理人、基金托管人利用基金财产</w:t>
      </w:r>
      <w:r>
        <w:rPr>
          <w:rFonts w:hint="eastAsia" w:hAnsi="宋体" w:cs="Arial"/>
          <w:szCs w:val="24"/>
        </w:rPr>
        <w:t>或职务之便</w:t>
      </w:r>
      <w:r>
        <w:rPr>
          <w:rFonts w:hAnsi="宋体" w:cs="Arial"/>
          <w:szCs w:val="24"/>
        </w:rPr>
        <w:t>为基金份额持有人以外的第三人牟取利益。</w:t>
      </w:r>
    </w:p>
    <w:p w14:paraId="2F875CFE">
      <w:pPr>
        <w:pStyle w:val="11"/>
        <w:spacing w:before="0" w:after="0" w:line="520" w:lineRule="atLeast"/>
        <w:ind w:left="0" w:firstLine="480" w:firstLineChars="200"/>
        <w:rPr>
          <w:rFonts w:hAnsi="宋体" w:cs="Arial"/>
          <w:szCs w:val="24"/>
        </w:rPr>
      </w:pPr>
      <w:r>
        <w:rPr>
          <w:rFonts w:hAnsi="宋体" w:cs="Arial"/>
          <w:szCs w:val="24"/>
        </w:rPr>
        <w:t>15.1.4基金管理人、基金托管人向基金份额持有人违规承诺收益或者承担损失。</w:t>
      </w:r>
    </w:p>
    <w:p w14:paraId="01CFAC27">
      <w:pPr>
        <w:pStyle w:val="11"/>
        <w:spacing w:before="0" w:after="0" w:line="520" w:lineRule="atLeast"/>
        <w:ind w:left="0" w:firstLine="480" w:firstLineChars="200"/>
        <w:rPr>
          <w:rFonts w:hAnsi="宋体" w:cs="Arial"/>
          <w:szCs w:val="24"/>
        </w:rPr>
      </w:pPr>
      <w:r>
        <w:rPr>
          <w:rFonts w:hAnsi="宋体" w:cs="Arial"/>
          <w:szCs w:val="24"/>
        </w:rPr>
        <w:t>15.1.5基金管理人、基金托管人对他人泄</w:t>
      </w:r>
      <w:r>
        <w:rPr>
          <w:rFonts w:hint="eastAsia" w:hAnsi="宋体" w:cs="Arial"/>
          <w:szCs w:val="24"/>
        </w:rPr>
        <w:t>露</w:t>
      </w:r>
      <w:r>
        <w:rPr>
          <w:rFonts w:hAnsi="宋体" w:cs="Arial"/>
          <w:szCs w:val="24"/>
        </w:rPr>
        <w:t>基金运作和管理过程中任何尚未按法律法规规定的方式公开披露的信息。</w:t>
      </w:r>
    </w:p>
    <w:p w14:paraId="6504B042">
      <w:pPr>
        <w:pStyle w:val="11"/>
        <w:spacing w:before="0" w:after="0" w:line="520" w:lineRule="atLeast"/>
        <w:ind w:left="0" w:firstLine="480" w:firstLineChars="200"/>
        <w:rPr>
          <w:rFonts w:hAnsi="宋体" w:cs="Arial"/>
          <w:szCs w:val="24"/>
        </w:rPr>
      </w:pPr>
      <w:r>
        <w:rPr>
          <w:rFonts w:hAnsi="宋体" w:cs="Arial"/>
          <w:szCs w:val="24"/>
        </w:rPr>
        <w:t>15.1.6基金管理人在没有充足资金的情况下向基金托管人发出投资指令和分红资金的划拨指令，或违规向基金托管人发出指令。</w:t>
      </w:r>
    </w:p>
    <w:p w14:paraId="0FEFFCD9">
      <w:pPr>
        <w:pStyle w:val="11"/>
        <w:spacing w:before="0" w:after="0" w:line="520" w:lineRule="atLeast"/>
        <w:ind w:left="0" w:firstLine="480" w:firstLineChars="200"/>
        <w:rPr>
          <w:rFonts w:hAnsi="宋体" w:cs="Arial"/>
          <w:szCs w:val="24"/>
        </w:rPr>
      </w:pPr>
      <w:r>
        <w:rPr>
          <w:rFonts w:hAnsi="宋体" w:cs="Arial"/>
          <w:szCs w:val="24"/>
        </w:rPr>
        <w:t>15.1.7基金管理人、基金托管人在行政上、财务上不独立，其高级管理人员和其他从业人员相互兼职。</w:t>
      </w:r>
    </w:p>
    <w:p w14:paraId="028386A9">
      <w:pPr>
        <w:pStyle w:val="11"/>
        <w:spacing w:before="0" w:after="0" w:line="520" w:lineRule="atLeast"/>
        <w:ind w:left="0" w:firstLine="480" w:firstLineChars="200"/>
        <w:rPr>
          <w:rFonts w:hAnsi="宋体" w:cs="Arial"/>
          <w:szCs w:val="24"/>
        </w:rPr>
      </w:pPr>
      <w:r>
        <w:rPr>
          <w:rFonts w:hAnsi="宋体" w:cs="Arial"/>
          <w:szCs w:val="24"/>
        </w:rPr>
        <w:t>15.1.8基金托管人私自动用或处分基金财产，根据基金管理人的合法指令、基金合同或本协议的规定进行处分的除外。</w:t>
      </w:r>
    </w:p>
    <w:p w14:paraId="3C9BDE72">
      <w:pPr>
        <w:pStyle w:val="11"/>
        <w:spacing w:before="0" w:after="0" w:line="520" w:lineRule="atLeast"/>
        <w:ind w:left="0" w:firstLine="480" w:firstLineChars="200"/>
        <w:rPr>
          <w:rFonts w:hAnsi="宋体" w:cs="Arial"/>
          <w:szCs w:val="24"/>
        </w:rPr>
      </w:pPr>
      <w:r>
        <w:rPr>
          <w:rFonts w:hAnsi="宋体" w:cs="Arial"/>
          <w:szCs w:val="24"/>
        </w:rPr>
        <w:t>15.1.9基金财产用于下列投资或者活动：</w:t>
      </w:r>
    </w:p>
    <w:p w14:paraId="106FC7E2">
      <w:pPr>
        <w:pStyle w:val="11"/>
        <w:spacing w:before="0" w:after="0" w:line="520" w:lineRule="atLeast"/>
        <w:ind w:left="0" w:firstLine="480" w:firstLineChars="200"/>
        <w:rPr>
          <w:rFonts w:hAnsi="宋体" w:cs="Arial"/>
          <w:szCs w:val="24"/>
        </w:rPr>
      </w:pPr>
      <w:r>
        <w:rPr>
          <w:rFonts w:hAnsi="宋体" w:cs="Arial"/>
          <w:szCs w:val="24"/>
        </w:rPr>
        <w:t>（1）承销证券；</w:t>
      </w:r>
    </w:p>
    <w:p w14:paraId="67C5E22F">
      <w:pPr>
        <w:pStyle w:val="11"/>
        <w:spacing w:before="0" w:after="0" w:line="520" w:lineRule="atLeast"/>
        <w:ind w:left="0" w:firstLine="480" w:firstLineChars="200"/>
        <w:rPr>
          <w:rFonts w:hAnsi="宋体" w:cs="Arial"/>
          <w:szCs w:val="24"/>
        </w:rPr>
      </w:pPr>
      <w:r>
        <w:rPr>
          <w:rFonts w:hAnsi="宋体" w:cs="Arial"/>
          <w:szCs w:val="24"/>
        </w:rPr>
        <w:t>（2）</w:t>
      </w:r>
      <w:r>
        <w:rPr>
          <w:rFonts w:hAnsi="宋体" w:cs="Arial"/>
          <w:bCs/>
        </w:rPr>
        <w:t>违反规定</w:t>
      </w:r>
      <w:r>
        <w:rPr>
          <w:rFonts w:hAnsi="宋体" w:cs="Arial"/>
          <w:szCs w:val="24"/>
        </w:rPr>
        <w:t>向他人贷款或者提供担保；</w:t>
      </w:r>
    </w:p>
    <w:p w14:paraId="31E0007A">
      <w:pPr>
        <w:pStyle w:val="11"/>
        <w:spacing w:before="0" w:after="0" w:line="520" w:lineRule="atLeast"/>
        <w:ind w:left="0" w:firstLine="480" w:firstLineChars="200"/>
        <w:rPr>
          <w:rFonts w:hAnsi="宋体" w:cs="Arial"/>
          <w:szCs w:val="24"/>
        </w:rPr>
      </w:pPr>
      <w:r>
        <w:rPr>
          <w:rFonts w:hAnsi="宋体" w:cs="Arial"/>
          <w:szCs w:val="24"/>
        </w:rPr>
        <w:t>（3）从事承担无限责任的投资；</w:t>
      </w:r>
    </w:p>
    <w:p w14:paraId="6101CE25">
      <w:pPr>
        <w:pStyle w:val="11"/>
        <w:spacing w:before="0" w:after="0" w:line="520" w:lineRule="atLeast"/>
        <w:ind w:left="0" w:firstLine="480" w:firstLineChars="200"/>
        <w:rPr>
          <w:rFonts w:hAnsi="宋体" w:cs="Arial"/>
          <w:szCs w:val="24"/>
        </w:rPr>
      </w:pPr>
      <w:r>
        <w:rPr>
          <w:rFonts w:hAnsi="宋体" w:cs="Arial"/>
          <w:szCs w:val="24"/>
        </w:rPr>
        <w:t>（4）买卖其他基金份额，但中国证监会另有规定的除外；</w:t>
      </w:r>
    </w:p>
    <w:p w14:paraId="248CF968">
      <w:pPr>
        <w:pStyle w:val="11"/>
        <w:spacing w:before="0" w:after="0" w:line="520" w:lineRule="atLeast"/>
        <w:ind w:left="0" w:firstLine="480" w:firstLineChars="200"/>
        <w:rPr>
          <w:rFonts w:hAnsi="宋体" w:cs="Arial"/>
          <w:szCs w:val="24"/>
        </w:rPr>
      </w:pPr>
      <w:r>
        <w:rPr>
          <w:rFonts w:hAnsi="宋体" w:cs="Arial"/>
          <w:szCs w:val="24"/>
        </w:rPr>
        <w:t>（5）向其基金管理人、基金托管人出资；</w:t>
      </w:r>
    </w:p>
    <w:p w14:paraId="2FC85D29">
      <w:pPr>
        <w:pStyle w:val="11"/>
        <w:spacing w:before="0" w:after="0" w:line="520" w:lineRule="atLeast"/>
        <w:ind w:left="0" w:firstLine="480" w:firstLineChars="200"/>
        <w:rPr>
          <w:rFonts w:hAnsi="宋体" w:cs="Arial"/>
          <w:szCs w:val="24"/>
        </w:rPr>
      </w:pPr>
      <w:r>
        <w:rPr>
          <w:rFonts w:hAnsi="宋体" w:cs="Arial"/>
          <w:szCs w:val="24"/>
        </w:rPr>
        <w:t>（6）从事内幕交易、操纵证券交易价格及其他不正当的证券交易活动；</w:t>
      </w:r>
    </w:p>
    <w:p w14:paraId="383214FC">
      <w:pPr>
        <w:pStyle w:val="11"/>
        <w:spacing w:before="0" w:after="0" w:line="520" w:lineRule="atLeast"/>
        <w:ind w:left="0" w:firstLine="480" w:firstLineChars="200"/>
        <w:rPr>
          <w:rFonts w:hAnsi="宋体" w:cs="Arial"/>
          <w:szCs w:val="24"/>
        </w:rPr>
      </w:pPr>
      <w:r>
        <w:rPr>
          <w:rFonts w:hAnsi="宋体" w:cs="Arial"/>
          <w:bCs/>
        </w:rPr>
        <w:t>（7）法律、行政法规和中国证监会规定禁止的其他活动</w:t>
      </w:r>
      <w:r>
        <w:rPr>
          <w:rFonts w:hAnsi="宋体" w:cs="Arial"/>
          <w:szCs w:val="24"/>
        </w:rPr>
        <w:t>。</w:t>
      </w:r>
    </w:p>
    <w:p w14:paraId="08920562">
      <w:pPr>
        <w:pStyle w:val="11"/>
        <w:spacing w:before="0" w:after="0" w:line="520" w:lineRule="atLeast"/>
        <w:ind w:left="0" w:firstLine="480" w:firstLineChars="200"/>
        <w:rPr>
          <w:rFonts w:hAnsi="宋体" w:cs="Arial"/>
          <w:szCs w:val="24"/>
        </w:rPr>
      </w:pPr>
      <w:r>
        <w:rPr>
          <w:rFonts w:hAnsi="宋体" w:cs="Arial"/>
          <w:szCs w:val="24"/>
        </w:rPr>
        <w:t>15.1.10</w:t>
      </w:r>
      <w:r>
        <w:rPr>
          <w:rFonts w:hint="eastAsia" w:hAnsi="宋体" w:cs="Arial"/>
          <w:bCs/>
          <w:szCs w:val="24"/>
        </w:rPr>
        <w:t>法律、行政法规或监管部门取消或调整上述禁止性规定的，如适用于本基金，基金管理人在履行适当程序后，则本基金不受上述相关限制或按照调整后的规定执行。</w:t>
      </w:r>
    </w:p>
    <w:p w14:paraId="63551D4C">
      <w:pPr>
        <w:pStyle w:val="2"/>
        <w:snapToGrid/>
        <w:spacing w:line="520" w:lineRule="atLeast"/>
        <w:ind w:firstLine="482" w:firstLineChars="200"/>
        <w:rPr>
          <w:rFonts w:cs="Arial"/>
          <w:bCs/>
          <w:color w:val="auto"/>
          <w:szCs w:val="24"/>
        </w:rPr>
      </w:pPr>
      <w:bookmarkStart w:id="52" w:name="_Toc296551352"/>
      <w:bookmarkStart w:id="53" w:name="_Toc238554486"/>
      <w:r>
        <w:rPr>
          <w:rFonts w:cs="Arial"/>
          <w:bCs/>
          <w:color w:val="auto"/>
          <w:szCs w:val="24"/>
        </w:rPr>
        <w:t>第十六条 本协议的变更、终止与基金财产的清算</w:t>
      </w:r>
      <w:bookmarkEnd w:id="52"/>
      <w:bookmarkEnd w:id="53"/>
    </w:p>
    <w:p w14:paraId="2AE180F4">
      <w:pPr>
        <w:pStyle w:val="11"/>
        <w:spacing w:before="0" w:after="0" w:line="520" w:lineRule="atLeast"/>
        <w:ind w:left="0" w:firstLine="480" w:firstLineChars="200"/>
        <w:rPr>
          <w:rFonts w:hAnsi="宋体" w:cs="Arial"/>
          <w:szCs w:val="24"/>
        </w:rPr>
      </w:pPr>
      <w:r>
        <w:rPr>
          <w:rFonts w:hAnsi="宋体" w:cs="Arial"/>
          <w:szCs w:val="24"/>
        </w:rPr>
        <w:t>16.1本协议的变更与终止</w:t>
      </w:r>
    </w:p>
    <w:p w14:paraId="0ADAE753">
      <w:pPr>
        <w:pStyle w:val="11"/>
        <w:spacing w:before="0" w:after="0" w:line="520" w:lineRule="atLeast"/>
        <w:ind w:left="0" w:firstLine="480" w:firstLineChars="200"/>
        <w:rPr>
          <w:rFonts w:hAnsi="宋体" w:cs="Arial"/>
          <w:szCs w:val="24"/>
        </w:rPr>
      </w:pPr>
      <w:r>
        <w:rPr>
          <w:rFonts w:hAnsi="宋体" w:cs="Arial"/>
          <w:szCs w:val="24"/>
        </w:rPr>
        <w:t>16.1.1本协议的变更程序</w:t>
      </w:r>
    </w:p>
    <w:p w14:paraId="3664466F">
      <w:pPr>
        <w:pStyle w:val="11"/>
        <w:spacing w:before="0" w:after="0" w:line="520" w:lineRule="atLeast"/>
        <w:ind w:left="0" w:firstLine="480" w:firstLineChars="200"/>
        <w:rPr>
          <w:rFonts w:hAnsi="宋体" w:cs="Arial"/>
          <w:szCs w:val="24"/>
        </w:rPr>
      </w:pPr>
      <w:r>
        <w:rPr>
          <w:rFonts w:hAnsi="宋体" w:cs="Arial"/>
          <w:szCs w:val="24"/>
        </w:rPr>
        <w:t>本协议双方当事人经协商一致，可以对协议的内容进行变更，并另行签署书面协议予以明确。变更后的托管协议，其内容不得与基金合同的规定有任何冲突。</w:t>
      </w:r>
    </w:p>
    <w:p w14:paraId="6A21A9B8">
      <w:pPr>
        <w:pStyle w:val="11"/>
        <w:spacing w:before="0" w:after="0" w:line="520" w:lineRule="atLeast"/>
        <w:ind w:left="0" w:firstLine="480" w:firstLineChars="200"/>
        <w:rPr>
          <w:rFonts w:hAnsi="宋体" w:cs="Arial"/>
          <w:szCs w:val="24"/>
        </w:rPr>
      </w:pPr>
      <w:r>
        <w:rPr>
          <w:rFonts w:hAnsi="宋体" w:cs="Arial"/>
          <w:szCs w:val="24"/>
        </w:rPr>
        <w:t>16.1.2本协议终止的情形</w:t>
      </w:r>
    </w:p>
    <w:p w14:paraId="39D8BE45">
      <w:pPr>
        <w:pStyle w:val="11"/>
        <w:spacing w:before="0" w:after="0" w:line="520" w:lineRule="atLeast"/>
        <w:ind w:left="0" w:firstLine="480" w:firstLineChars="200"/>
        <w:rPr>
          <w:rFonts w:hAnsi="宋体" w:cs="Arial"/>
          <w:szCs w:val="24"/>
        </w:rPr>
      </w:pPr>
      <w:r>
        <w:rPr>
          <w:rFonts w:hAnsi="宋体" w:cs="Arial"/>
          <w:szCs w:val="24"/>
        </w:rPr>
        <w:t>发生以下情况，本协议终止：</w:t>
      </w:r>
    </w:p>
    <w:p w14:paraId="6CE87263">
      <w:pPr>
        <w:pStyle w:val="11"/>
        <w:spacing w:before="0" w:after="0" w:line="520" w:lineRule="atLeast"/>
        <w:ind w:left="0" w:firstLine="480" w:firstLineChars="200"/>
        <w:rPr>
          <w:rFonts w:hAnsi="宋体" w:cs="Arial"/>
          <w:szCs w:val="24"/>
        </w:rPr>
      </w:pPr>
      <w:r>
        <w:rPr>
          <w:rFonts w:hAnsi="宋体" w:cs="Arial"/>
          <w:szCs w:val="24"/>
        </w:rPr>
        <w:t>（1）</w:t>
      </w:r>
      <w:r>
        <w:rPr>
          <w:rFonts w:hint="eastAsia" w:hAnsi="宋体" w:cs="Arial"/>
          <w:szCs w:val="24"/>
        </w:rPr>
        <w:t>基金合同终止</w:t>
      </w:r>
      <w:r>
        <w:rPr>
          <w:rFonts w:hAnsi="宋体" w:cs="Arial"/>
          <w:szCs w:val="24"/>
        </w:rPr>
        <w:t>；</w:t>
      </w:r>
    </w:p>
    <w:p w14:paraId="04AAA453">
      <w:pPr>
        <w:pStyle w:val="11"/>
        <w:spacing w:before="0" w:after="0" w:line="520" w:lineRule="atLeast"/>
        <w:ind w:left="0" w:firstLine="480" w:firstLineChars="200"/>
        <w:rPr>
          <w:rFonts w:hAnsi="宋体" w:cs="Arial"/>
          <w:szCs w:val="24"/>
        </w:rPr>
      </w:pPr>
      <w:r>
        <w:rPr>
          <w:rFonts w:hAnsi="宋体" w:cs="Arial"/>
          <w:szCs w:val="24"/>
        </w:rPr>
        <w:t>（2）基金托管人解散、依法被撤销、破产或由其他基金托管人接管基金资产；</w:t>
      </w:r>
    </w:p>
    <w:p w14:paraId="03EFB3D9">
      <w:pPr>
        <w:pStyle w:val="11"/>
        <w:spacing w:before="0" w:after="0" w:line="520" w:lineRule="atLeast"/>
        <w:ind w:left="0" w:firstLine="480" w:firstLineChars="200"/>
        <w:rPr>
          <w:rFonts w:hAnsi="宋体" w:cs="Arial"/>
          <w:szCs w:val="24"/>
        </w:rPr>
      </w:pPr>
      <w:r>
        <w:rPr>
          <w:rFonts w:hAnsi="宋体" w:cs="Arial"/>
          <w:szCs w:val="24"/>
        </w:rPr>
        <w:t>（3）基金管理人解散、依法被撤销、破产或由其他基金管理人接管基金管理权；</w:t>
      </w:r>
    </w:p>
    <w:p w14:paraId="56E8F7A9">
      <w:pPr>
        <w:pStyle w:val="11"/>
        <w:spacing w:before="0" w:after="0" w:line="520" w:lineRule="atLeast"/>
        <w:ind w:left="0" w:firstLine="480" w:firstLineChars="200"/>
        <w:rPr>
          <w:rFonts w:hAnsi="宋体" w:cs="Arial"/>
          <w:szCs w:val="24"/>
        </w:rPr>
      </w:pPr>
      <w:r>
        <w:rPr>
          <w:rFonts w:hAnsi="宋体" w:cs="Arial"/>
          <w:szCs w:val="24"/>
        </w:rPr>
        <w:t>（4）发生法律法规或基金合同规定的终止事项。</w:t>
      </w:r>
    </w:p>
    <w:p w14:paraId="1496E570">
      <w:pPr>
        <w:pStyle w:val="11"/>
        <w:spacing w:before="0" w:after="0" w:line="520" w:lineRule="atLeast"/>
        <w:ind w:left="0" w:firstLine="480" w:firstLineChars="200"/>
        <w:rPr>
          <w:rFonts w:hAnsi="宋体" w:cs="Arial"/>
          <w:szCs w:val="24"/>
        </w:rPr>
      </w:pPr>
      <w:r>
        <w:rPr>
          <w:rFonts w:hAnsi="宋体" w:cs="Arial"/>
          <w:szCs w:val="24"/>
        </w:rPr>
        <w:t>16.2基金财产的清算</w:t>
      </w:r>
    </w:p>
    <w:p w14:paraId="5781A075">
      <w:pPr>
        <w:pStyle w:val="11"/>
        <w:spacing w:before="0" w:after="0" w:line="520" w:lineRule="atLeast"/>
        <w:ind w:left="0" w:firstLine="480" w:firstLineChars="200"/>
        <w:rPr>
          <w:rFonts w:hAnsi="宋体" w:cs="Arial"/>
          <w:szCs w:val="24"/>
        </w:rPr>
      </w:pPr>
      <w:r>
        <w:rPr>
          <w:rFonts w:hAnsi="宋体" w:cs="Arial"/>
          <w:szCs w:val="24"/>
        </w:rPr>
        <w:t>16.2.1基金财产清算小组</w:t>
      </w:r>
    </w:p>
    <w:p w14:paraId="4AA5B5B1">
      <w:pPr>
        <w:pStyle w:val="11"/>
        <w:spacing w:before="0" w:after="0" w:line="520" w:lineRule="atLeast"/>
        <w:ind w:left="0" w:firstLine="480" w:firstLineChars="200"/>
        <w:rPr>
          <w:rFonts w:hAnsi="宋体" w:cs="Arial"/>
          <w:szCs w:val="24"/>
        </w:rPr>
      </w:pPr>
      <w:r>
        <w:rPr>
          <w:rFonts w:hAnsi="宋体" w:cs="Arial"/>
          <w:szCs w:val="24"/>
        </w:rPr>
        <w:t>（1）自出现基金合同终止事由之日起30个工作日内成立基金财产清算小组，</w:t>
      </w:r>
      <w:r>
        <w:rPr>
          <w:rFonts w:hint="eastAsia" w:hAnsi="宋体" w:cs="Arial"/>
          <w:szCs w:val="24"/>
        </w:rPr>
        <w:t>基金管理人或临时</w:t>
      </w:r>
      <w:r>
        <w:rPr>
          <w:rFonts w:hAnsi="宋体" w:cs="Arial"/>
          <w:szCs w:val="24"/>
        </w:rPr>
        <w:t>基金管理人组织基金财产清算小组并在中国证监会的监督下进行基金清算。</w:t>
      </w:r>
    </w:p>
    <w:p w14:paraId="2AA6E166">
      <w:pPr>
        <w:pStyle w:val="11"/>
        <w:spacing w:before="0" w:after="0" w:line="520" w:lineRule="atLeast"/>
        <w:ind w:left="0" w:firstLine="480" w:firstLineChars="200"/>
        <w:rPr>
          <w:rFonts w:hAnsi="宋体" w:cs="Arial"/>
          <w:szCs w:val="24"/>
        </w:rPr>
      </w:pPr>
      <w:r>
        <w:rPr>
          <w:rFonts w:hAnsi="宋体" w:cs="Arial"/>
          <w:szCs w:val="24"/>
        </w:rPr>
        <w:t>（2）基金财产清算小组成员由基金管理人</w:t>
      </w:r>
      <w:r>
        <w:rPr>
          <w:rFonts w:hint="eastAsia" w:hAnsi="宋体" w:cs="Arial"/>
          <w:szCs w:val="24"/>
        </w:rPr>
        <w:t>或临时基金管理人</w:t>
      </w:r>
      <w:r>
        <w:rPr>
          <w:rFonts w:hAnsi="宋体" w:cs="Arial"/>
          <w:szCs w:val="24"/>
        </w:rPr>
        <w:t>、基金托管人、</w:t>
      </w:r>
      <w:r>
        <w:rPr>
          <w:rFonts w:hAnsi="宋体" w:cs="Arial"/>
          <w:bCs/>
          <w:szCs w:val="24"/>
        </w:rPr>
        <w:t>符合《中华人民共和国证券法》规定的</w:t>
      </w:r>
      <w:r>
        <w:rPr>
          <w:rFonts w:hAnsi="宋体" w:cs="Arial"/>
          <w:szCs w:val="24"/>
        </w:rPr>
        <w:t>注册会计师、律师以及中国证监会指定的人员组成。基金财产清算小组可以聘用必要的工作人员。</w:t>
      </w:r>
    </w:p>
    <w:p w14:paraId="78CAF5F0">
      <w:pPr>
        <w:pStyle w:val="11"/>
        <w:spacing w:before="0" w:after="0" w:line="520" w:lineRule="atLeast"/>
        <w:ind w:left="0" w:firstLine="480" w:firstLineChars="200"/>
        <w:rPr>
          <w:rFonts w:hAnsi="宋体" w:cs="Arial"/>
          <w:szCs w:val="24"/>
        </w:rPr>
      </w:pPr>
      <w:r>
        <w:rPr>
          <w:rFonts w:hAnsi="宋体" w:cs="Arial"/>
          <w:szCs w:val="24"/>
        </w:rPr>
        <w:t>（3）在基金财产清算过程中，基金管理人和基金托管人应各自履行职责，继续忠实、勤勉、尽责地履行基金合同和本协议规定的义务，维护基金份额持有人的合法权益。</w:t>
      </w:r>
    </w:p>
    <w:p w14:paraId="077F7433">
      <w:pPr>
        <w:pStyle w:val="11"/>
        <w:spacing w:before="0" w:after="0" w:line="520" w:lineRule="atLeast"/>
        <w:ind w:left="0" w:firstLine="480" w:firstLineChars="200"/>
        <w:rPr>
          <w:rFonts w:hAnsi="宋体" w:cs="Arial"/>
          <w:szCs w:val="24"/>
        </w:rPr>
      </w:pPr>
      <w:r>
        <w:rPr>
          <w:rFonts w:hAnsi="宋体" w:cs="Arial"/>
          <w:szCs w:val="24"/>
        </w:rPr>
        <w:t>（4）基金财产清算小组负责基金财产的保管、清理、估价、变现和分配。基金财产清算小组可以依法进行必要的民事活动。</w:t>
      </w:r>
    </w:p>
    <w:p w14:paraId="20986FC6">
      <w:pPr>
        <w:pStyle w:val="11"/>
        <w:spacing w:before="0" w:after="0" w:line="520" w:lineRule="atLeast"/>
        <w:ind w:left="0" w:firstLine="480" w:firstLineChars="200"/>
        <w:rPr>
          <w:rFonts w:hAnsi="宋体" w:cs="Arial"/>
          <w:szCs w:val="24"/>
        </w:rPr>
      </w:pPr>
      <w:r>
        <w:rPr>
          <w:rFonts w:hAnsi="宋体" w:cs="Arial"/>
          <w:szCs w:val="24"/>
        </w:rPr>
        <w:t>16.2.2基金财产清算程序</w:t>
      </w:r>
    </w:p>
    <w:p w14:paraId="03CD898E">
      <w:pPr>
        <w:pStyle w:val="11"/>
        <w:spacing w:before="0" w:after="0" w:line="520" w:lineRule="atLeast"/>
        <w:ind w:left="0" w:firstLine="480" w:firstLineChars="200"/>
        <w:rPr>
          <w:rFonts w:hAnsi="宋体" w:cs="Arial"/>
          <w:szCs w:val="24"/>
        </w:rPr>
      </w:pPr>
      <w:r>
        <w:rPr>
          <w:rFonts w:hAnsi="宋体" w:cs="Arial"/>
          <w:szCs w:val="24"/>
        </w:rPr>
        <w:t>基金合同终止，应当按法律法规和基金合同的有关规定对基金财产进行清算。基金财产清算程序主要包括：</w:t>
      </w:r>
    </w:p>
    <w:p w14:paraId="6B4C6A19">
      <w:pPr>
        <w:pStyle w:val="11"/>
        <w:spacing w:before="0" w:after="0" w:line="520" w:lineRule="atLeast"/>
        <w:ind w:left="0" w:firstLine="480" w:firstLineChars="200"/>
        <w:rPr>
          <w:rFonts w:hAnsi="宋体" w:cs="Arial"/>
          <w:szCs w:val="24"/>
        </w:rPr>
      </w:pPr>
      <w:r>
        <w:rPr>
          <w:rFonts w:hAnsi="宋体" w:cs="Arial"/>
          <w:szCs w:val="24"/>
        </w:rPr>
        <w:t>（1）基金合同终止情形出现时，由基金财产清算小组统一接管基金财产；</w:t>
      </w:r>
    </w:p>
    <w:p w14:paraId="6D907137">
      <w:pPr>
        <w:pStyle w:val="11"/>
        <w:spacing w:before="0" w:after="0" w:line="520" w:lineRule="atLeast"/>
        <w:ind w:left="0" w:firstLine="480" w:firstLineChars="200"/>
        <w:rPr>
          <w:rFonts w:hAnsi="宋体" w:cs="Arial"/>
          <w:szCs w:val="24"/>
        </w:rPr>
      </w:pPr>
      <w:r>
        <w:rPr>
          <w:rFonts w:hAnsi="宋体" w:cs="Arial"/>
          <w:szCs w:val="24"/>
        </w:rPr>
        <w:t>（2）对基金财产和债权债务进行清理和确认；</w:t>
      </w:r>
    </w:p>
    <w:p w14:paraId="76FF919E">
      <w:pPr>
        <w:pStyle w:val="11"/>
        <w:spacing w:before="0" w:after="0" w:line="520" w:lineRule="atLeast"/>
        <w:ind w:left="0" w:firstLine="480" w:firstLineChars="200"/>
        <w:rPr>
          <w:rFonts w:hAnsi="宋体" w:cs="Arial"/>
          <w:szCs w:val="24"/>
        </w:rPr>
      </w:pPr>
      <w:r>
        <w:rPr>
          <w:rFonts w:hAnsi="宋体" w:cs="Arial"/>
          <w:szCs w:val="24"/>
        </w:rPr>
        <w:t>（3）对基金财产进行估值和变现；</w:t>
      </w:r>
    </w:p>
    <w:p w14:paraId="3EFF8945">
      <w:pPr>
        <w:pStyle w:val="11"/>
        <w:spacing w:before="0" w:after="0" w:line="520" w:lineRule="atLeast"/>
        <w:ind w:left="0" w:firstLine="480" w:firstLineChars="200"/>
        <w:rPr>
          <w:rFonts w:hAnsi="宋体" w:cs="Arial"/>
          <w:szCs w:val="24"/>
        </w:rPr>
      </w:pPr>
      <w:r>
        <w:rPr>
          <w:rFonts w:hAnsi="宋体" w:cs="Arial"/>
          <w:szCs w:val="24"/>
        </w:rPr>
        <w:t>（4）制作清算报告；</w:t>
      </w:r>
    </w:p>
    <w:p w14:paraId="495A1EE9">
      <w:pPr>
        <w:pStyle w:val="11"/>
        <w:spacing w:before="0" w:after="0" w:line="520" w:lineRule="atLeast"/>
        <w:ind w:left="0" w:firstLine="480" w:firstLineChars="200"/>
        <w:rPr>
          <w:rFonts w:hAnsi="宋体" w:cs="Arial"/>
          <w:szCs w:val="24"/>
        </w:rPr>
      </w:pPr>
      <w:r>
        <w:rPr>
          <w:rFonts w:hAnsi="宋体" w:cs="Arial"/>
          <w:szCs w:val="24"/>
        </w:rPr>
        <w:t>（5）聘请</w:t>
      </w:r>
      <w:r>
        <w:rPr>
          <w:bCs/>
        </w:rPr>
        <w:t>符合《中华人民共和国证券法》规定的</w:t>
      </w:r>
      <w:r>
        <w:rPr>
          <w:rFonts w:hAnsi="宋体" w:cs="Arial"/>
          <w:szCs w:val="24"/>
        </w:rPr>
        <w:t>会计师事务所对清算报告进行外部审计，聘请律师事务所对清算报告出具法律意见书；</w:t>
      </w:r>
    </w:p>
    <w:p w14:paraId="296F1FF9">
      <w:pPr>
        <w:pStyle w:val="11"/>
        <w:spacing w:before="0" w:after="0" w:line="520" w:lineRule="atLeast"/>
        <w:ind w:left="0" w:firstLine="480" w:firstLineChars="200"/>
        <w:rPr>
          <w:rFonts w:hAnsi="宋体" w:cs="Arial"/>
          <w:szCs w:val="24"/>
        </w:rPr>
      </w:pPr>
      <w:r>
        <w:rPr>
          <w:rFonts w:hAnsi="宋体" w:cs="Arial"/>
          <w:szCs w:val="24"/>
        </w:rPr>
        <w:t>（6）将清算报告报中国证监会备案并公告；</w:t>
      </w:r>
    </w:p>
    <w:p w14:paraId="1F69B72B">
      <w:pPr>
        <w:pStyle w:val="11"/>
        <w:spacing w:before="0" w:after="0" w:line="520" w:lineRule="atLeast"/>
        <w:ind w:left="0" w:firstLine="480" w:firstLineChars="200"/>
        <w:rPr>
          <w:rFonts w:hAnsi="宋体" w:cs="Arial"/>
          <w:szCs w:val="24"/>
        </w:rPr>
      </w:pPr>
      <w:r>
        <w:rPr>
          <w:rFonts w:hAnsi="宋体" w:cs="Arial"/>
          <w:szCs w:val="24"/>
        </w:rPr>
        <w:t>（7）对基金剩余财产进行分配。</w:t>
      </w:r>
    </w:p>
    <w:p w14:paraId="60F024C7">
      <w:pPr>
        <w:pStyle w:val="11"/>
        <w:spacing w:before="0" w:after="0" w:line="520" w:lineRule="atLeast"/>
        <w:ind w:left="0" w:firstLine="480" w:firstLineChars="200"/>
        <w:rPr>
          <w:rFonts w:hAnsi="宋体" w:cs="Arial"/>
          <w:bCs/>
          <w:szCs w:val="24"/>
        </w:rPr>
      </w:pPr>
      <w:r>
        <w:rPr>
          <w:rFonts w:hAnsi="宋体" w:cs="Arial"/>
          <w:bCs/>
        </w:rPr>
        <w:t>基金财产清算的期限为6个月</w:t>
      </w:r>
      <w:r>
        <w:rPr>
          <w:rFonts w:hAnsi="宋体" w:cs="Arial"/>
          <w:bCs/>
          <w:szCs w:val="24"/>
        </w:rPr>
        <w:t>，但因本基金所持证券的流动性受到限制而不能及时变现的，清算期限相应顺延。</w:t>
      </w:r>
    </w:p>
    <w:p w14:paraId="341BA976">
      <w:pPr>
        <w:pStyle w:val="11"/>
        <w:spacing w:before="0" w:after="0" w:line="520" w:lineRule="atLeast"/>
        <w:ind w:left="0" w:firstLine="480" w:firstLineChars="200"/>
        <w:rPr>
          <w:rFonts w:hAnsi="宋体" w:cs="Arial"/>
          <w:szCs w:val="24"/>
        </w:rPr>
      </w:pPr>
      <w:r>
        <w:rPr>
          <w:rFonts w:hAnsi="宋体" w:cs="Arial"/>
          <w:szCs w:val="24"/>
        </w:rPr>
        <w:t>16.2.3清算费用</w:t>
      </w:r>
    </w:p>
    <w:p w14:paraId="542686E0">
      <w:pPr>
        <w:pStyle w:val="11"/>
        <w:spacing w:before="0" w:after="0" w:line="520" w:lineRule="atLeast"/>
        <w:ind w:left="0" w:firstLine="480" w:firstLineChars="200"/>
        <w:rPr>
          <w:rFonts w:hAnsi="宋体" w:cs="Arial"/>
          <w:szCs w:val="24"/>
        </w:rPr>
      </w:pPr>
      <w:r>
        <w:rPr>
          <w:rFonts w:hAnsi="宋体" w:cs="Arial"/>
          <w:szCs w:val="24"/>
        </w:rPr>
        <w:t>清算费用是指基金财产清算小组在进行基金清算过程中发生的所有合理费用，清算费用由基金财产清算小组优先从基金</w:t>
      </w:r>
      <w:r>
        <w:rPr>
          <w:bCs/>
        </w:rPr>
        <w:t>剩余</w:t>
      </w:r>
      <w:r>
        <w:rPr>
          <w:rFonts w:hAnsi="宋体" w:cs="Arial"/>
          <w:szCs w:val="24"/>
        </w:rPr>
        <w:t>财产中支付。</w:t>
      </w:r>
    </w:p>
    <w:p w14:paraId="24CF3299">
      <w:pPr>
        <w:pStyle w:val="11"/>
        <w:spacing w:before="0" w:after="0" w:line="520" w:lineRule="atLeast"/>
        <w:ind w:left="0" w:firstLine="480" w:firstLineChars="200"/>
        <w:rPr>
          <w:rFonts w:hAnsi="宋体" w:cs="Arial"/>
          <w:szCs w:val="24"/>
        </w:rPr>
      </w:pPr>
      <w:r>
        <w:rPr>
          <w:rFonts w:hAnsi="宋体" w:cs="Arial"/>
          <w:szCs w:val="24"/>
        </w:rPr>
        <w:t>16.2.4基金财产按下列顺序清偿：</w:t>
      </w:r>
    </w:p>
    <w:p w14:paraId="24E3BFE0">
      <w:pPr>
        <w:pStyle w:val="11"/>
        <w:spacing w:before="0" w:after="0" w:line="520" w:lineRule="atLeast"/>
        <w:ind w:left="0" w:firstLine="480" w:firstLineChars="200"/>
        <w:rPr>
          <w:rFonts w:hAnsi="宋体" w:cs="Arial"/>
          <w:szCs w:val="24"/>
        </w:rPr>
      </w:pPr>
      <w:r>
        <w:rPr>
          <w:bCs/>
        </w:rPr>
        <w:t>依据基金财产清算的分配方案，将基金财产清算后的全部剩余资产扣除基金财产清算费用、交纳所欠税款并清偿基金债务后，按基金份额持有人持有的基金份额比例进行分配</w:t>
      </w:r>
      <w:r>
        <w:rPr>
          <w:rFonts w:hAnsi="宋体" w:cs="Arial"/>
          <w:szCs w:val="24"/>
        </w:rPr>
        <w:t>。</w:t>
      </w:r>
    </w:p>
    <w:p w14:paraId="2E21EE9D">
      <w:pPr>
        <w:pStyle w:val="11"/>
        <w:spacing w:before="0" w:after="0" w:line="520" w:lineRule="atLeast"/>
        <w:ind w:left="0" w:firstLine="480" w:firstLineChars="200"/>
        <w:rPr>
          <w:rFonts w:hAnsi="宋体" w:cs="Arial"/>
          <w:szCs w:val="24"/>
        </w:rPr>
      </w:pPr>
      <w:r>
        <w:rPr>
          <w:rFonts w:hAnsi="宋体" w:cs="Arial"/>
          <w:szCs w:val="24"/>
        </w:rPr>
        <w:t>16.2.5基金财产清算的公告</w:t>
      </w:r>
    </w:p>
    <w:p w14:paraId="29D30E08">
      <w:pPr>
        <w:spacing w:line="520" w:lineRule="atLeast"/>
        <w:ind w:firstLine="480" w:firstLineChars="200"/>
        <w:rPr>
          <w:rFonts w:ascii="宋体" w:hAnsi="宋体" w:cs="Arial"/>
          <w:bCs/>
          <w:sz w:val="24"/>
        </w:rPr>
      </w:pPr>
      <w:r>
        <w:rPr>
          <w:rFonts w:ascii="宋体" w:hAnsi="宋体" w:cs="Arial"/>
          <w:bCs/>
          <w:sz w:val="24"/>
        </w:rPr>
        <w:t>清算过程中的有关重大事项须及时公告；基金财产清算报告应当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36C8AF96">
      <w:pPr>
        <w:pStyle w:val="11"/>
        <w:spacing w:before="0" w:after="0" w:line="520" w:lineRule="atLeast"/>
        <w:ind w:left="0" w:firstLine="480" w:firstLineChars="200"/>
        <w:rPr>
          <w:rFonts w:hAnsi="宋体" w:cs="Arial"/>
          <w:szCs w:val="24"/>
        </w:rPr>
      </w:pPr>
      <w:r>
        <w:rPr>
          <w:rFonts w:hAnsi="宋体" w:cs="Arial"/>
          <w:szCs w:val="24"/>
        </w:rPr>
        <w:t>16.2.6基金财产清算账册及文件的保存</w:t>
      </w:r>
    </w:p>
    <w:p w14:paraId="7801F3A7">
      <w:pPr>
        <w:pStyle w:val="11"/>
        <w:spacing w:before="0" w:after="0" w:line="520" w:lineRule="atLeast"/>
        <w:ind w:left="0" w:firstLine="480" w:firstLineChars="200"/>
        <w:rPr>
          <w:rFonts w:hAnsi="宋体" w:cs="Arial"/>
          <w:szCs w:val="24"/>
        </w:rPr>
      </w:pPr>
      <w:r>
        <w:rPr>
          <w:rFonts w:hAnsi="宋体" w:cs="Arial"/>
          <w:szCs w:val="24"/>
        </w:rPr>
        <w:t>基金财产清算账册及有关文件由基金托管人</w:t>
      </w:r>
      <w:r>
        <w:rPr>
          <w:rFonts w:hint="eastAsia" w:hAnsi="宋体" w:cs="Arial"/>
          <w:szCs w:val="24"/>
        </w:rPr>
        <w:t>保存不低于法律法规规定的期限</w:t>
      </w:r>
      <w:r>
        <w:rPr>
          <w:rFonts w:hAnsi="宋体" w:cs="Arial"/>
          <w:szCs w:val="24"/>
        </w:rPr>
        <w:t>。</w:t>
      </w:r>
      <w:bookmarkStart w:id="54" w:name="_Toc296551353"/>
    </w:p>
    <w:p w14:paraId="0993AFD4">
      <w:pPr>
        <w:pStyle w:val="2"/>
        <w:snapToGrid/>
        <w:spacing w:line="520" w:lineRule="atLeast"/>
        <w:ind w:firstLine="482" w:firstLineChars="200"/>
        <w:rPr>
          <w:rFonts w:cs="Arial"/>
          <w:bCs/>
          <w:color w:val="auto"/>
          <w:szCs w:val="24"/>
        </w:rPr>
      </w:pPr>
      <w:bookmarkStart w:id="55" w:name="_Toc238554487"/>
      <w:r>
        <w:rPr>
          <w:rFonts w:cs="Arial"/>
          <w:bCs/>
          <w:color w:val="auto"/>
          <w:szCs w:val="24"/>
        </w:rPr>
        <w:t>第十七条 违约责任</w:t>
      </w:r>
      <w:bookmarkEnd w:id="54"/>
      <w:bookmarkEnd w:id="55"/>
    </w:p>
    <w:p w14:paraId="24467EFB">
      <w:pPr>
        <w:pStyle w:val="11"/>
        <w:spacing w:before="0" w:after="0" w:line="520" w:lineRule="atLeast"/>
        <w:ind w:left="0" w:firstLine="480" w:firstLineChars="200"/>
        <w:rPr>
          <w:rFonts w:hAnsi="宋体" w:cs="Arial"/>
          <w:szCs w:val="24"/>
        </w:rPr>
      </w:pPr>
      <w:r>
        <w:rPr>
          <w:rFonts w:hAnsi="宋体" w:cs="Arial"/>
          <w:szCs w:val="24"/>
        </w:rPr>
        <w:t>17.1如果基金管理人或基金托管人不履行本协议或者履行本协议不符合约定的，应当承担违约责任。</w:t>
      </w:r>
    </w:p>
    <w:p w14:paraId="7528FB75">
      <w:pPr>
        <w:pStyle w:val="11"/>
        <w:spacing w:before="0" w:after="0" w:line="520" w:lineRule="atLeast"/>
        <w:ind w:left="0" w:firstLine="480" w:firstLineChars="200"/>
        <w:rPr>
          <w:rFonts w:hAnsi="宋体" w:cs="Arial"/>
          <w:szCs w:val="24"/>
        </w:rPr>
      </w:pPr>
      <w:r>
        <w:rPr>
          <w:rFonts w:hAnsi="宋体" w:cs="Arial"/>
          <w:szCs w:val="24"/>
        </w:rPr>
        <w:t>17.2因托管协议当事人违约给基金财产或者基金份额持有人造成损害的，应当分别对各自的行为依法承担赔偿责任，因共同行为给基金财产或者基金份额持有人造成损害的，应当承担连带赔偿责任。但是发生下列情况，当事人可以免责：</w:t>
      </w:r>
    </w:p>
    <w:p w14:paraId="66A0A3AB">
      <w:pPr>
        <w:pStyle w:val="11"/>
        <w:spacing w:before="0" w:after="0" w:line="520" w:lineRule="atLeast"/>
        <w:ind w:left="0" w:firstLine="480" w:firstLineChars="200"/>
        <w:rPr>
          <w:rFonts w:hAnsi="宋体" w:cs="Arial"/>
          <w:szCs w:val="24"/>
        </w:rPr>
      </w:pPr>
      <w:r>
        <w:rPr>
          <w:rFonts w:hAnsi="宋体" w:cs="Arial"/>
          <w:szCs w:val="24"/>
        </w:rPr>
        <w:t>（1）不可抗力；</w:t>
      </w:r>
    </w:p>
    <w:p w14:paraId="48F0701D">
      <w:pPr>
        <w:pStyle w:val="11"/>
        <w:spacing w:before="0" w:after="0" w:line="520" w:lineRule="atLeast"/>
        <w:ind w:left="0" w:firstLine="480" w:firstLineChars="200"/>
        <w:rPr>
          <w:rFonts w:hAnsi="宋体" w:cs="Arial"/>
          <w:szCs w:val="24"/>
        </w:rPr>
      </w:pPr>
      <w:r>
        <w:rPr>
          <w:rFonts w:hAnsi="宋体" w:cs="Arial"/>
          <w:szCs w:val="24"/>
        </w:rPr>
        <w:t>（2）基金管理人</w:t>
      </w:r>
      <w:r>
        <w:rPr>
          <w:rFonts w:hAnsi="宋体" w:cs="Arial"/>
          <w:bCs/>
        </w:rPr>
        <w:t>和/或</w:t>
      </w:r>
      <w:r>
        <w:rPr>
          <w:rFonts w:hAnsi="宋体" w:cs="Arial"/>
          <w:szCs w:val="24"/>
        </w:rPr>
        <w:t>基金托管人按照</w:t>
      </w:r>
      <w:r>
        <w:rPr>
          <w:rFonts w:hAnsi="宋体" w:cs="Arial"/>
          <w:bCs/>
        </w:rPr>
        <w:t>届时</w:t>
      </w:r>
      <w:r>
        <w:rPr>
          <w:rFonts w:hAnsi="宋体" w:cs="Arial"/>
          <w:szCs w:val="24"/>
        </w:rPr>
        <w:t>有效的法律法规或中国证监会的规定作为或不作为而造成的损失等；</w:t>
      </w:r>
    </w:p>
    <w:p w14:paraId="588DBE95">
      <w:pPr>
        <w:pStyle w:val="11"/>
        <w:spacing w:before="0" w:after="0" w:line="520" w:lineRule="atLeast"/>
        <w:ind w:left="0" w:firstLine="480" w:firstLineChars="200"/>
        <w:rPr>
          <w:rFonts w:hAnsi="宋体" w:cs="Arial"/>
          <w:szCs w:val="24"/>
        </w:rPr>
      </w:pPr>
      <w:r>
        <w:rPr>
          <w:rFonts w:hAnsi="宋体" w:cs="Arial"/>
          <w:szCs w:val="24"/>
        </w:rPr>
        <w:t>（3）基金管理人由于按照基金合同规定的投资原则</w:t>
      </w:r>
      <w:r>
        <w:rPr>
          <w:rFonts w:hAnsi="宋体"/>
          <w:bCs/>
        </w:rPr>
        <w:t>投资或不投资</w:t>
      </w:r>
      <w:r>
        <w:rPr>
          <w:rFonts w:hAnsi="宋体" w:cs="Arial"/>
          <w:szCs w:val="24"/>
        </w:rPr>
        <w:t>造成的损失等。</w:t>
      </w:r>
    </w:p>
    <w:p w14:paraId="553DD679">
      <w:pPr>
        <w:pStyle w:val="11"/>
        <w:spacing w:before="0" w:after="0" w:line="520" w:lineRule="atLeast"/>
        <w:ind w:left="0" w:firstLine="480" w:firstLineChars="200"/>
        <w:rPr>
          <w:rFonts w:hAnsi="宋体" w:cs="Arial"/>
          <w:szCs w:val="24"/>
        </w:rPr>
      </w:pPr>
      <w:r>
        <w:rPr>
          <w:rFonts w:hAnsi="宋体" w:cs="Arial"/>
          <w:szCs w:val="24"/>
        </w:rPr>
        <w:t>17.3如果由于本协议一方当事人（以下简称“违约方”）的违约行为给基金财产或基金份额持有人造成损失，另一方当事人（以下简称“守约方”）有权利并且有义务代表基金对违约方进行追偿；如果由于违约方的违约行为导致守约方赔偿了该基金财产或基金份额持有人所遭受的损失，则守约方有权向违约方追索，违约方应赔偿和补偿守约方由此发生的所有成本、费用和支出，以及由此遭受的损失。</w:t>
      </w:r>
    </w:p>
    <w:p w14:paraId="4B1AD0B5">
      <w:pPr>
        <w:pStyle w:val="11"/>
        <w:spacing w:before="0" w:after="0" w:line="520" w:lineRule="atLeast"/>
        <w:ind w:left="0" w:firstLine="480" w:firstLineChars="200"/>
        <w:rPr>
          <w:rFonts w:hAnsi="宋体" w:cs="Arial"/>
          <w:szCs w:val="24"/>
        </w:rPr>
      </w:pPr>
      <w:r>
        <w:rPr>
          <w:rFonts w:hAnsi="宋体" w:cs="Arial"/>
          <w:szCs w:val="24"/>
        </w:rPr>
        <w:t>17.4当事人一方违约，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66309193">
      <w:pPr>
        <w:pStyle w:val="11"/>
        <w:spacing w:before="0" w:after="0" w:line="520" w:lineRule="atLeast"/>
        <w:ind w:left="0" w:firstLine="480" w:firstLineChars="200"/>
        <w:rPr>
          <w:rFonts w:hAnsi="宋体" w:cs="Arial"/>
          <w:szCs w:val="24"/>
        </w:rPr>
      </w:pPr>
      <w:r>
        <w:rPr>
          <w:rFonts w:hAnsi="宋体" w:cs="Arial"/>
          <w:szCs w:val="24"/>
        </w:rPr>
        <w:t>17.5违约行为虽已发生，但本协议能够继续履行的，在最大限度地保护基金份额持有人利益的前提下，基金管理人和基金托管人应当继续履行本协议。</w:t>
      </w:r>
    </w:p>
    <w:p w14:paraId="1FF29420">
      <w:pPr>
        <w:pStyle w:val="11"/>
        <w:spacing w:before="0" w:after="0" w:line="520" w:lineRule="atLeast"/>
        <w:ind w:left="0" w:firstLine="480" w:firstLineChars="200"/>
        <w:rPr>
          <w:rFonts w:hAnsi="宋体" w:cs="Arial"/>
          <w:szCs w:val="24"/>
        </w:rPr>
      </w:pPr>
      <w:r>
        <w:rPr>
          <w:rFonts w:hAnsi="宋体" w:cs="Arial"/>
          <w:szCs w:val="24"/>
        </w:rPr>
        <w:t>17.6由于基金管理人、基金托管人不可控制的因素导致业务出现差错，基金管理人和基金托管人虽然已经采取必要、适当、合理的措施进行检查，但是未能发现错误</w:t>
      </w:r>
      <w:r>
        <w:rPr>
          <w:rFonts w:hint="eastAsia" w:hAnsi="宋体" w:cs="Arial"/>
          <w:szCs w:val="24"/>
        </w:rPr>
        <w:t>或虽发现错误但因前述原因无法及时更正</w:t>
      </w:r>
      <w:r>
        <w:rPr>
          <w:rFonts w:hAnsi="宋体" w:cs="Arial"/>
          <w:szCs w:val="24"/>
        </w:rPr>
        <w:t>的，由此造成基金财产或基金份额持有人损失，基金管理人和基金托管人免除赔偿责任。但是基金管理人和基金托管人应积极采取必要的措施减轻或消除由此造成的影响。</w:t>
      </w:r>
    </w:p>
    <w:p w14:paraId="63CD9BE2">
      <w:pPr>
        <w:pStyle w:val="11"/>
        <w:spacing w:before="0" w:after="0" w:line="520" w:lineRule="atLeast"/>
        <w:ind w:left="0" w:firstLine="480" w:firstLineChars="200"/>
        <w:rPr>
          <w:rFonts w:hAnsi="宋体" w:cs="Arial"/>
          <w:szCs w:val="24"/>
        </w:rPr>
      </w:pPr>
      <w:r>
        <w:rPr>
          <w:rFonts w:hAnsi="宋体" w:cs="Arial"/>
          <w:szCs w:val="24"/>
        </w:rPr>
        <w:t>17.7本协议所指损失均为直接损失。</w:t>
      </w:r>
    </w:p>
    <w:p w14:paraId="4D20A7AD">
      <w:pPr>
        <w:pStyle w:val="2"/>
        <w:snapToGrid/>
        <w:spacing w:line="520" w:lineRule="atLeast"/>
        <w:ind w:firstLine="482" w:firstLineChars="200"/>
        <w:rPr>
          <w:rFonts w:cs="Arial"/>
          <w:bCs/>
          <w:color w:val="auto"/>
          <w:szCs w:val="24"/>
        </w:rPr>
      </w:pPr>
      <w:bookmarkStart w:id="56" w:name="_Toc296551354"/>
      <w:bookmarkStart w:id="57" w:name="_Toc238554488"/>
      <w:r>
        <w:rPr>
          <w:rFonts w:cs="Arial"/>
          <w:bCs/>
          <w:color w:val="auto"/>
          <w:szCs w:val="24"/>
        </w:rPr>
        <w:t>第十八条 法律适用和争议解决</w:t>
      </w:r>
      <w:bookmarkEnd w:id="56"/>
      <w:bookmarkEnd w:id="57"/>
    </w:p>
    <w:p w14:paraId="63B11C6E">
      <w:pPr>
        <w:spacing w:line="520" w:lineRule="atLeast"/>
        <w:ind w:firstLine="480" w:firstLineChars="200"/>
        <w:rPr>
          <w:rFonts w:ascii="宋体" w:hAnsi="宋体" w:cs="Arial"/>
          <w:bCs/>
          <w:sz w:val="24"/>
        </w:rPr>
      </w:pPr>
      <w:r>
        <w:rPr>
          <w:rFonts w:ascii="宋体" w:hAnsi="宋体" w:cs="Arial"/>
          <w:bCs/>
          <w:sz w:val="24"/>
        </w:rPr>
        <w:t>本协议的效力、解释、变更、执行及争议的解决等均适用中华人民共和国法律（为本协议之目的，不包括香港特别行政区、澳门特别行政区以及台湾地区法律）。</w:t>
      </w:r>
    </w:p>
    <w:p w14:paraId="5C52AC35">
      <w:pPr>
        <w:spacing w:line="520" w:lineRule="atLeast"/>
        <w:ind w:firstLine="480" w:firstLineChars="200"/>
        <w:rPr>
          <w:rFonts w:ascii="宋体" w:hAnsi="宋体" w:cs="Arial"/>
          <w:bCs/>
          <w:sz w:val="24"/>
        </w:rPr>
      </w:pPr>
      <w:r>
        <w:rPr>
          <w:rFonts w:hint="eastAsia"/>
          <w:color w:val="000000" w:themeColor="text1"/>
          <w:sz w:val="24"/>
          <w14:textFill>
            <w14:solidFill>
              <w14:schemeClr w14:val="tx1"/>
            </w14:solidFill>
          </w14:textFill>
        </w:rPr>
        <w:t>双方当事人同意，因本协议而产生的或与本协议有关的一切争议，应通过友好协商或者调解解决。托管协议当事人不愿通过协商、调解解决或者协商、调解不成的，任何一方当事人均有权向对基金管理人有管辖权的人民法院提起诉讼，除非诉讼裁决另有规定，各方为诉讼而实际支付的费用（包括但不限于诉讼费）由败诉方承担</w:t>
      </w:r>
      <w:r>
        <w:rPr>
          <w:rFonts w:ascii="宋体" w:hAnsi="宋体" w:cs="Arial"/>
          <w:bCs/>
          <w:sz w:val="24"/>
        </w:rPr>
        <w:t>。</w:t>
      </w:r>
    </w:p>
    <w:p w14:paraId="76BBA2F4">
      <w:pPr>
        <w:spacing w:line="520" w:lineRule="atLeast"/>
        <w:ind w:firstLine="480" w:firstLineChars="200"/>
        <w:rPr>
          <w:rFonts w:ascii="宋体" w:hAnsi="宋体" w:cs="Arial"/>
          <w:bCs/>
          <w:sz w:val="24"/>
        </w:rPr>
      </w:pPr>
      <w:r>
        <w:rPr>
          <w:rFonts w:ascii="宋体" w:hAnsi="宋体" w:cs="Arial"/>
          <w:bCs/>
          <w:sz w:val="24"/>
        </w:rPr>
        <w:t>争议处理期间，基金管理人、基金托管人应恪守各自的职责，继续忠实、勤勉、尽责地履行基金合同、托管协议规定的义务，维护基金份额持有人的合法权益。</w:t>
      </w:r>
    </w:p>
    <w:p w14:paraId="09DF55F9">
      <w:pPr>
        <w:pStyle w:val="2"/>
        <w:snapToGrid/>
        <w:spacing w:line="520" w:lineRule="atLeast"/>
        <w:ind w:firstLine="482" w:firstLineChars="200"/>
        <w:rPr>
          <w:rFonts w:cs="Arial"/>
          <w:bCs/>
          <w:color w:val="auto"/>
          <w:szCs w:val="24"/>
        </w:rPr>
      </w:pPr>
      <w:bookmarkStart w:id="58" w:name="_Toc296551355"/>
      <w:bookmarkStart w:id="59" w:name="_Toc238554489"/>
      <w:r>
        <w:rPr>
          <w:rFonts w:cs="Arial"/>
          <w:bCs/>
          <w:color w:val="auto"/>
          <w:szCs w:val="24"/>
        </w:rPr>
        <w:t>第十九条 本协议的效力</w:t>
      </w:r>
      <w:bookmarkEnd w:id="58"/>
      <w:bookmarkEnd w:id="59"/>
    </w:p>
    <w:p w14:paraId="3AD480C9">
      <w:pPr>
        <w:pStyle w:val="11"/>
        <w:spacing w:before="0" w:after="0" w:line="520" w:lineRule="atLeast"/>
        <w:ind w:left="0" w:firstLine="480" w:firstLineChars="200"/>
        <w:rPr>
          <w:rFonts w:hAnsi="宋体" w:cs="Arial"/>
          <w:szCs w:val="24"/>
        </w:rPr>
      </w:pPr>
      <w:r>
        <w:rPr>
          <w:rFonts w:hAnsi="宋体" w:cs="Arial"/>
          <w:szCs w:val="24"/>
        </w:rPr>
        <w:t>19.1基金管理人在向中国证监会申请</w:t>
      </w:r>
      <w:r>
        <w:rPr>
          <w:rFonts w:hint="eastAsia" w:hAnsi="宋体" w:cs="Arial"/>
          <w:szCs w:val="24"/>
        </w:rPr>
        <w:t>募集注册本基金</w:t>
      </w:r>
      <w:r>
        <w:rPr>
          <w:rFonts w:hAnsi="宋体" w:cs="Arial"/>
          <w:szCs w:val="24"/>
        </w:rPr>
        <w:t>时提交的托管协议草案，应经托管协议当事人加盖公章或合同专用章以及双方法定代表人/负责人或授权代理人签字或盖章，本协议当事人双方可能不时根据中国证监会的意见修改托管协议草案。本协议以中国证监会注册的最终文本为正式文本。</w:t>
      </w:r>
    </w:p>
    <w:p w14:paraId="7E518B3C">
      <w:pPr>
        <w:pStyle w:val="11"/>
        <w:spacing w:before="0" w:after="0" w:line="520" w:lineRule="atLeast"/>
        <w:ind w:left="0" w:firstLine="480" w:firstLineChars="200"/>
        <w:rPr>
          <w:rFonts w:hAnsi="宋体" w:cs="Arial"/>
          <w:szCs w:val="24"/>
        </w:rPr>
      </w:pPr>
      <w:r>
        <w:rPr>
          <w:rFonts w:hAnsi="宋体" w:cs="Arial"/>
          <w:szCs w:val="24"/>
        </w:rPr>
        <w:t>19.2本协议自基金合同之日起成立，自基金合同生效之日起生效。本协议的有效期自其生效之日起至该基金财产清算结果报中国证监会备案并公告之日止。</w:t>
      </w:r>
    </w:p>
    <w:p w14:paraId="17E65679">
      <w:pPr>
        <w:pStyle w:val="11"/>
        <w:spacing w:before="0" w:after="0" w:line="520" w:lineRule="atLeast"/>
        <w:ind w:left="0" w:firstLine="480" w:firstLineChars="200"/>
        <w:rPr>
          <w:rFonts w:hAnsi="宋体" w:cs="Arial"/>
          <w:szCs w:val="24"/>
        </w:rPr>
      </w:pPr>
      <w:r>
        <w:rPr>
          <w:rFonts w:hAnsi="宋体" w:cs="Arial"/>
          <w:szCs w:val="24"/>
        </w:rPr>
        <w:t>19.3本协议自生效之日起对双方具有同等的法律约束力。</w:t>
      </w:r>
    </w:p>
    <w:p w14:paraId="3A9E1213">
      <w:pPr>
        <w:pStyle w:val="11"/>
        <w:spacing w:before="0" w:after="0" w:line="520" w:lineRule="atLeast"/>
        <w:ind w:left="0" w:firstLine="480" w:firstLineChars="200"/>
        <w:rPr>
          <w:rFonts w:hAnsi="宋体" w:cs="Arial"/>
          <w:szCs w:val="24"/>
        </w:rPr>
      </w:pPr>
      <w:r>
        <w:rPr>
          <w:rFonts w:hAnsi="宋体" w:cs="Arial"/>
          <w:szCs w:val="24"/>
        </w:rPr>
        <w:t>19.4本协议正本一式</w:t>
      </w:r>
      <w:r>
        <w:rPr>
          <w:rFonts w:hint="eastAsia" w:hAnsi="宋体" w:cs="Arial"/>
          <w:szCs w:val="24"/>
        </w:rPr>
        <w:t>三</w:t>
      </w:r>
      <w:r>
        <w:rPr>
          <w:rFonts w:hAnsi="宋体" w:cs="Arial"/>
          <w:szCs w:val="24"/>
        </w:rPr>
        <w:t>份，除上报有关监管机构</w:t>
      </w:r>
      <w:r>
        <w:rPr>
          <w:rFonts w:hint="eastAsia" w:hAnsi="宋体" w:cs="Arial"/>
          <w:szCs w:val="24"/>
        </w:rPr>
        <w:t>一</w:t>
      </w:r>
      <w:r>
        <w:rPr>
          <w:rFonts w:hAnsi="宋体" w:cs="Arial"/>
          <w:szCs w:val="24"/>
        </w:rPr>
        <w:t>份外，基金管理人和基金托管人分别持有</w:t>
      </w:r>
      <w:r>
        <w:rPr>
          <w:rFonts w:hint="eastAsia" w:hAnsi="宋体" w:cs="Arial"/>
          <w:szCs w:val="24"/>
        </w:rPr>
        <w:t>一</w:t>
      </w:r>
      <w:r>
        <w:rPr>
          <w:rFonts w:hAnsi="宋体" w:cs="Arial"/>
          <w:szCs w:val="24"/>
        </w:rPr>
        <w:t>份，每份具有同等的法律效力。</w:t>
      </w:r>
    </w:p>
    <w:p w14:paraId="59C88F2C">
      <w:pPr>
        <w:pStyle w:val="2"/>
        <w:snapToGrid/>
        <w:spacing w:line="520" w:lineRule="atLeast"/>
        <w:ind w:firstLine="482" w:firstLineChars="200"/>
        <w:rPr>
          <w:rFonts w:cs="Arial"/>
          <w:bCs/>
          <w:color w:val="auto"/>
          <w:szCs w:val="24"/>
        </w:rPr>
      </w:pPr>
      <w:bookmarkStart w:id="60" w:name="_Toc238554490"/>
      <w:bookmarkStart w:id="61" w:name="_Toc296551356"/>
      <w:r>
        <w:rPr>
          <w:rFonts w:cs="Arial"/>
          <w:bCs/>
          <w:color w:val="auto"/>
          <w:szCs w:val="24"/>
        </w:rPr>
        <w:t>第二十条 本协议的签订</w:t>
      </w:r>
      <w:bookmarkEnd w:id="60"/>
      <w:bookmarkEnd w:id="61"/>
    </w:p>
    <w:p w14:paraId="74B029E8">
      <w:pPr>
        <w:spacing w:line="520" w:lineRule="atLeast"/>
        <w:ind w:firstLine="480" w:firstLineChars="200"/>
        <w:rPr>
          <w:rFonts w:ascii="宋体" w:hAnsi="宋体" w:cs="Arial"/>
          <w:sz w:val="24"/>
          <w:szCs w:val="24"/>
        </w:rPr>
      </w:pPr>
      <w:r>
        <w:rPr>
          <w:rFonts w:ascii="宋体" w:hAnsi="宋体" w:cs="Arial"/>
          <w:sz w:val="24"/>
          <w:szCs w:val="24"/>
        </w:rPr>
        <w:t>20.1本协议经基金管理人和基金托管人认可后，由双方当事人在本协议上加盖公章或合同专用章，并由各自的法定代表人或授权代理人签字或盖章，并注明本托管协议的签订地点和签订日期。</w:t>
      </w:r>
    </w:p>
    <w:p w14:paraId="2C9769B8">
      <w:pPr>
        <w:pStyle w:val="2"/>
        <w:snapToGrid/>
        <w:spacing w:line="520" w:lineRule="atLeast"/>
        <w:ind w:firstLine="482" w:firstLineChars="200"/>
        <w:rPr>
          <w:rFonts w:cs="Arial"/>
          <w:bCs/>
          <w:color w:val="auto"/>
          <w:szCs w:val="24"/>
        </w:rPr>
      </w:pPr>
      <w:bookmarkStart w:id="62" w:name="_Toc238554491"/>
      <w:r>
        <w:rPr>
          <w:rFonts w:cs="Arial"/>
          <w:bCs/>
          <w:color w:val="auto"/>
          <w:szCs w:val="24"/>
        </w:rPr>
        <w:t>第二十一条 不可抗力</w:t>
      </w:r>
      <w:bookmarkEnd w:id="62"/>
    </w:p>
    <w:p w14:paraId="7ED7B88F">
      <w:pPr>
        <w:pStyle w:val="11"/>
        <w:spacing w:before="0" w:after="0" w:line="520" w:lineRule="atLeast"/>
        <w:ind w:left="0" w:firstLine="480" w:firstLineChars="200"/>
        <w:rPr>
          <w:rFonts w:hAnsi="宋体" w:cs="Arial"/>
          <w:szCs w:val="24"/>
        </w:rPr>
      </w:pPr>
      <w:r>
        <w:rPr>
          <w:rFonts w:hAnsi="宋体" w:cs="Arial"/>
          <w:szCs w:val="24"/>
        </w:rPr>
        <w:t>21.1如果本协议任何一方因受不可抗力事件影响而未能履行其在本协议下的全部或部分义务，该义务的履行在不可抗力事件妨碍其履行期间应予中止。</w:t>
      </w:r>
    </w:p>
    <w:p w14:paraId="7F2E30AD">
      <w:pPr>
        <w:pStyle w:val="11"/>
        <w:spacing w:before="0" w:after="0" w:line="520" w:lineRule="atLeast"/>
        <w:ind w:left="0" w:firstLine="480" w:firstLineChars="200"/>
        <w:rPr>
          <w:rFonts w:hAnsi="宋体" w:cs="Arial"/>
          <w:szCs w:val="24"/>
        </w:rPr>
      </w:pPr>
      <w:r>
        <w:rPr>
          <w:rFonts w:hAnsi="宋体" w:cs="Arial"/>
          <w:szCs w:val="24"/>
        </w:rPr>
        <w:t>21.2声称受到不可抗力事件影响的一方应尽可能在最短的时间内通过书面形式将不可抗力事件的发生通知其他当事人，并及时向其他当事人提供关于此种不可抗力事件的适当证据。声称不可抗力事件导致其对本协议的履行在客观上成为不可能或不实际的一方，有责任尽一切合理的努力消除或减轻此等不可抗力事件的影响。</w:t>
      </w:r>
    </w:p>
    <w:p w14:paraId="21B26798">
      <w:pPr>
        <w:pStyle w:val="11"/>
        <w:spacing w:before="0" w:after="0" w:line="520" w:lineRule="atLeast"/>
        <w:ind w:left="0" w:firstLine="480" w:firstLineChars="200"/>
        <w:rPr>
          <w:rFonts w:hAnsi="宋体" w:cs="Arial"/>
          <w:szCs w:val="24"/>
        </w:rPr>
      </w:pPr>
      <w:r>
        <w:rPr>
          <w:rFonts w:hAnsi="宋体" w:cs="Arial"/>
          <w:szCs w:val="24"/>
        </w:rPr>
        <w:t>21.3不可抗力事件发生时，双方应立即通过友好协商决定如何执行本协议。不可抗力事件或其影响终止或消除后，双方须立即恢复履行各自在本协议项下的各项义务。</w:t>
      </w:r>
    </w:p>
    <w:p w14:paraId="3BA5E57C">
      <w:pPr>
        <w:pStyle w:val="11"/>
        <w:spacing w:before="0" w:after="0" w:line="520" w:lineRule="atLeast"/>
        <w:ind w:left="0" w:firstLine="480" w:firstLineChars="200"/>
        <w:rPr>
          <w:rFonts w:hAnsi="宋体" w:cs="Arial"/>
          <w:szCs w:val="24"/>
        </w:rPr>
      </w:pPr>
      <w:r>
        <w:rPr>
          <w:rFonts w:hAnsi="宋体" w:cs="Arial"/>
          <w:szCs w:val="24"/>
        </w:rPr>
        <w:t>21.4本条所述的不可抗力事件是指不能预见、不能避免并不能克服的客观情况。</w:t>
      </w:r>
    </w:p>
    <w:p w14:paraId="0A656701">
      <w:pPr>
        <w:pStyle w:val="2"/>
        <w:snapToGrid/>
        <w:spacing w:line="520" w:lineRule="atLeast"/>
        <w:ind w:firstLine="482" w:firstLineChars="200"/>
        <w:rPr>
          <w:rFonts w:cs="Arial"/>
          <w:bCs/>
          <w:szCs w:val="24"/>
        </w:rPr>
      </w:pPr>
      <w:bookmarkStart w:id="63" w:name="_Toc132794327"/>
      <w:bookmarkEnd w:id="63"/>
      <w:bookmarkStart w:id="64" w:name="_Toc132794324"/>
      <w:bookmarkEnd w:id="64"/>
      <w:bookmarkStart w:id="65" w:name="_Toc132794330"/>
      <w:bookmarkEnd w:id="65"/>
      <w:bookmarkStart w:id="66" w:name="_Toc132794326"/>
      <w:bookmarkEnd w:id="66"/>
      <w:bookmarkStart w:id="67" w:name="_Toc132794329"/>
      <w:bookmarkEnd w:id="67"/>
      <w:bookmarkStart w:id="68" w:name="_Toc132794328"/>
      <w:bookmarkEnd w:id="68"/>
      <w:bookmarkStart w:id="69" w:name="_Toc132794325"/>
      <w:bookmarkEnd w:id="69"/>
      <w:bookmarkStart w:id="70" w:name="_Toc238554492"/>
      <w:r>
        <w:rPr>
          <w:rFonts w:cs="Arial"/>
          <w:bCs/>
          <w:color w:val="auto"/>
          <w:szCs w:val="24"/>
        </w:rPr>
        <w:t>第二十二条 可分割性</w:t>
      </w:r>
      <w:bookmarkEnd w:id="70"/>
    </w:p>
    <w:p w14:paraId="6E340E8E">
      <w:pPr>
        <w:pStyle w:val="11"/>
        <w:spacing w:before="0" w:after="0" w:line="520" w:lineRule="atLeast"/>
        <w:ind w:left="0" w:firstLine="480" w:firstLineChars="200"/>
        <w:rPr>
          <w:rFonts w:hAnsi="宋体" w:cs="Arial"/>
          <w:szCs w:val="24"/>
        </w:rPr>
      </w:pPr>
      <w:r>
        <w:rPr>
          <w:rFonts w:hAnsi="宋体" w:cs="Arial"/>
          <w:szCs w:val="24"/>
        </w:rPr>
        <w:t>22.1如果本协议任何约定依现行法律被确定为无效或无法实施，本协议的其他条款将继续有效。此种情况下，双方将积极协商以达成有效的约定，且该有效约定应尽可能接近原规定和本协议相应的精神和宗旨。</w:t>
      </w:r>
    </w:p>
    <w:p w14:paraId="60161C7F">
      <w:pPr>
        <w:pStyle w:val="2"/>
        <w:snapToGrid/>
        <w:spacing w:line="520" w:lineRule="atLeast"/>
        <w:ind w:firstLine="482" w:firstLineChars="200"/>
        <w:rPr>
          <w:rFonts w:cs="Arial"/>
          <w:bCs/>
          <w:szCs w:val="24"/>
        </w:rPr>
      </w:pPr>
      <w:bookmarkStart w:id="71" w:name="_Toc238554493"/>
      <w:r>
        <w:rPr>
          <w:rFonts w:cs="Arial"/>
          <w:bCs/>
          <w:color w:val="auto"/>
          <w:szCs w:val="24"/>
        </w:rPr>
        <w:t>第二十三条 通知与送达</w:t>
      </w:r>
      <w:bookmarkEnd w:id="71"/>
    </w:p>
    <w:p w14:paraId="54F50447">
      <w:pPr>
        <w:autoSpaceDE w:val="0"/>
        <w:autoSpaceDN w:val="0"/>
        <w:spacing w:line="520" w:lineRule="atLeast"/>
        <w:ind w:firstLine="480" w:firstLineChars="200"/>
        <w:rPr>
          <w:rFonts w:ascii="宋体" w:hAnsi="宋体" w:cs="Arial"/>
          <w:sz w:val="24"/>
          <w:szCs w:val="24"/>
        </w:rPr>
      </w:pPr>
      <w:r>
        <w:rPr>
          <w:rFonts w:ascii="宋体" w:hAnsi="宋体" w:cs="Arial"/>
          <w:sz w:val="24"/>
          <w:szCs w:val="24"/>
        </w:rPr>
        <w:t>23.1除本协议另有约定外，本协议项下的通知、要求、诉讼（仲裁）的法律文书或其他通信可交付或发送至本协议首部所约定的地址或联系方式。</w:t>
      </w:r>
    </w:p>
    <w:p w14:paraId="2152CB11">
      <w:pPr>
        <w:autoSpaceDE w:val="0"/>
        <w:autoSpaceDN w:val="0"/>
        <w:spacing w:line="520" w:lineRule="atLeast"/>
        <w:ind w:firstLine="480" w:firstLineChars="200"/>
        <w:rPr>
          <w:rFonts w:ascii="宋体" w:hAnsi="宋体" w:cs="Arial"/>
          <w:sz w:val="24"/>
          <w:szCs w:val="24"/>
        </w:rPr>
      </w:pPr>
      <w:r>
        <w:rPr>
          <w:rFonts w:ascii="宋体" w:hAnsi="宋体" w:cs="Arial"/>
          <w:sz w:val="24"/>
          <w:szCs w:val="24"/>
        </w:rPr>
        <w:t>23.2就本协议项下基金托管人给予基金管理人的任何通知、要求或其他通信，其中电传、电话、传真、电子邮件等一经发出即视为已送达基金管理人；邮政信函于投寄之日起第三日即视为已送达基金管理人；若派人专程送达，则基金管理人签收日视为送达，基金管理人拒收的，送达人可采取拍照、录像方式记录送达过程，并将文书留置，亦视为送达。</w:t>
      </w:r>
      <w:r>
        <w:rPr>
          <w:rFonts w:hint="eastAsia" w:ascii="宋体" w:hAnsi="宋体" w:cs="Arial"/>
          <w:sz w:val="24"/>
          <w:szCs w:val="24"/>
        </w:rPr>
        <w:t>就本协议项下基金管理人给予基金托管人的任何通知、要求或其他通信，其中电传、电话、传真、电子邮件等一经发出即视为已送达基金托管人；邮政信函于投寄之日起第三日即视为已送达基金托管人；若派人专程送达，则基金托管人签收日视为送达，基金托管人拒收的，送达人可采取拍照、录像方式记录送达过程，并将文书留置，亦视为送达。</w:t>
      </w:r>
    </w:p>
    <w:p w14:paraId="2F39F983">
      <w:pPr>
        <w:autoSpaceDE w:val="0"/>
        <w:autoSpaceDN w:val="0"/>
        <w:spacing w:line="520" w:lineRule="atLeast"/>
        <w:ind w:firstLine="480" w:firstLineChars="200"/>
        <w:rPr>
          <w:rFonts w:ascii="宋体" w:hAnsi="宋体" w:cs="Arial"/>
          <w:sz w:val="24"/>
          <w:szCs w:val="24"/>
        </w:rPr>
      </w:pPr>
      <w:r>
        <w:rPr>
          <w:rFonts w:ascii="宋体" w:hAnsi="宋体" w:cs="Arial"/>
          <w:sz w:val="24"/>
          <w:szCs w:val="24"/>
        </w:rPr>
        <w:t>23.3司法机关或仲裁机构亦可按本款约定的地址、联系方式向基金管理人</w:t>
      </w:r>
      <w:r>
        <w:rPr>
          <w:rFonts w:hint="eastAsia" w:ascii="宋体" w:hAnsi="宋体" w:cs="Arial"/>
          <w:sz w:val="24"/>
          <w:szCs w:val="24"/>
        </w:rPr>
        <w:t>或基金托管人</w:t>
      </w:r>
      <w:r>
        <w:rPr>
          <w:rFonts w:ascii="宋体" w:hAnsi="宋体" w:cs="Arial"/>
          <w:sz w:val="24"/>
          <w:szCs w:val="24"/>
        </w:rPr>
        <w:t>发送相关（法律）文书，无人签收或基金管理人</w:t>
      </w:r>
      <w:r>
        <w:rPr>
          <w:rFonts w:hint="eastAsia" w:ascii="宋体" w:hAnsi="宋体" w:cs="Arial"/>
          <w:sz w:val="24"/>
          <w:szCs w:val="24"/>
        </w:rPr>
        <w:t>或基金托管人</w:t>
      </w:r>
      <w:r>
        <w:rPr>
          <w:rFonts w:ascii="宋体" w:hAnsi="宋体" w:cs="Arial"/>
          <w:sz w:val="24"/>
          <w:szCs w:val="24"/>
        </w:rPr>
        <w:t>拒收的，则（法律）文书退回之日视为送达之日；若直接送达时基金管理人</w:t>
      </w:r>
      <w:r>
        <w:rPr>
          <w:rFonts w:hint="eastAsia" w:ascii="宋体" w:hAnsi="宋体" w:cs="Arial"/>
          <w:sz w:val="24"/>
          <w:szCs w:val="24"/>
        </w:rPr>
        <w:t>或基金托管人</w:t>
      </w:r>
      <w:r>
        <w:rPr>
          <w:rFonts w:ascii="宋体" w:hAnsi="宋体" w:cs="Arial"/>
          <w:sz w:val="24"/>
          <w:szCs w:val="24"/>
        </w:rPr>
        <w:t>拒收的，送达人可采取拍照、录像方式记录送达过程，并将（法律）文书留置，亦视为送达。基金管理人</w:t>
      </w:r>
      <w:r>
        <w:rPr>
          <w:rFonts w:hint="eastAsia" w:ascii="宋体" w:hAnsi="宋体" w:cs="Arial"/>
          <w:sz w:val="24"/>
          <w:szCs w:val="24"/>
        </w:rPr>
        <w:t>或基金托管人</w:t>
      </w:r>
      <w:r>
        <w:rPr>
          <w:rFonts w:ascii="宋体" w:hAnsi="宋体" w:cs="Arial"/>
          <w:sz w:val="24"/>
          <w:szCs w:val="24"/>
        </w:rPr>
        <w:t>提供错误联系方式或未及时告知变更后联系方式的，导致（法律）文书未能送达或退回的，则（法律）文书退回之日视为送达之日。</w:t>
      </w:r>
    </w:p>
    <w:p w14:paraId="5F3F877F">
      <w:pPr>
        <w:pStyle w:val="11"/>
        <w:spacing w:before="0" w:after="0" w:line="520" w:lineRule="atLeast"/>
        <w:ind w:left="0" w:firstLine="480" w:firstLineChars="200"/>
        <w:rPr>
          <w:rFonts w:hAnsi="宋体" w:cs="Arial"/>
          <w:szCs w:val="24"/>
        </w:rPr>
      </w:pPr>
      <w:r>
        <w:rPr>
          <w:rFonts w:hAnsi="宋体" w:cs="Arial"/>
          <w:szCs w:val="24"/>
        </w:rPr>
        <w:t>23.4如果基金管理人</w:t>
      </w:r>
      <w:r>
        <w:rPr>
          <w:rFonts w:hint="eastAsia" w:hAnsi="宋体" w:cs="Arial"/>
          <w:szCs w:val="24"/>
        </w:rPr>
        <w:t>或基金托管人</w:t>
      </w:r>
      <w:r>
        <w:rPr>
          <w:rFonts w:hAnsi="宋体" w:cs="Arial"/>
          <w:szCs w:val="24"/>
        </w:rPr>
        <w:t>提供的上述联系方式发生变更的，应在变更后三日内书面通知基金托管人</w:t>
      </w:r>
      <w:r>
        <w:rPr>
          <w:rFonts w:hint="eastAsia" w:hAnsi="宋体" w:cs="Arial"/>
          <w:szCs w:val="24"/>
        </w:rPr>
        <w:t>或基金管理人</w:t>
      </w:r>
      <w:r>
        <w:rPr>
          <w:rFonts w:hAnsi="宋体" w:cs="Arial"/>
          <w:szCs w:val="24"/>
        </w:rPr>
        <w:t>；在本协议项下债务进入诉讼或仲裁阶段后，则须以书面方式告知审理机关。否则按原联系方式发出的通知或其他文书，即使变更方没有收到，仍视为送达。</w:t>
      </w:r>
    </w:p>
    <w:p w14:paraId="03807EFA">
      <w:pPr>
        <w:pStyle w:val="2"/>
        <w:snapToGrid/>
        <w:spacing w:line="520" w:lineRule="atLeast"/>
        <w:ind w:firstLine="482" w:firstLineChars="200"/>
        <w:rPr>
          <w:rFonts w:cs="Arial"/>
          <w:bCs/>
          <w:color w:val="auto"/>
          <w:szCs w:val="24"/>
        </w:rPr>
      </w:pPr>
      <w:bookmarkStart w:id="72" w:name="_Toc238554494"/>
      <w:r>
        <w:rPr>
          <w:rFonts w:cs="Arial"/>
          <w:bCs/>
          <w:color w:val="auto"/>
          <w:szCs w:val="24"/>
        </w:rPr>
        <w:t>第二十四条 其他约定事项</w:t>
      </w:r>
      <w:bookmarkEnd w:id="72"/>
    </w:p>
    <w:p w14:paraId="0D54116B">
      <w:pPr>
        <w:pStyle w:val="11"/>
        <w:spacing w:before="0" w:after="0" w:line="520" w:lineRule="atLeast"/>
        <w:ind w:left="0" w:firstLine="480" w:firstLineChars="200"/>
      </w:pPr>
      <w:r>
        <w:rPr>
          <w:rFonts w:hAnsi="宋体" w:cs="Arial"/>
          <w:szCs w:val="24"/>
        </w:rPr>
        <w:t>如本条约定与其他条款约定冲突的，应以本条约定为准。（以下无正文）</w:t>
      </w:r>
    </w:p>
    <w:p w14:paraId="68B69943">
      <w:pPr>
        <w:pStyle w:val="11"/>
        <w:spacing w:before="0" w:after="0" w:line="520" w:lineRule="atLeast"/>
        <w:ind w:left="0"/>
        <w:rPr>
          <w:rFonts w:hAnsi="宋体" w:cs="Arial"/>
          <w:szCs w:val="24"/>
        </w:rPr>
        <w:sectPr>
          <w:headerReference r:id="rId6" w:type="first"/>
          <w:footerReference r:id="rId8" w:type="first"/>
          <w:footerReference r:id="rId7" w:type="default"/>
          <w:pgSz w:w="11907" w:h="16840"/>
          <w:pgMar w:top="1440" w:right="1800" w:bottom="1440" w:left="1800" w:header="850" w:footer="850" w:gutter="0"/>
          <w:pgNumType w:start="1"/>
          <w:cols w:space="720" w:num="1"/>
          <w:titlePg/>
          <w:docGrid w:linePitch="286" w:charSpace="0"/>
        </w:sectPr>
      </w:pPr>
    </w:p>
    <w:p w14:paraId="4D21A064">
      <w:pPr>
        <w:pStyle w:val="11"/>
        <w:spacing w:before="0" w:after="0" w:line="520" w:lineRule="atLeast"/>
        <w:ind w:left="0" w:firstLine="480" w:firstLineChars="200"/>
        <w:rPr>
          <w:rFonts w:hAnsi="宋体" w:cs="Arial"/>
          <w:szCs w:val="24"/>
        </w:rPr>
      </w:pPr>
      <w:r>
        <w:rPr>
          <w:rFonts w:hAnsi="宋体" w:cs="Arial"/>
          <w:szCs w:val="24"/>
        </w:rPr>
        <w:t>（本页无正文，为《</w:t>
      </w:r>
      <w:r>
        <w:rPr>
          <w:rFonts w:hint="eastAsia" w:hAnsi="宋体" w:cs="Arial"/>
          <w:szCs w:val="24"/>
        </w:rPr>
        <w:t>国融聚达63个月封闭式债券型证券投资基金</w:t>
      </w:r>
      <w:r>
        <w:rPr>
          <w:rFonts w:hAnsi="宋体" w:cs="Arial"/>
          <w:szCs w:val="24"/>
        </w:rPr>
        <w:t>托管协议》的签署页）</w:t>
      </w:r>
    </w:p>
    <w:p w14:paraId="0232C5F7">
      <w:pPr>
        <w:pStyle w:val="11"/>
        <w:spacing w:before="0" w:after="0" w:line="520" w:lineRule="atLeast"/>
        <w:ind w:left="0" w:firstLine="480" w:firstLineChars="200"/>
        <w:rPr>
          <w:rFonts w:hAnsi="宋体" w:cs="Arial"/>
          <w:szCs w:val="24"/>
        </w:rPr>
      </w:pPr>
    </w:p>
    <w:p w14:paraId="06A762E0">
      <w:pPr>
        <w:pStyle w:val="11"/>
        <w:spacing w:before="0" w:after="0" w:line="520" w:lineRule="atLeast"/>
        <w:ind w:left="0" w:firstLine="480" w:firstLineChars="200"/>
        <w:rPr>
          <w:rFonts w:hAnsi="宋体" w:cs="Arial"/>
          <w:szCs w:val="24"/>
        </w:rPr>
      </w:pPr>
    </w:p>
    <w:p w14:paraId="60743C89">
      <w:pPr>
        <w:pStyle w:val="11"/>
        <w:spacing w:before="0" w:after="0" w:line="520" w:lineRule="atLeast"/>
        <w:ind w:left="0" w:firstLine="480" w:firstLineChars="200"/>
        <w:rPr>
          <w:rFonts w:hAnsi="宋体" w:cs="Arial"/>
          <w:szCs w:val="24"/>
        </w:rPr>
      </w:pPr>
      <w:r>
        <w:rPr>
          <w:rFonts w:hAnsi="宋体" w:cs="Arial"/>
          <w:szCs w:val="24"/>
        </w:rPr>
        <w:t>基金管理人：</w:t>
      </w:r>
      <w:r>
        <w:rPr>
          <w:rFonts w:hint="eastAsia" w:hAnsi="宋体" w:cs="Arial"/>
          <w:szCs w:val="24"/>
        </w:rPr>
        <w:t>国融基金管理有限公司</w:t>
      </w:r>
      <w:r>
        <w:rPr>
          <w:rFonts w:hAnsi="宋体" w:cs="Arial"/>
          <w:szCs w:val="24"/>
        </w:rPr>
        <w:t>（盖章）</w:t>
      </w:r>
    </w:p>
    <w:p w14:paraId="61AC8363">
      <w:pPr>
        <w:pStyle w:val="11"/>
        <w:spacing w:before="0" w:after="0" w:line="520" w:lineRule="atLeast"/>
        <w:ind w:left="0" w:firstLine="480" w:firstLineChars="200"/>
        <w:rPr>
          <w:rFonts w:hAnsi="宋体" w:cs="Arial"/>
          <w:szCs w:val="24"/>
        </w:rPr>
      </w:pPr>
    </w:p>
    <w:p w14:paraId="03C086C8">
      <w:pPr>
        <w:pStyle w:val="11"/>
        <w:spacing w:before="0" w:after="0" w:line="520" w:lineRule="atLeast"/>
        <w:ind w:left="0" w:firstLine="480" w:firstLineChars="200"/>
        <w:rPr>
          <w:rFonts w:hAnsi="宋体" w:cs="Arial"/>
          <w:szCs w:val="24"/>
        </w:rPr>
      </w:pPr>
    </w:p>
    <w:p w14:paraId="0E969B26">
      <w:pPr>
        <w:pStyle w:val="11"/>
        <w:spacing w:before="0" w:after="0" w:line="520" w:lineRule="atLeast"/>
        <w:ind w:left="0" w:firstLine="480" w:firstLineChars="200"/>
        <w:rPr>
          <w:rFonts w:hAnsi="宋体" w:cs="Arial"/>
          <w:szCs w:val="24"/>
        </w:rPr>
      </w:pPr>
      <w:r>
        <w:rPr>
          <w:rFonts w:hAnsi="宋体" w:cs="Arial"/>
          <w:szCs w:val="24"/>
        </w:rPr>
        <w:t>法定代表人（或授权代理人）：</w:t>
      </w:r>
    </w:p>
    <w:p w14:paraId="23DD46D6">
      <w:pPr>
        <w:pStyle w:val="11"/>
        <w:spacing w:before="0" w:after="0" w:line="520" w:lineRule="atLeast"/>
        <w:ind w:left="0" w:firstLine="480" w:firstLineChars="200"/>
        <w:rPr>
          <w:rFonts w:hAnsi="宋体" w:cs="Arial"/>
          <w:szCs w:val="24"/>
        </w:rPr>
      </w:pPr>
    </w:p>
    <w:p w14:paraId="1D1EED9A">
      <w:pPr>
        <w:pStyle w:val="11"/>
        <w:spacing w:before="0" w:after="0" w:line="520" w:lineRule="atLeast"/>
        <w:ind w:left="0" w:firstLine="480" w:firstLineChars="200"/>
        <w:rPr>
          <w:rFonts w:hAnsi="宋体" w:cs="Arial"/>
          <w:szCs w:val="24"/>
        </w:rPr>
      </w:pPr>
    </w:p>
    <w:p w14:paraId="47BF95DD">
      <w:pPr>
        <w:pStyle w:val="11"/>
        <w:spacing w:before="0" w:after="0" w:line="520" w:lineRule="atLeast"/>
        <w:ind w:left="0" w:firstLine="480" w:firstLineChars="200"/>
        <w:rPr>
          <w:rFonts w:hAnsi="宋体" w:cs="Arial"/>
          <w:szCs w:val="24"/>
        </w:rPr>
      </w:pPr>
    </w:p>
    <w:p w14:paraId="69BB32E3">
      <w:pPr>
        <w:pStyle w:val="11"/>
        <w:spacing w:before="0" w:after="0" w:line="520" w:lineRule="atLeast"/>
        <w:ind w:left="0" w:firstLine="480" w:firstLineChars="200"/>
        <w:rPr>
          <w:rFonts w:hAnsi="宋体" w:cs="Arial"/>
          <w:szCs w:val="24"/>
        </w:rPr>
      </w:pPr>
      <w:r>
        <w:rPr>
          <w:rFonts w:hAnsi="宋体" w:cs="Arial"/>
          <w:szCs w:val="24"/>
        </w:rPr>
        <w:t>签署日期：</w:t>
      </w:r>
    </w:p>
    <w:p w14:paraId="5F1853FE">
      <w:pPr>
        <w:pStyle w:val="11"/>
        <w:spacing w:before="0" w:after="0" w:line="520" w:lineRule="atLeast"/>
        <w:ind w:left="0" w:firstLine="480" w:firstLineChars="200"/>
        <w:rPr>
          <w:rFonts w:hAnsi="宋体" w:cs="Arial"/>
          <w:szCs w:val="24"/>
        </w:rPr>
      </w:pPr>
    </w:p>
    <w:p w14:paraId="60B636C0">
      <w:pPr>
        <w:pStyle w:val="11"/>
        <w:spacing w:before="0" w:after="0" w:line="520" w:lineRule="atLeast"/>
        <w:ind w:left="0" w:firstLine="480" w:firstLineChars="200"/>
        <w:rPr>
          <w:rFonts w:hAnsi="宋体" w:cs="Arial"/>
          <w:szCs w:val="24"/>
        </w:rPr>
      </w:pPr>
    </w:p>
    <w:p w14:paraId="69FD68FA">
      <w:pPr>
        <w:pStyle w:val="11"/>
        <w:spacing w:before="0" w:after="0" w:line="520" w:lineRule="atLeast"/>
        <w:ind w:left="0" w:firstLine="480" w:firstLineChars="200"/>
        <w:rPr>
          <w:rFonts w:hAnsi="宋体" w:cs="Arial"/>
          <w:szCs w:val="24"/>
        </w:rPr>
      </w:pPr>
    </w:p>
    <w:p w14:paraId="69ACD07B">
      <w:pPr>
        <w:pStyle w:val="11"/>
        <w:spacing w:before="0" w:after="0" w:line="520" w:lineRule="atLeast"/>
        <w:ind w:left="0" w:firstLine="480" w:firstLineChars="200"/>
        <w:rPr>
          <w:rFonts w:hAnsi="宋体" w:cs="Arial"/>
          <w:szCs w:val="24"/>
        </w:rPr>
      </w:pPr>
      <w:r>
        <w:rPr>
          <w:rFonts w:hAnsi="宋体" w:cs="Arial"/>
          <w:szCs w:val="24"/>
        </w:rPr>
        <w:t>基金托管人：中信银行股份有限公司（盖章）</w:t>
      </w:r>
    </w:p>
    <w:p w14:paraId="248855FC">
      <w:pPr>
        <w:pStyle w:val="11"/>
        <w:spacing w:before="0" w:after="0" w:line="520" w:lineRule="atLeast"/>
        <w:ind w:left="0" w:firstLine="480" w:firstLineChars="200"/>
        <w:rPr>
          <w:rFonts w:hAnsi="宋体" w:cs="Arial"/>
          <w:szCs w:val="24"/>
        </w:rPr>
      </w:pPr>
    </w:p>
    <w:p w14:paraId="5D87BEE1">
      <w:pPr>
        <w:pStyle w:val="11"/>
        <w:spacing w:before="0" w:after="0" w:line="520" w:lineRule="atLeast"/>
        <w:ind w:left="0" w:firstLine="480" w:firstLineChars="200"/>
        <w:rPr>
          <w:rFonts w:hAnsi="宋体" w:cs="Arial"/>
          <w:szCs w:val="24"/>
        </w:rPr>
      </w:pPr>
    </w:p>
    <w:p w14:paraId="4721BF9B">
      <w:pPr>
        <w:pStyle w:val="11"/>
        <w:spacing w:before="0" w:after="0" w:line="520" w:lineRule="atLeast"/>
        <w:ind w:left="0" w:firstLine="480" w:firstLineChars="200"/>
        <w:rPr>
          <w:rFonts w:hAnsi="宋体" w:cs="Arial"/>
          <w:szCs w:val="24"/>
        </w:rPr>
      </w:pPr>
      <w:r>
        <w:rPr>
          <w:rFonts w:hAnsi="宋体" w:cs="Arial"/>
          <w:szCs w:val="24"/>
        </w:rPr>
        <w:t>法定代表人（或授权代理人）：</w:t>
      </w:r>
    </w:p>
    <w:p w14:paraId="4753BB1A">
      <w:pPr>
        <w:pStyle w:val="11"/>
        <w:spacing w:before="0" w:after="0" w:line="520" w:lineRule="atLeast"/>
        <w:ind w:left="0" w:firstLine="480" w:firstLineChars="200"/>
        <w:rPr>
          <w:rFonts w:hAnsi="宋体" w:cs="Arial"/>
          <w:szCs w:val="24"/>
        </w:rPr>
      </w:pPr>
    </w:p>
    <w:p w14:paraId="652038F4">
      <w:pPr>
        <w:pStyle w:val="11"/>
        <w:spacing w:before="0" w:after="0" w:line="520" w:lineRule="atLeast"/>
        <w:ind w:left="0" w:firstLine="480" w:firstLineChars="200"/>
        <w:rPr>
          <w:rFonts w:hAnsi="宋体" w:cs="Arial"/>
          <w:szCs w:val="24"/>
        </w:rPr>
      </w:pPr>
    </w:p>
    <w:p w14:paraId="7EB9BF12">
      <w:pPr>
        <w:pStyle w:val="11"/>
        <w:spacing w:before="0" w:after="0" w:line="520" w:lineRule="atLeast"/>
        <w:ind w:left="0" w:firstLine="480" w:firstLineChars="200"/>
        <w:rPr>
          <w:rFonts w:hAnsi="宋体" w:cs="Arial"/>
          <w:szCs w:val="24"/>
        </w:rPr>
      </w:pPr>
    </w:p>
    <w:p w14:paraId="618CECFF">
      <w:pPr>
        <w:pStyle w:val="11"/>
        <w:spacing w:before="0" w:after="0" w:line="520" w:lineRule="atLeast"/>
        <w:ind w:left="0" w:firstLine="480" w:firstLineChars="200"/>
        <w:rPr>
          <w:rFonts w:hAnsi="宋体" w:cs="Arial"/>
          <w:szCs w:val="24"/>
        </w:rPr>
      </w:pPr>
      <w:r>
        <w:rPr>
          <w:rFonts w:hAnsi="宋体" w:cs="Arial"/>
          <w:szCs w:val="24"/>
        </w:rPr>
        <w:t>签署日期：</w:t>
      </w:r>
    </w:p>
    <w:p w14:paraId="713A9F2E">
      <w:pPr>
        <w:pStyle w:val="11"/>
        <w:spacing w:before="0" w:after="0" w:line="520" w:lineRule="atLeast"/>
        <w:ind w:left="0" w:firstLine="480" w:firstLineChars="200"/>
        <w:rPr>
          <w:rFonts w:hAnsi="宋体" w:cs="Arial"/>
          <w:szCs w:val="24"/>
        </w:rPr>
      </w:pPr>
      <w:r>
        <w:rPr>
          <w:rFonts w:hAnsi="宋体" w:cs="Arial"/>
          <w:szCs w:val="24"/>
        </w:rPr>
        <w:t>签订地：</w:t>
      </w:r>
    </w:p>
    <w:sectPr>
      <w:footerReference r:id="rId9" w:type="first"/>
      <w:pgSz w:w="11907" w:h="16840"/>
      <w:pgMar w:top="1440" w:right="1800" w:bottom="1440" w:left="1800" w:header="850" w:footer="850" w:gutter="0"/>
      <w:pgNumType w:start="1"/>
      <w:cols w:space="720" w:num="1"/>
      <w:titlePg/>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986F3">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25D94">
    <w:pPr>
      <w:pStyle w:val="13"/>
      <w:framePr w:wrap="around" w:vAnchor="text" w:hAnchor="margin" w:xAlign="center" w:y="1"/>
      <w:rPr>
        <w:rStyle w:val="19"/>
      </w:rPr>
    </w:pPr>
    <w:r>
      <w:fldChar w:fldCharType="begin"/>
    </w:r>
    <w:r>
      <w:rPr>
        <w:rStyle w:val="19"/>
      </w:rPr>
      <w:instrText xml:space="preserve">PAGE  </w:instrText>
    </w:r>
    <w:r>
      <w:fldChar w:fldCharType="end"/>
    </w:r>
  </w:p>
  <w:p w14:paraId="28F63A69">
    <w:pPr>
      <w:pStyle w:val="13"/>
    </w:pPr>
  </w:p>
  <w:p w14:paraId="5C5B61E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67464954"/>
    </w:sdtPr>
    <w:sdtContent>
      <w:p w14:paraId="2801A878">
        <w:pPr>
          <w:pStyle w:val="13"/>
          <w:jc w:val="center"/>
        </w:pPr>
        <w:r>
          <w:fldChar w:fldCharType="begin"/>
        </w:r>
        <w:r>
          <w:instrText xml:space="preserve">PAGE   \* MERGEFORMAT</w:instrText>
        </w:r>
        <w:r>
          <w:fldChar w:fldCharType="separate"/>
        </w:r>
        <w:r>
          <w:rPr>
            <w:lang w:val="zh-CN"/>
          </w:rPr>
          <w:t>39</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6036017"/>
    </w:sdtPr>
    <w:sdtContent>
      <w:p w14:paraId="03728781">
        <w:pPr>
          <w:pStyle w:val="13"/>
          <w:jc w:val="center"/>
        </w:pPr>
        <w:r>
          <w:fldChar w:fldCharType="begin"/>
        </w:r>
        <w:r>
          <w:instrText xml:space="preserve">PAGE   \* MERGEFORMAT</w:instrText>
        </w:r>
        <w:r>
          <w:fldChar w:fldCharType="separate"/>
        </w:r>
        <w:r>
          <w:rPr>
            <w:lang w:val="zh-CN"/>
          </w:rPr>
          <w:t>1</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1EB3B">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4D70D">
    <w:pPr>
      <w:tabs>
        <w:tab w:val="right" w:pos="8222"/>
      </w:tabs>
      <w:rPr>
        <w:rFonts w:hint="eastAsia" w:eastAsia="宋体"/>
        <w:sz w:val="18"/>
        <w:szCs w:val="16"/>
        <w:u w:val="single"/>
        <w:lang w:eastAsia="zh-CN"/>
      </w:rPr>
    </w:pPr>
    <w:r>
      <w:rPr>
        <w:rFonts w:hint="eastAsia"/>
        <w:sz w:val="18"/>
        <w:szCs w:val="16"/>
        <w:u w:val="single"/>
      </w:rPr>
      <w:t>国融聚达63个月封闭式债券型证券投资基金</w:t>
    </w:r>
    <w:r>
      <w:rPr>
        <w:sz w:val="18"/>
        <w:szCs w:val="16"/>
        <w:u w:val="single"/>
      </w:rPr>
      <w:tab/>
    </w:r>
    <w:r>
      <w:rPr>
        <w:rFonts w:hint="eastAsia"/>
        <w:sz w:val="18"/>
        <w:szCs w:val="16"/>
        <w:u w:val="single"/>
      </w:rPr>
      <w:t>托管协议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B3D47">
    <w:pPr>
      <w:tabs>
        <w:tab w:val="right" w:pos="8222"/>
      </w:tabs>
      <w:rPr>
        <w:rFonts w:hint="eastAsia" w:eastAsia="宋体"/>
        <w:sz w:val="18"/>
        <w:szCs w:val="16"/>
        <w:u w:val="single"/>
        <w:lang w:eastAsia="zh-CN"/>
      </w:rPr>
    </w:pPr>
    <w:r>
      <w:rPr>
        <w:rFonts w:hint="eastAsia"/>
        <w:sz w:val="18"/>
        <w:szCs w:val="16"/>
        <w:u w:val="single"/>
      </w:rPr>
      <w:t>国融聚达63个月封闭式债券型证券投资基金</w:t>
    </w:r>
    <w:r>
      <w:rPr>
        <w:sz w:val="18"/>
        <w:szCs w:val="16"/>
        <w:u w:val="single"/>
      </w:rPr>
      <w:tab/>
    </w:r>
    <w:r>
      <w:rPr>
        <w:rFonts w:hint="eastAsia"/>
        <w:sz w:val="18"/>
        <w:szCs w:val="16"/>
        <w:u w:val="single"/>
      </w:rPr>
      <w:t>托管协议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82E"/>
    <w:rsid w:val="00040DEB"/>
    <w:rsid w:val="00052E41"/>
    <w:rsid w:val="000611B4"/>
    <w:rsid w:val="000758BC"/>
    <w:rsid w:val="00076F59"/>
    <w:rsid w:val="000D1123"/>
    <w:rsid w:val="000D50E8"/>
    <w:rsid w:val="000D7DD9"/>
    <w:rsid w:val="000E393F"/>
    <w:rsid w:val="001048E8"/>
    <w:rsid w:val="001055E0"/>
    <w:rsid w:val="00111BAC"/>
    <w:rsid w:val="001711BF"/>
    <w:rsid w:val="001A3A2F"/>
    <w:rsid w:val="001F6AF5"/>
    <w:rsid w:val="00205209"/>
    <w:rsid w:val="0020747F"/>
    <w:rsid w:val="002317BB"/>
    <w:rsid w:val="00245E91"/>
    <w:rsid w:val="00267F47"/>
    <w:rsid w:val="00277782"/>
    <w:rsid w:val="00296565"/>
    <w:rsid w:val="00297ED8"/>
    <w:rsid w:val="002A08E2"/>
    <w:rsid w:val="002B3515"/>
    <w:rsid w:val="002B364D"/>
    <w:rsid w:val="002B3CE5"/>
    <w:rsid w:val="00322B75"/>
    <w:rsid w:val="003259B4"/>
    <w:rsid w:val="00332B8A"/>
    <w:rsid w:val="003610E5"/>
    <w:rsid w:val="00383B73"/>
    <w:rsid w:val="00390CAE"/>
    <w:rsid w:val="003918AA"/>
    <w:rsid w:val="003A694B"/>
    <w:rsid w:val="003B3462"/>
    <w:rsid w:val="003C0543"/>
    <w:rsid w:val="003C14FD"/>
    <w:rsid w:val="003E4192"/>
    <w:rsid w:val="003F3274"/>
    <w:rsid w:val="003F69B8"/>
    <w:rsid w:val="00427298"/>
    <w:rsid w:val="0045182E"/>
    <w:rsid w:val="00460E1C"/>
    <w:rsid w:val="00470509"/>
    <w:rsid w:val="00477953"/>
    <w:rsid w:val="004838B5"/>
    <w:rsid w:val="004A747B"/>
    <w:rsid w:val="004B6755"/>
    <w:rsid w:val="005170CC"/>
    <w:rsid w:val="00534436"/>
    <w:rsid w:val="00546AAF"/>
    <w:rsid w:val="00571FDD"/>
    <w:rsid w:val="00595FEA"/>
    <w:rsid w:val="005C7846"/>
    <w:rsid w:val="005D0070"/>
    <w:rsid w:val="005D17F9"/>
    <w:rsid w:val="005E6DF1"/>
    <w:rsid w:val="005F1717"/>
    <w:rsid w:val="005F4628"/>
    <w:rsid w:val="0064016D"/>
    <w:rsid w:val="00642A0B"/>
    <w:rsid w:val="0067243D"/>
    <w:rsid w:val="00682948"/>
    <w:rsid w:val="00692227"/>
    <w:rsid w:val="006A23BE"/>
    <w:rsid w:val="006A4D6D"/>
    <w:rsid w:val="006B4693"/>
    <w:rsid w:val="006C0B6A"/>
    <w:rsid w:val="006D7671"/>
    <w:rsid w:val="006F05A1"/>
    <w:rsid w:val="00715A6C"/>
    <w:rsid w:val="007656A3"/>
    <w:rsid w:val="007670B1"/>
    <w:rsid w:val="007D13A6"/>
    <w:rsid w:val="007F0E90"/>
    <w:rsid w:val="0082113B"/>
    <w:rsid w:val="008254FF"/>
    <w:rsid w:val="008270A5"/>
    <w:rsid w:val="008355BB"/>
    <w:rsid w:val="0085427E"/>
    <w:rsid w:val="00855BC6"/>
    <w:rsid w:val="00872D49"/>
    <w:rsid w:val="00883198"/>
    <w:rsid w:val="008847FF"/>
    <w:rsid w:val="00894B0D"/>
    <w:rsid w:val="008C6645"/>
    <w:rsid w:val="008C79A6"/>
    <w:rsid w:val="009102B2"/>
    <w:rsid w:val="00916E1D"/>
    <w:rsid w:val="0092045A"/>
    <w:rsid w:val="00921BCB"/>
    <w:rsid w:val="009318BE"/>
    <w:rsid w:val="00942C3B"/>
    <w:rsid w:val="00943439"/>
    <w:rsid w:val="0095229E"/>
    <w:rsid w:val="00964522"/>
    <w:rsid w:val="009F2D50"/>
    <w:rsid w:val="009F2E2A"/>
    <w:rsid w:val="009F3761"/>
    <w:rsid w:val="009F74A1"/>
    <w:rsid w:val="00A238D0"/>
    <w:rsid w:val="00A42007"/>
    <w:rsid w:val="00A56F9C"/>
    <w:rsid w:val="00A62494"/>
    <w:rsid w:val="00AA1C08"/>
    <w:rsid w:val="00AA7FA7"/>
    <w:rsid w:val="00AB60C9"/>
    <w:rsid w:val="00AC4379"/>
    <w:rsid w:val="00AD4015"/>
    <w:rsid w:val="00AF2621"/>
    <w:rsid w:val="00B101BB"/>
    <w:rsid w:val="00B356C3"/>
    <w:rsid w:val="00B44343"/>
    <w:rsid w:val="00B52D8D"/>
    <w:rsid w:val="00B55411"/>
    <w:rsid w:val="00B568FF"/>
    <w:rsid w:val="00B912A2"/>
    <w:rsid w:val="00BA048D"/>
    <w:rsid w:val="00BA457C"/>
    <w:rsid w:val="00BA45CD"/>
    <w:rsid w:val="00BB7B73"/>
    <w:rsid w:val="00BC00DC"/>
    <w:rsid w:val="00BD26FE"/>
    <w:rsid w:val="00BE5070"/>
    <w:rsid w:val="00BF7418"/>
    <w:rsid w:val="00C12A4B"/>
    <w:rsid w:val="00C34FDA"/>
    <w:rsid w:val="00C672A7"/>
    <w:rsid w:val="00C74434"/>
    <w:rsid w:val="00C94615"/>
    <w:rsid w:val="00C97380"/>
    <w:rsid w:val="00CA4EC3"/>
    <w:rsid w:val="00CB66F0"/>
    <w:rsid w:val="00CC33DB"/>
    <w:rsid w:val="00CD478C"/>
    <w:rsid w:val="00CD6089"/>
    <w:rsid w:val="00CE1660"/>
    <w:rsid w:val="00CE79A1"/>
    <w:rsid w:val="00D26B8C"/>
    <w:rsid w:val="00D40962"/>
    <w:rsid w:val="00D55433"/>
    <w:rsid w:val="00D55AD3"/>
    <w:rsid w:val="00D8632E"/>
    <w:rsid w:val="00DA535A"/>
    <w:rsid w:val="00DA69AB"/>
    <w:rsid w:val="00DE2082"/>
    <w:rsid w:val="00DF4E4D"/>
    <w:rsid w:val="00E14BF0"/>
    <w:rsid w:val="00E3597C"/>
    <w:rsid w:val="00E462F9"/>
    <w:rsid w:val="00E841E3"/>
    <w:rsid w:val="00F06CDF"/>
    <w:rsid w:val="00F234B8"/>
    <w:rsid w:val="00F66EDA"/>
    <w:rsid w:val="00F67B1E"/>
    <w:rsid w:val="00F75C14"/>
    <w:rsid w:val="00FC6F96"/>
    <w:rsid w:val="09864D8C"/>
    <w:rsid w:val="0CF144B6"/>
    <w:rsid w:val="139E1B1C"/>
    <w:rsid w:val="15B97978"/>
    <w:rsid w:val="22FE77A0"/>
    <w:rsid w:val="295D3DC1"/>
    <w:rsid w:val="2EE54297"/>
    <w:rsid w:val="32A3294D"/>
    <w:rsid w:val="3AF92BD0"/>
    <w:rsid w:val="481E599D"/>
    <w:rsid w:val="5130080D"/>
    <w:rsid w:val="51CC4A7B"/>
    <w:rsid w:val="523D7CE9"/>
    <w:rsid w:val="60C22F4E"/>
    <w:rsid w:val="653207AF"/>
    <w:rsid w:val="75BE6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napToGrid w:val="0"/>
      <w:spacing w:line="360" w:lineRule="auto"/>
      <w:ind w:firstLine="541"/>
      <w:outlineLvl w:val="0"/>
    </w:pPr>
    <w:rPr>
      <w:rFonts w:ascii="宋体" w:hAnsi="宋体"/>
      <w:b/>
      <w:color w:val="000000"/>
      <w:sz w:val="24"/>
    </w:rPr>
  </w:style>
  <w:style w:type="paragraph" w:styleId="3">
    <w:name w:val="heading 2"/>
    <w:basedOn w:val="1"/>
    <w:next w:val="1"/>
    <w:link w:val="2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7"/>
    <w:qFormat/>
    <w:uiPriority w:val="0"/>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0"/>
    <w:unhideWhenUsed/>
    <w:qFormat/>
    <w:uiPriority w:val="99"/>
    <w:rPr>
      <w:rFonts w:ascii="宋体" w:hAnsi="Calibri"/>
      <w:kern w:val="0"/>
      <w:sz w:val="18"/>
      <w:szCs w:val="18"/>
    </w:rPr>
  </w:style>
  <w:style w:type="paragraph" w:styleId="6">
    <w:name w:val="annotation text"/>
    <w:basedOn w:val="1"/>
    <w:link w:val="28"/>
    <w:unhideWhenUsed/>
    <w:qFormat/>
    <w:uiPriority w:val="0"/>
    <w:pPr>
      <w:jc w:val="left"/>
    </w:pPr>
  </w:style>
  <w:style w:type="paragraph" w:styleId="7">
    <w:name w:val="Body Text"/>
    <w:basedOn w:val="1"/>
    <w:link w:val="31"/>
    <w:qFormat/>
    <w:uiPriority w:val="0"/>
    <w:pPr>
      <w:spacing w:after="120"/>
    </w:pPr>
  </w:style>
  <w:style w:type="paragraph" w:styleId="8">
    <w:name w:val="Body Text Indent"/>
    <w:basedOn w:val="1"/>
    <w:link w:val="32"/>
    <w:qFormat/>
    <w:uiPriority w:val="0"/>
    <w:pPr>
      <w:autoSpaceDE w:val="0"/>
      <w:autoSpaceDN w:val="0"/>
      <w:adjustRightInd w:val="0"/>
      <w:spacing w:line="360" w:lineRule="auto"/>
      <w:ind w:firstLine="478" w:firstLineChars="199"/>
    </w:pPr>
    <w:rPr>
      <w:rFonts w:ascii="宋体" w:hAnsi="宋体"/>
      <w:kern w:val="0"/>
      <w:sz w:val="24"/>
      <w:szCs w:val="21"/>
    </w:rPr>
  </w:style>
  <w:style w:type="paragraph" w:styleId="9">
    <w:name w:val="Plain Text"/>
    <w:basedOn w:val="1"/>
    <w:link w:val="33"/>
    <w:qFormat/>
    <w:uiPriority w:val="0"/>
    <w:rPr>
      <w:rFonts w:ascii="宋体" w:hAnsi="Courier New"/>
      <w:szCs w:val="21"/>
    </w:rPr>
  </w:style>
  <w:style w:type="paragraph" w:styleId="10">
    <w:name w:val="Date"/>
    <w:basedOn w:val="1"/>
    <w:next w:val="1"/>
    <w:link w:val="34"/>
    <w:qFormat/>
    <w:uiPriority w:val="0"/>
    <w:pPr>
      <w:ind w:left="100" w:leftChars="2500"/>
    </w:pPr>
    <w:rPr>
      <w:rFonts w:ascii="宋体" w:hAnsi="宋体"/>
      <w:sz w:val="24"/>
    </w:rPr>
  </w:style>
  <w:style w:type="paragraph" w:styleId="11">
    <w:name w:val="Body Text Indent 2"/>
    <w:basedOn w:val="1"/>
    <w:link w:val="35"/>
    <w:qFormat/>
    <w:uiPriority w:val="0"/>
    <w:pPr>
      <w:spacing w:before="60" w:after="60"/>
      <w:ind w:left="479"/>
    </w:pPr>
    <w:rPr>
      <w:rFonts w:ascii="宋体"/>
      <w:sz w:val="24"/>
    </w:rPr>
  </w:style>
  <w:style w:type="paragraph" w:styleId="12">
    <w:name w:val="Balloon Text"/>
    <w:basedOn w:val="1"/>
    <w:link w:val="36"/>
    <w:semiHidden/>
    <w:qFormat/>
    <w:uiPriority w:val="99"/>
    <w:rPr>
      <w:sz w:val="18"/>
      <w:szCs w:val="18"/>
    </w:rPr>
  </w:style>
  <w:style w:type="paragraph" w:styleId="13">
    <w:name w:val="footer"/>
    <w:basedOn w:val="1"/>
    <w:link w:val="2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toc 1"/>
    <w:basedOn w:val="1"/>
    <w:next w:val="1"/>
    <w:unhideWhenUsed/>
    <w:qFormat/>
    <w:uiPriority w:val="39"/>
    <w:pPr>
      <w:tabs>
        <w:tab w:val="right" w:leader="hyphen" w:pos="8296"/>
      </w:tabs>
      <w:spacing w:line="360" w:lineRule="auto"/>
    </w:pPr>
    <w:rPr>
      <w:rFonts w:ascii="宋体" w:hAnsi="宋体"/>
      <w:sz w:val="24"/>
      <w:szCs w:val="24"/>
    </w:rPr>
  </w:style>
  <w:style w:type="paragraph" w:styleId="16">
    <w:name w:val="annotation subject"/>
    <w:basedOn w:val="6"/>
    <w:next w:val="6"/>
    <w:link w:val="29"/>
    <w:semiHidden/>
    <w:qFormat/>
    <w:uiPriority w:val="99"/>
    <w:rPr>
      <w:b/>
      <w:bCs/>
    </w:rPr>
  </w:style>
  <w:style w:type="character" w:styleId="19">
    <w:name w:val="page number"/>
    <w:basedOn w:val="18"/>
    <w:qFormat/>
    <w:uiPriority w:val="0"/>
  </w:style>
  <w:style w:type="character" w:styleId="20">
    <w:name w:val="FollowedHyperlink"/>
    <w:qFormat/>
    <w:uiPriority w:val="0"/>
    <w:rPr>
      <w:color w:val="800080"/>
      <w:u w:val="single"/>
    </w:rPr>
  </w:style>
  <w:style w:type="character" w:styleId="21">
    <w:name w:val="Hyperlink"/>
    <w:qFormat/>
    <w:uiPriority w:val="99"/>
    <w:rPr>
      <w:color w:val="0000FF"/>
      <w:u w:val="single"/>
    </w:rPr>
  </w:style>
  <w:style w:type="character" w:styleId="22">
    <w:name w:val="annotation reference"/>
    <w:semiHidden/>
    <w:qFormat/>
    <w:uiPriority w:val="99"/>
    <w:rPr>
      <w:sz w:val="21"/>
      <w:szCs w:val="21"/>
    </w:rPr>
  </w:style>
  <w:style w:type="character" w:customStyle="1" w:styleId="23">
    <w:name w:val="页眉 字符"/>
    <w:basedOn w:val="18"/>
    <w:link w:val="14"/>
    <w:qFormat/>
    <w:uiPriority w:val="99"/>
    <w:rPr>
      <w:sz w:val="18"/>
      <w:szCs w:val="18"/>
    </w:rPr>
  </w:style>
  <w:style w:type="character" w:customStyle="1" w:styleId="24">
    <w:name w:val="页脚 字符"/>
    <w:basedOn w:val="18"/>
    <w:link w:val="13"/>
    <w:qFormat/>
    <w:uiPriority w:val="99"/>
    <w:rPr>
      <w:sz w:val="18"/>
      <w:szCs w:val="18"/>
    </w:rPr>
  </w:style>
  <w:style w:type="character" w:customStyle="1" w:styleId="25">
    <w:name w:val="标题 1 字符"/>
    <w:basedOn w:val="18"/>
    <w:link w:val="2"/>
    <w:qFormat/>
    <w:uiPriority w:val="9"/>
    <w:rPr>
      <w:rFonts w:ascii="宋体" w:hAnsi="宋体" w:eastAsia="宋体" w:cs="Times New Roman"/>
      <w:b/>
      <w:color w:val="000000"/>
      <w:sz w:val="24"/>
      <w:szCs w:val="20"/>
    </w:rPr>
  </w:style>
  <w:style w:type="character" w:customStyle="1" w:styleId="26">
    <w:name w:val="标题 2 字符"/>
    <w:basedOn w:val="18"/>
    <w:link w:val="3"/>
    <w:qFormat/>
    <w:uiPriority w:val="0"/>
    <w:rPr>
      <w:rFonts w:ascii="Arial" w:hAnsi="Arial" w:eastAsia="黑体" w:cs="Times New Roman"/>
      <w:b/>
      <w:bCs/>
      <w:sz w:val="32"/>
      <w:szCs w:val="32"/>
    </w:rPr>
  </w:style>
  <w:style w:type="character" w:customStyle="1" w:styleId="27">
    <w:name w:val="标题 3 字符"/>
    <w:basedOn w:val="18"/>
    <w:link w:val="4"/>
    <w:qFormat/>
    <w:uiPriority w:val="0"/>
    <w:rPr>
      <w:rFonts w:ascii="Times New Roman" w:hAnsi="Times New Roman" w:eastAsia="宋体" w:cs="Times New Roman"/>
      <w:b/>
      <w:bCs/>
      <w:sz w:val="32"/>
      <w:szCs w:val="32"/>
    </w:rPr>
  </w:style>
  <w:style w:type="character" w:customStyle="1" w:styleId="28">
    <w:name w:val="批注文字 字符"/>
    <w:basedOn w:val="18"/>
    <w:link w:val="6"/>
    <w:qFormat/>
    <w:uiPriority w:val="0"/>
    <w:rPr>
      <w:rFonts w:ascii="Times New Roman" w:hAnsi="Times New Roman" w:eastAsia="宋体" w:cs="Times New Roman"/>
      <w:szCs w:val="20"/>
    </w:rPr>
  </w:style>
  <w:style w:type="character" w:customStyle="1" w:styleId="29">
    <w:name w:val="批注主题 字符"/>
    <w:basedOn w:val="28"/>
    <w:link w:val="16"/>
    <w:semiHidden/>
    <w:qFormat/>
    <w:uiPriority w:val="99"/>
    <w:rPr>
      <w:rFonts w:ascii="Times New Roman" w:hAnsi="Times New Roman" w:eastAsia="宋体" w:cs="Times New Roman"/>
      <w:b/>
      <w:bCs/>
      <w:szCs w:val="20"/>
    </w:rPr>
  </w:style>
  <w:style w:type="character" w:customStyle="1" w:styleId="30">
    <w:name w:val="文档结构图 字符"/>
    <w:basedOn w:val="18"/>
    <w:link w:val="5"/>
    <w:qFormat/>
    <w:uiPriority w:val="99"/>
    <w:rPr>
      <w:rFonts w:ascii="宋体" w:hAnsi="Calibri" w:eastAsia="宋体" w:cs="Times New Roman"/>
      <w:kern w:val="0"/>
      <w:sz w:val="18"/>
      <w:szCs w:val="18"/>
    </w:rPr>
  </w:style>
  <w:style w:type="character" w:customStyle="1" w:styleId="31">
    <w:name w:val="正文文本 字符"/>
    <w:basedOn w:val="18"/>
    <w:link w:val="7"/>
    <w:qFormat/>
    <w:uiPriority w:val="0"/>
    <w:rPr>
      <w:rFonts w:ascii="Times New Roman" w:hAnsi="Times New Roman" w:eastAsia="宋体" w:cs="Times New Roman"/>
      <w:szCs w:val="20"/>
    </w:rPr>
  </w:style>
  <w:style w:type="character" w:customStyle="1" w:styleId="32">
    <w:name w:val="正文文本缩进 字符"/>
    <w:basedOn w:val="18"/>
    <w:link w:val="8"/>
    <w:qFormat/>
    <w:uiPriority w:val="0"/>
    <w:rPr>
      <w:rFonts w:ascii="宋体" w:hAnsi="宋体" w:eastAsia="宋体" w:cs="Times New Roman"/>
      <w:kern w:val="0"/>
      <w:sz w:val="24"/>
      <w:szCs w:val="21"/>
    </w:rPr>
  </w:style>
  <w:style w:type="character" w:customStyle="1" w:styleId="33">
    <w:name w:val="纯文本 字符"/>
    <w:basedOn w:val="18"/>
    <w:link w:val="9"/>
    <w:qFormat/>
    <w:uiPriority w:val="0"/>
    <w:rPr>
      <w:rFonts w:ascii="宋体" w:hAnsi="Courier New" w:eastAsia="宋体" w:cs="Times New Roman"/>
      <w:szCs w:val="21"/>
    </w:rPr>
  </w:style>
  <w:style w:type="character" w:customStyle="1" w:styleId="34">
    <w:name w:val="日期 字符"/>
    <w:basedOn w:val="18"/>
    <w:link w:val="10"/>
    <w:qFormat/>
    <w:uiPriority w:val="0"/>
    <w:rPr>
      <w:rFonts w:ascii="宋体" w:hAnsi="宋体" w:eastAsia="宋体" w:cs="Times New Roman"/>
      <w:sz w:val="24"/>
      <w:szCs w:val="20"/>
    </w:rPr>
  </w:style>
  <w:style w:type="character" w:customStyle="1" w:styleId="35">
    <w:name w:val="正文文本缩进 2 字符"/>
    <w:basedOn w:val="18"/>
    <w:link w:val="11"/>
    <w:qFormat/>
    <w:uiPriority w:val="0"/>
    <w:rPr>
      <w:rFonts w:ascii="宋体" w:hAnsi="Times New Roman" w:eastAsia="宋体" w:cs="Times New Roman"/>
      <w:sz w:val="24"/>
      <w:szCs w:val="20"/>
    </w:rPr>
  </w:style>
  <w:style w:type="character" w:customStyle="1" w:styleId="36">
    <w:name w:val="批注框文本 字符"/>
    <w:basedOn w:val="18"/>
    <w:link w:val="12"/>
    <w:semiHidden/>
    <w:qFormat/>
    <w:uiPriority w:val="99"/>
    <w:rPr>
      <w:rFonts w:ascii="Times New Roman" w:hAnsi="Times New Roman" w:eastAsia="宋体" w:cs="Times New Roman"/>
      <w:sz w:val="18"/>
      <w:szCs w:val="18"/>
    </w:rPr>
  </w:style>
  <w:style w:type="character" w:customStyle="1" w:styleId="37">
    <w:name w:val="DeltaView Insertion"/>
    <w:qFormat/>
    <w:uiPriority w:val="0"/>
    <w:rPr>
      <w:color w:val="0000FF"/>
      <w:spacing w:val="0"/>
      <w:u w:val="double"/>
    </w:rPr>
  </w:style>
  <w:style w:type="character" w:customStyle="1" w:styleId="38">
    <w:name w:val="e-arialb101"/>
    <w:qFormat/>
    <w:uiPriority w:val="0"/>
    <w:rPr>
      <w:rFonts w:hint="default" w:ascii="Arial" w:hAnsi="Arial" w:cs="Arial"/>
      <w:color w:val="000000"/>
      <w:sz w:val="14"/>
      <w:szCs w:val="14"/>
    </w:rPr>
  </w:style>
  <w:style w:type="character" w:customStyle="1" w:styleId="39">
    <w:name w:val="批注文字 字符1"/>
    <w:qFormat/>
    <w:uiPriority w:val="99"/>
    <w:rPr>
      <w:kern w:val="2"/>
      <w:sz w:val="21"/>
    </w:rPr>
  </w:style>
  <w:style w:type="character" w:customStyle="1" w:styleId="40">
    <w:name w:val="apple-style-span"/>
    <w:qFormat/>
    <w:uiPriority w:val="0"/>
  </w:style>
  <w:style w:type="paragraph" w:customStyle="1" w:styleId="41">
    <w:name w:val="修订1"/>
    <w:semiHidden/>
    <w:qFormat/>
    <w:uiPriority w:val="99"/>
    <w:rPr>
      <w:rFonts w:ascii="Calibri" w:hAnsi="Calibri" w:eastAsia="宋体" w:cs="Times New Roman"/>
      <w:kern w:val="2"/>
      <w:sz w:val="21"/>
      <w:szCs w:val="22"/>
      <w:lang w:val="en-US" w:eastAsia="zh-CN" w:bidi="ar-SA"/>
    </w:rPr>
  </w:style>
  <w:style w:type="paragraph" w:customStyle="1" w:styleId="42">
    <w:name w:val="Normal (Justified)"/>
    <w:basedOn w:val="1"/>
    <w:semiHidden/>
    <w:qFormat/>
    <w:uiPriority w:val="0"/>
    <w:pPr>
      <w:widowControl/>
      <w:snapToGrid w:val="0"/>
    </w:pPr>
    <w:rPr>
      <w:kern w:val="28"/>
      <w:sz w:val="24"/>
    </w:rPr>
  </w:style>
  <w:style w:type="paragraph" w:customStyle="1" w:styleId="43">
    <w:name w:val="Char Char Char Char Char Char Char Char Char Char Char Char Char1 Char Char Char Char"/>
    <w:basedOn w:val="1"/>
    <w:qFormat/>
    <w:uiPriority w:val="0"/>
    <w:rPr>
      <w:rFonts w:ascii="Tahoma" w:hAnsi="Tahoma"/>
      <w:sz w:val="24"/>
      <w:szCs w:val="24"/>
    </w:rPr>
  </w:style>
  <w:style w:type="paragraph" w:customStyle="1" w:styleId="4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5">
    <w:name w:val="Char"/>
    <w:basedOn w:val="1"/>
    <w:qFormat/>
    <w:uiPriority w:val="0"/>
    <w:pPr>
      <w:widowControl/>
      <w:spacing w:after="160" w:line="240" w:lineRule="exact"/>
      <w:jc w:val="left"/>
    </w:pPr>
  </w:style>
  <w:style w:type="paragraph" w:customStyle="1" w:styleId="46">
    <w:name w:val="Char Char Char"/>
    <w:basedOn w:val="1"/>
    <w:qFormat/>
    <w:uiPriority w:val="0"/>
    <w:rPr>
      <w:szCs w:val="24"/>
    </w:rPr>
  </w:style>
  <w:style w:type="paragraph" w:customStyle="1" w:styleId="47">
    <w:name w:val="Char Char Char Char Char Char Char"/>
    <w:basedOn w:val="1"/>
    <w:qFormat/>
    <w:uiPriority w:val="0"/>
    <w:pPr>
      <w:tabs>
        <w:tab w:val="left" w:pos="360"/>
      </w:tabs>
      <w:adjustRightInd w:val="0"/>
      <w:textAlignment w:val="baseline"/>
    </w:pPr>
    <w:rPr>
      <w:sz w:val="24"/>
    </w:rPr>
  </w:style>
  <w:style w:type="paragraph" w:customStyle="1" w:styleId="48">
    <w:name w:val="CM16"/>
    <w:basedOn w:val="44"/>
    <w:next w:val="44"/>
    <w:qFormat/>
    <w:uiPriority w:val="0"/>
    <w:pPr>
      <w:spacing w:line="471" w:lineRule="atLeast"/>
    </w:pPr>
    <w:rPr>
      <w:rFonts w:ascii="黑体" w:hAnsi="Times New Roman" w:eastAsia="黑体" w:cs="Times New Roman"/>
      <w:color w:val="auto"/>
    </w:rPr>
  </w:style>
  <w:style w:type="paragraph" w:customStyle="1" w:styleId="49">
    <w:name w:val="Char Char Char1 Char Char Char Char"/>
    <w:basedOn w:val="1"/>
    <w:qFormat/>
    <w:uiPriority w:val="0"/>
    <w:pPr>
      <w:tabs>
        <w:tab w:val="left" w:pos="360"/>
      </w:tabs>
    </w:pPr>
    <w:rPr>
      <w:sz w:val="24"/>
      <w:szCs w:val="24"/>
    </w:rPr>
  </w:style>
  <w:style w:type="paragraph" w:customStyle="1" w:styleId="50">
    <w:name w:val="4 Char Char Char Char"/>
    <w:basedOn w:val="1"/>
    <w:qFormat/>
    <w:uiPriority w:val="0"/>
    <w:rPr>
      <w:rFonts w:ascii="Tahoma" w:hAnsi="Tahoma"/>
      <w:sz w:val="24"/>
    </w:rPr>
  </w:style>
  <w:style w:type="paragraph" w:customStyle="1" w:styleId="51">
    <w:name w:val="Char Char Char Char Char Char1 Char Char Char"/>
    <w:basedOn w:val="1"/>
    <w:qFormat/>
    <w:uiPriority w:val="0"/>
    <w:pPr>
      <w:autoSpaceDE w:val="0"/>
      <w:autoSpaceDN w:val="0"/>
      <w:adjustRightInd w:val="0"/>
      <w:jc w:val="left"/>
      <w:textAlignment w:val="baseline"/>
    </w:pPr>
  </w:style>
  <w:style w:type="paragraph" w:customStyle="1" w:styleId="52">
    <w:name w:val="修订2"/>
    <w:hidden/>
    <w:semiHidden/>
    <w:qFormat/>
    <w:uiPriority w:val="99"/>
    <w:rPr>
      <w:rFonts w:ascii="Times New Roman" w:hAnsi="Times New Roman" w:eastAsia="宋体" w:cs="Times New Roman"/>
      <w:kern w:val="2"/>
      <w:sz w:val="21"/>
      <w:lang w:val="en-US" w:eastAsia="zh-CN" w:bidi="ar-SA"/>
    </w:rPr>
  </w:style>
  <w:style w:type="character" w:customStyle="1" w:styleId="53">
    <w:name w:val="占位符文本1"/>
    <w:basedOn w:val="18"/>
    <w:semiHidden/>
    <w:qFormat/>
    <w:uiPriority w:val="99"/>
    <w:rPr>
      <w:color w:val="808080"/>
    </w:rPr>
  </w:style>
  <w:style w:type="paragraph" w:customStyle="1" w:styleId="54">
    <w:name w:val="修订3"/>
    <w:hidden/>
    <w:semiHidden/>
    <w:qFormat/>
    <w:uiPriority w:val="99"/>
    <w:rPr>
      <w:rFonts w:ascii="Times New Roman" w:hAnsi="Times New Roman" w:eastAsia="宋体" w:cs="Times New Roman"/>
      <w:kern w:val="2"/>
      <w:sz w:val="21"/>
      <w:lang w:val="en-US" w:eastAsia="zh-CN" w:bidi="ar-SA"/>
    </w:rPr>
  </w:style>
  <w:style w:type="paragraph" w:customStyle="1" w:styleId="55">
    <w:name w:val="修订4"/>
    <w:hidden/>
    <w:unhideWhenUsed/>
    <w:qFormat/>
    <w:uiPriority w:val="99"/>
    <w:rPr>
      <w:rFonts w:ascii="Times New Roman" w:hAnsi="Times New Roman" w:eastAsia="宋体" w:cs="Times New Roman"/>
      <w:kern w:val="2"/>
      <w:sz w:val="21"/>
      <w:lang w:val="en-US" w:eastAsia="zh-CN" w:bidi="ar-SA"/>
    </w:rPr>
  </w:style>
  <w:style w:type="paragraph" w:customStyle="1" w:styleId="56">
    <w:name w:val="修订5"/>
    <w:hidden/>
    <w:semiHidden/>
    <w:qFormat/>
    <w:uiPriority w:val="99"/>
    <w:rPr>
      <w:rFonts w:ascii="Times New Roman" w:hAnsi="Times New Roman" w:eastAsia="宋体" w:cs="Times New Roman"/>
      <w:kern w:val="2"/>
      <w:sz w:val="21"/>
      <w:lang w:val="en-US" w:eastAsia="zh-CN" w:bidi="ar-SA"/>
    </w:rPr>
  </w:style>
  <w:style w:type="character" w:customStyle="1" w:styleId="57">
    <w:name w:val="read"/>
    <w:qFormat/>
    <w:uiPriority w:val="0"/>
  </w:style>
  <w:style w:type="paragraph" w:customStyle="1" w:styleId="58">
    <w:name w:val="修订6"/>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72847-DF1E-40AA-B835-5B59BEBE9601}">
  <ds:schemaRefs/>
</ds:datastoreItem>
</file>

<file path=docProps/app.xml><?xml version="1.0" encoding="utf-8"?>
<Properties xmlns="http://schemas.openxmlformats.org/officeDocument/2006/extended-properties" xmlns:vt="http://schemas.openxmlformats.org/officeDocument/2006/docPropsVTypes">
  <Template>Normal</Template>
  <Pages>42</Pages>
  <Words>4428</Words>
  <Characters>25243</Characters>
  <Lines>1</Lines>
  <Paragraphs>1</Paragraphs>
  <TotalTime>68</TotalTime>
  <ScaleCrop>false</ScaleCrop>
  <LinksUpToDate>false</LinksUpToDate>
  <CharactersWithSpaces>29612</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2026-07-28T02:39:00Z</dcterms:created>
  <dc:creator>admin</dc:creator>
  <cp:lastModifiedBy>张子同</cp:lastModifiedBy>
  <cp:lastPrinted>2026-08-13T10:38:00Z</cp:lastPrinted>
  <dcterms:modified xsi:type="dcterms:W3CDTF">2026-09-04T01:33:48Z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KSOTemplateDocerSaveRecord">
    <vt:lpwstr>eyJoZGlkIjoiMGUxNDJkOGFlNmZmMDgzNGYxODFlNDdiYWYyYTNhMDkiLCJ1c2VySWQiOiIxMjU2MzI2MTQ5In0=</vt:lpwstr>
  </property>
  <property fmtid="{D5CDD505-2E9C-101B-9397-08002B2CF9AE}" pid="4" name="ICV">
    <vt:lpwstr>ECDA8E65F15143409EF4EE7F54B2571F_13</vt:lpwstr>
  </property>
</Properties>
</file>