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54" w:rsidRDefault="00670954" w:rsidP="003C1659">
      <w:pPr>
        <w:pStyle w:val="p0"/>
        <w:spacing w:line="300" w:lineRule="atLeast"/>
        <w:ind w:right="-693"/>
        <w:jc w:val="left"/>
        <w:rPr>
          <w:rFonts w:ascii="宋体" w:hAnsi="宋体"/>
          <w:b/>
          <w:bCs/>
          <w:sz w:val="24"/>
          <w:szCs w:val="24"/>
        </w:rPr>
      </w:pPr>
      <w:bookmarkStart w:id="0" w:name="_GoBack"/>
      <w:bookmarkEnd w:id="0"/>
      <w:r>
        <w:rPr>
          <w:rFonts w:ascii="宋体" w:hAnsi="宋体" w:hint="eastAsia"/>
          <w:b/>
          <w:bCs/>
          <w:sz w:val="24"/>
          <w:szCs w:val="24"/>
        </w:rPr>
        <w:t>产品登记编码：</w:t>
      </w:r>
      <w:r w:rsidRPr="00670954">
        <w:rPr>
          <w:rFonts w:ascii="宋体" w:hAnsi="宋体"/>
          <w:b/>
          <w:bCs/>
          <w:sz w:val="24"/>
          <w:szCs w:val="24"/>
        </w:rPr>
        <w:t>C1030210000009</w:t>
      </w:r>
    </w:p>
    <w:p w:rsidR="006E30FE" w:rsidRDefault="00A13ADC">
      <w:pPr>
        <w:pStyle w:val="p0"/>
        <w:spacing w:line="300" w:lineRule="atLeast"/>
        <w:ind w:left="718" w:right="-693"/>
        <w:jc w:val="center"/>
        <w:rPr>
          <w:rFonts w:ascii="宋体" w:hAnsi="宋体"/>
          <w:b/>
          <w:bCs/>
          <w:sz w:val="24"/>
          <w:szCs w:val="24"/>
        </w:rPr>
      </w:pPr>
      <w:r>
        <w:rPr>
          <w:rFonts w:ascii="宋体" w:hAnsi="宋体" w:hint="eastAsia"/>
          <w:b/>
          <w:bCs/>
          <w:sz w:val="24"/>
          <w:szCs w:val="24"/>
        </w:rPr>
        <w:t>中信理财之超快车计划2号（7天子计划）</w:t>
      </w:r>
    </w:p>
    <w:p w:rsidR="006E30FE" w:rsidRDefault="00A13ADC">
      <w:pPr>
        <w:pStyle w:val="p0"/>
        <w:spacing w:line="300" w:lineRule="atLeast"/>
        <w:ind w:left="718" w:right="-693"/>
        <w:jc w:val="center"/>
        <w:rPr>
          <w:rFonts w:ascii="宋体" w:hAnsi="宋体"/>
          <w:b/>
          <w:bCs/>
          <w:sz w:val="24"/>
          <w:szCs w:val="24"/>
        </w:rPr>
      </w:pPr>
      <w:r>
        <w:rPr>
          <w:rFonts w:ascii="宋体" w:hAnsi="宋体" w:hint="eastAsia"/>
          <w:b/>
          <w:bCs/>
          <w:sz w:val="24"/>
          <w:szCs w:val="24"/>
        </w:rPr>
        <w:t>风险揭示书</w:t>
      </w:r>
    </w:p>
    <w:p w:rsidR="006E30FE" w:rsidRDefault="00A13ADC">
      <w:pPr>
        <w:pStyle w:val="p0"/>
        <w:spacing w:line="300" w:lineRule="atLeast"/>
        <w:ind w:left="718" w:right="-693"/>
        <w:jc w:val="center"/>
        <w:rPr>
          <w:rFonts w:ascii="宋体" w:hAnsi="宋体"/>
          <w:b/>
          <w:bCs/>
          <w:sz w:val="30"/>
          <w:szCs w:val="30"/>
        </w:rPr>
      </w:pPr>
      <w:r>
        <w:rPr>
          <w:rFonts w:ascii="宋体" w:hAnsi="宋体" w:hint="eastAsia"/>
          <w:b/>
          <w:bCs/>
          <w:sz w:val="30"/>
          <w:szCs w:val="30"/>
        </w:rPr>
        <w:t xml:space="preserve"> </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本理财产品不同于银行存款，具有一定的风险，中信银行对理财收益不承担保证责任。</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本产品为保本浮动收益型、开放型产品，根据中信银行对理财产品的风险分级，本产品为PR1级（谨慎型，绿色）,适合谨慎型及以上客户。</w:t>
      </w:r>
      <w:proofErr w:type="gramStart"/>
      <w:r>
        <w:rPr>
          <w:rFonts w:ascii="楷体_GB2312" w:eastAsia="楷体_GB2312" w:hint="eastAsia"/>
          <w:color w:val="000000"/>
          <w:spacing w:val="10"/>
        </w:rPr>
        <w:t>本风险</w:t>
      </w:r>
      <w:proofErr w:type="gramEnd"/>
      <w:r>
        <w:rPr>
          <w:rFonts w:ascii="楷体_GB2312" w:eastAsia="楷体_GB2312" w:hint="eastAsia"/>
          <w:color w:val="000000"/>
          <w:spacing w:val="10"/>
        </w:rPr>
        <w:t>分级为中信银行自行评定，仅供参考，中信银行并不对前述风险分级结果的准确性做出任何形式的保证。</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中信银行在此郑重提示：</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1、在购买本理财产品前，请投资者认真阅读客户权益须知、</w:t>
      </w:r>
      <w:proofErr w:type="gramStart"/>
      <w:r>
        <w:rPr>
          <w:rFonts w:ascii="楷体_GB2312" w:eastAsia="楷体_GB2312" w:hint="eastAsia"/>
          <w:color w:val="000000"/>
          <w:spacing w:val="10"/>
        </w:rPr>
        <w:t>本风险</w:t>
      </w:r>
      <w:proofErr w:type="gramEnd"/>
      <w:r>
        <w:rPr>
          <w:rFonts w:ascii="楷体_GB2312" w:eastAsia="楷体_GB2312" w:hint="eastAsia"/>
          <w:color w:val="000000"/>
          <w:spacing w:val="10"/>
        </w:rPr>
        <w:t>揭示书、产品说明及相关产品协议书等销售文件的所有条款与内容，详细了解本理财产品的资金投资方向、风险类型及预期收益等具体情况；如对销售文件有任何疑问，请及时向中信银行各营业网点咨询。</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2、请投资者投资本产品前，应充分了解本产品风险，包括信用风险、市场风险、流动性风险、提前终止风险、延期清算风险等，具体详见以下“风险提示”部分，确保完全明白此类投资的性质和所涉及的风险。</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3、请投资者在进行投资决策前，充分了解自身风险承受水平并审慎评估；如影响投资者的风险承受能力的因素发生变化，请及时完成风险承受能力评估。</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4、请投资者独立、自主、谨慎做出投资决策，购买与自身风险承受能力和资产管理需求匹配的理财产品。</w:t>
      </w:r>
    </w:p>
    <w:p w:rsidR="006E30FE" w:rsidRDefault="00A13ADC">
      <w:pPr>
        <w:pStyle w:val="p0"/>
        <w:ind w:firstLine="412"/>
        <w:rPr>
          <w:rFonts w:ascii="楷体_GB2312" w:eastAsia="楷体_GB2312"/>
          <w:color w:val="000000"/>
          <w:spacing w:val="10"/>
        </w:rPr>
      </w:pPr>
      <w:r>
        <w:rPr>
          <w:rFonts w:ascii="楷体_GB2312" w:eastAsia="楷体_GB2312" w:hint="eastAsia"/>
          <w:color w:val="000000"/>
          <w:spacing w:val="10"/>
        </w:rPr>
        <w:t>5、在购买理财产品后，投资者应随时关注该理财产品的信息披露情况，及时获取相关信息。</w:t>
      </w:r>
    </w:p>
    <w:p w:rsidR="006E30FE" w:rsidRDefault="00A13ADC">
      <w:pPr>
        <w:pStyle w:val="p0"/>
        <w:rPr>
          <w:rFonts w:ascii="楷体_GB2312" w:eastAsia="楷体_GB2312"/>
          <w:color w:val="000000"/>
          <w:spacing w:val="10"/>
          <w:u w:val="single"/>
        </w:rPr>
      </w:pPr>
      <w:r>
        <w:rPr>
          <w:rFonts w:ascii="楷体_GB2312" w:eastAsia="楷体_GB2312" w:hint="eastAsia"/>
          <w:color w:val="000000"/>
          <w:spacing w:val="10"/>
          <w:u w:val="single"/>
        </w:rPr>
        <w:t xml:space="preserve"> </w:t>
      </w:r>
    </w:p>
    <w:p w:rsidR="006E30FE" w:rsidRDefault="00A13ADC">
      <w:pPr>
        <w:pStyle w:val="p0"/>
        <w:ind w:left="2" w:right="46"/>
        <w:rPr>
          <w:b/>
          <w:bCs/>
          <w:sz w:val="20"/>
          <w:szCs w:val="20"/>
        </w:rPr>
      </w:pPr>
      <w:r>
        <w:rPr>
          <w:rFonts w:ascii="宋体" w:hAnsi="宋体" w:hint="eastAsia"/>
          <w:b/>
          <w:bCs/>
          <w:sz w:val="20"/>
          <w:szCs w:val="20"/>
        </w:rPr>
        <w:t>风险提示</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本理财产品有投资风险，只保障理财资金本金，不保证理财收益，您应当充分认识投资风险，谨慎投资。根据本产品风险分级，投资者的理财收益有可能蒙受损失，极端情况下，可能部分或全部受损。投资者应充分认识测算最高</w:t>
      </w:r>
      <w:proofErr w:type="gramStart"/>
      <w:r>
        <w:rPr>
          <w:rFonts w:ascii="华文细黑" w:eastAsia="华文细黑" w:hAnsi="华文细黑" w:hint="eastAsia"/>
          <w:b/>
          <w:bCs/>
          <w:sz w:val="20"/>
          <w:szCs w:val="20"/>
        </w:rPr>
        <w:t>年化收益</w:t>
      </w:r>
      <w:proofErr w:type="gramEnd"/>
      <w:r>
        <w:rPr>
          <w:rFonts w:ascii="华文细黑" w:eastAsia="华文细黑" w:hAnsi="华文细黑" w:hint="eastAsia"/>
          <w:b/>
          <w:bCs/>
          <w:sz w:val="20"/>
          <w:szCs w:val="20"/>
        </w:rPr>
        <w:t>不等于实际收益，谨慎投资。除产品协议书中揭示的通用风险外，具体风险如下：</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1、信用风险：本产品收益来源于产品项下投资工具的回报。如果投资资产中的投资工具发生违约事件，使得产品到期时所投资工具出售收入可能不足以支付投资者理财收益，投资者理财收益将根据基于其偿还比率测算出的投资资产价格予以确定。</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2、市场风险：由于金融市场存在波动性，投资者投资本产品将承担一定投资资产市值下跌的市场风险。如果人民币市场利率上升，该产品的收益率不随市场利率上升而提高，投资者将承担该产品资产配置的机会成本。</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3、流动性风险：本理财产品如出现本产品说明中所约定的巨额赎回情况，有可能导致投资者需要资金而不能及时赎回。</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4、提前终止风险：如发生提前终止条款约定情形，可能导致理财计划提前终止。</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5、政策风险：本理财产品是根据当前的相关法律法规和政策设计的，如国家政策以及相关法律法规等发生变化，可能影响本理财产品的投资、偿还等环节的正常进行，从而可能对本理财产品造成重大影响，例如可能导致理财产品收益降低或全部损失。</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6、信息传递风险：投资者应根据本产品说明载明的信息披露方式及时查询相关信息。中信银行按照本产品说明有关信息披露条款的约定，发布理财计划的信息公告，投资者应根据信息披</w:t>
      </w:r>
      <w:r>
        <w:rPr>
          <w:rFonts w:ascii="华文细黑" w:eastAsia="华文细黑" w:hAnsi="华文细黑" w:hint="eastAsia"/>
          <w:b/>
          <w:bCs/>
          <w:sz w:val="20"/>
          <w:szCs w:val="20"/>
        </w:rPr>
        <w:lastRenderedPageBreak/>
        <w:t>露条款的约定及时到中信银行相关网站（http:// bank.ecitic.com/）、营业网点查询或与理财经理联系，以获知有关本理财计划相关信息。</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7、延期清算风险：若在产品到期时，债券发行人或融资主体延期付款或其它原因导致货币资金余额不足支付本理财产品本金及收益，则产品存在延期清算的风险。</w:t>
      </w:r>
    </w:p>
    <w:p w:rsidR="006E30FE" w:rsidRDefault="00A13ADC">
      <w:pPr>
        <w:pStyle w:val="p0"/>
        <w:spacing w:line="300" w:lineRule="atLeast"/>
        <w:ind w:right="42"/>
        <w:jc w:val="left"/>
        <w:rPr>
          <w:rFonts w:ascii="华文细黑" w:eastAsia="华文细黑" w:hAnsi="华文细黑"/>
          <w:b/>
          <w:bCs/>
          <w:sz w:val="20"/>
          <w:szCs w:val="20"/>
        </w:rPr>
      </w:pPr>
      <w:r>
        <w:rPr>
          <w:rFonts w:ascii="华文细黑" w:eastAsia="华文细黑" w:hAnsi="华文细黑" w:hint="eastAsia"/>
          <w:b/>
          <w:bCs/>
          <w:sz w:val="20"/>
          <w:szCs w:val="20"/>
        </w:rPr>
        <w:t xml:space="preserve">8、不可抗力风险：指由于自然灾害、战争等不可抗力因素的出现，将严重影响金融市场的正常运行，从而导致理财计划收益降低或损失，甚至影响理财计划的受理、投资、偿还等的正常进行，进而影响理财计划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 </w:t>
      </w:r>
    </w:p>
    <w:p w:rsidR="006E30FE" w:rsidRDefault="00A13ADC">
      <w:pPr>
        <w:pStyle w:val="p0"/>
        <w:spacing w:line="300" w:lineRule="atLeast"/>
        <w:ind w:right="42"/>
        <w:jc w:val="left"/>
        <w:rPr>
          <w:rFonts w:ascii="华文细黑" w:eastAsia="华文细黑" w:hAnsi="华文细黑"/>
          <w:b/>
          <w:bCs/>
        </w:rPr>
      </w:pPr>
      <w:r>
        <w:rPr>
          <w:rFonts w:ascii="华文细黑" w:eastAsia="华文细黑" w:hAnsi="华文细黑" w:hint="eastAsia"/>
          <w:b/>
          <w:bCs/>
        </w:rPr>
        <w:t>9、最不利的投资情形：</w:t>
      </w:r>
      <w:r>
        <w:rPr>
          <w:rFonts w:ascii="华文细黑" w:eastAsia="华文细黑" w:hAnsi="华文细黑" w:hint="eastAsia"/>
          <w:b/>
          <w:bCs/>
          <w:sz w:val="20"/>
          <w:szCs w:val="20"/>
        </w:rPr>
        <w:t>本产品为保本浮动收益类产品，由于市场波动导致投资工具贬值或者投资</w:t>
      </w:r>
      <w:proofErr w:type="gramStart"/>
      <w:r>
        <w:rPr>
          <w:rFonts w:ascii="华文细黑" w:eastAsia="华文细黑" w:hAnsi="华文细黑" w:hint="eastAsia"/>
          <w:b/>
          <w:bCs/>
          <w:sz w:val="20"/>
          <w:szCs w:val="20"/>
        </w:rPr>
        <w:t>品发生</w:t>
      </w:r>
      <w:proofErr w:type="gramEnd"/>
      <w:r>
        <w:rPr>
          <w:rFonts w:ascii="华文细黑" w:eastAsia="华文细黑" w:hAnsi="华文细黑" w:hint="eastAsia"/>
          <w:b/>
          <w:bCs/>
          <w:sz w:val="20"/>
          <w:szCs w:val="20"/>
        </w:rPr>
        <w:t>信用风险导致相应损失，则有可能造成本产品的收益部分或全部损失。</w:t>
      </w:r>
    </w:p>
    <w:p w:rsidR="006E30FE" w:rsidRDefault="00A13ADC">
      <w:pPr>
        <w:pStyle w:val="p0"/>
        <w:ind w:left="2" w:right="46"/>
        <w:rPr>
          <w:rFonts w:ascii="宋体" w:hAnsi="宋体"/>
          <w:sz w:val="20"/>
          <w:szCs w:val="20"/>
        </w:rPr>
      </w:pPr>
      <w:r>
        <w:rPr>
          <w:rFonts w:ascii="宋体" w:hAnsi="宋体" w:hint="eastAsia"/>
          <w:sz w:val="20"/>
          <w:szCs w:val="20"/>
        </w:rPr>
        <w:t xml:space="preserve"> </w:t>
      </w:r>
    </w:p>
    <w:p w:rsidR="006E30FE" w:rsidRDefault="00A13ADC">
      <w:pPr>
        <w:pStyle w:val="p0"/>
        <w:spacing w:before="156" w:line="400" w:lineRule="atLeast"/>
        <w:rPr>
          <w:rFonts w:ascii="楷体_GB2312" w:eastAsia="楷体_GB2312"/>
          <w:color w:val="000000"/>
          <w:spacing w:val="10"/>
        </w:rPr>
      </w:pPr>
      <w:r>
        <w:rPr>
          <w:rFonts w:ascii="楷体_GB2312" w:eastAsia="楷体_GB2312" w:hint="eastAsia"/>
          <w:color w:val="000000"/>
          <w:spacing w:val="10"/>
        </w:rPr>
        <w:t xml:space="preserve"> </w:t>
      </w:r>
    </w:p>
    <w:p w:rsidR="006E30FE" w:rsidRDefault="00A13ADC">
      <w:pPr>
        <w:pStyle w:val="p0"/>
        <w:spacing w:line="400" w:lineRule="atLeast"/>
        <w:ind w:left="-2" w:right="46" w:firstLine="420"/>
        <w:rPr>
          <w:rFonts w:ascii="楷体_GB2312" w:eastAsia="楷体_GB2312"/>
          <w:color w:val="000000"/>
          <w:spacing w:val="10"/>
        </w:rPr>
      </w:pPr>
      <w:r>
        <w:rPr>
          <w:rFonts w:ascii="楷体_GB2312" w:eastAsia="楷体_GB2312" w:hint="eastAsia"/>
          <w:color w:val="000000"/>
          <w:spacing w:val="10"/>
        </w:rPr>
        <w:t>投资者申明：经中信银行客户投资风险承受能力评估，本人客户风险承受能力属于</w:t>
      </w:r>
      <w:r>
        <w:rPr>
          <w:rFonts w:ascii="楷体_GB2312" w:eastAsia="楷体_GB2312" w:hint="eastAsia"/>
          <w:color w:val="000000"/>
          <w:spacing w:val="10"/>
          <w:u w:val="single"/>
        </w:rPr>
        <w:t xml:space="preserve">            型</w:t>
      </w:r>
      <w:r>
        <w:rPr>
          <w:rFonts w:ascii="楷体_GB2312" w:eastAsia="楷体_GB2312" w:hint="eastAsia"/>
          <w:color w:val="000000"/>
          <w:spacing w:val="10"/>
        </w:rPr>
        <w:t>（由投资者填写）。本投资决策完全是由本人独立、自主、谨慎做出的。本人已收到并认真阅读《中信理财之超快车计划2号（7天子计划）产品说明》及《</w:t>
      </w:r>
      <w:r w:rsidRPr="00FA4F6D">
        <w:rPr>
          <w:rFonts w:ascii="楷体_GB2312" w:eastAsia="楷体_GB2312" w:hint="eastAsia"/>
          <w:color w:val="000000"/>
          <w:spacing w:val="10"/>
        </w:rPr>
        <w:t>中信银行理财产品总协议》</w:t>
      </w:r>
      <w:r>
        <w:rPr>
          <w:rFonts w:ascii="楷体_GB2312" w:eastAsia="楷体_GB2312" w:hint="eastAsia"/>
          <w:color w:val="000000"/>
          <w:spacing w:val="10"/>
        </w:rPr>
        <w:t>所有条款与内容，并特别关注了风险提示部分，本人已不存在任何疑问或异议，充分了解并清楚知晓本产品相关风险。</w:t>
      </w:r>
    </w:p>
    <w:p w:rsidR="006E30FE" w:rsidRDefault="00A13ADC">
      <w:pPr>
        <w:pStyle w:val="p0"/>
        <w:spacing w:before="156" w:line="400" w:lineRule="atLeast"/>
        <w:rPr>
          <w:rFonts w:ascii="楷体_GB2312" w:eastAsia="楷体_GB2312"/>
          <w:color w:val="000000"/>
          <w:spacing w:val="10"/>
        </w:rPr>
      </w:pPr>
      <w:r>
        <w:rPr>
          <w:rFonts w:ascii="楷体_GB2312" w:eastAsia="楷体_GB2312" w:hint="eastAsia"/>
          <w:color w:val="000000"/>
          <w:spacing w:val="10"/>
        </w:rPr>
        <w:t xml:space="preserve"> </w:t>
      </w:r>
    </w:p>
    <w:p w:rsidR="006E30FE" w:rsidRDefault="00A13ADC">
      <w:pPr>
        <w:pStyle w:val="p0"/>
        <w:spacing w:line="420" w:lineRule="atLeast"/>
        <w:jc w:val="left"/>
        <w:rPr>
          <w:rFonts w:ascii="楷体_GB2312" w:eastAsia="楷体_GB2312"/>
          <w:b/>
          <w:bCs/>
          <w:color w:val="0000FF"/>
          <w:sz w:val="24"/>
          <w:szCs w:val="24"/>
          <w:u w:val="single"/>
        </w:rPr>
      </w:pPr>
      <w:r>
        <w:rPr>
          <w:rFonts w:ascii="楷体_GB2312" w:eastAsia="楷体_GB2312" w:hint="eastAsia"/>
          <w:b/>
          <w:bCs/>
          <w:color w:val="0000FF"/>
          <w:sz w:val="24"/>
          <w:szCs w:val="24"/>
          <w:u w:val="single"/>
        </w:rPr>
        <w:t xml:space="preserve"> </w:t>
      </w:r>
    </w:p>
    <w:p w:rsidR="006E30FE" w:rsidRDefault="00A13ADC">
      <w:pPr>
        <w:pStyle w:val="p0"/>
        <w:spacing w:line="420" w:lineRule="atLeast"/>
        <w:ind w:firstLine="538"/>
        <w:jc w:val="left"/>
        <w:rPr>
          <w:rFonts w:ascii="楷体_GB2312" w:eastAsia="楷体_GB2312"/>
          <w:b/>
          <w:bCs/>
          <w:color w:val="0000FF"/>
          <w:sz w:val="24"/>
          <w:szCs w:val="24"/>
          <w:u w:val="single"/>
        </w:rPr>
      </w:pPr>
      <w:r>
        <w:rPr>
          <w:rFonts w:ascii="楷体_GB2312" w:eastAsia="楷体_GB2312" w:hint="eastAsia"/>
          <w:b/>
          <w:bCs/>
          <w:color w:val="0000FF"/>
          <w:sz w:val="24"/>
          <w:szCs w:val="24"/>
          <w:u w:val="single"/>
        </w:rPr>
        <w:t>本人已经阅读风险揭示，充分了解并清楚知晓本产品的风险，愿意承担投资相关风险。</w:t>
      </w:r>
    </w:p>
    <w:p w:rsidR="006E30FE" w:rsidRDefault="00A13ADC">
      <w:pPr>
        <w:pStyle w:val="p0"/>
        <w:spacing w:line="420" w:lineRule="atLeast"/>
        <w:ind w:left="-408" w:firstLine="408"/>
        <w:jc w:val="left"/>
        <w:rPr>
          <w:rFonts w:ascii="楷体_GB2312" w:eastAsia="楷体_GB2312"/>
          <w:color w:val="000000"/>
        </w:rPr>
      </w:pPr>
      <w:r>
        <w:rPr>
          <w:rFonts w:ascii="楷体_GB2312" w:eastAsia="楷体_GB2312" w:hint="eastAsia"/>
          <w:color w:val="000000"/>
          <w:sz w:val="24"/>
          <w:szCs w:val="24"/>
        </w:rPr>
        <w:t>投资者抄录</w:t>
      </w:r>
      <w:r>
        <w:rPr>
          <w:rFonts w:ascii="楷体_GB2312" w:eastAsia="楷体_GB2312" w:hint="eastAsia"/>
          <w:color w:val="000000"/>
        </w:rPr>
        <w:t>（上述横线标注文字）</w:t>
      </w:r>
      <w:r>
        <w:rPr>
          <w:rFonts w:ascii="楷体_GB2312" w:eastAsia="楷体_GB2312" w:hint="eastAsia"/>
          <w:color w:val="000000"/>
          <w:sz w:val="24"/>
          <w:szCs w:val="24"/>
        </w:rPr>
        <w:t>：</w:t>
      </w:r>
      <w:r>
        <w:rPr>
          <w:rFonts w:ascii="楷体_GB2312" w:eastAsia="楷体_GB2312" w:hint="eastAsia"/>
          <w:sz w:val="18"/>
          <w:szCs w:val="18"/>
          <w:u w:val="single"/>
        </w:rPr>
        <w:t xml:space="preserve">                                                                                          </w:t>
      </w:r>
      <w:r>
        <w:rPr>
          <w:rFonts w:ascii="楷体_GB2312" w:eastAsia="楷体_GB2312" w:hint="eastAsia"/>
          <w:color w:val="000000"/>
        </w:rPr>
        <w:t xml:space="preserve">                                    </w:t>
      </w:r>
    </w:p>
    <w:p w:rsidR="006E30FE" w:rsidRDefault="00A13ADC">
      <w:pPr>
        <w:pStyle w:val="p0"/>
        <w:spacing w:line="600" w:lineRule="atLeast"/>
        <w:ind w:left="-306" w:firstLine="306"/>
        <w:rPr>
          <w:rFonts w:ascii="楷体_GB2312" w:eastAsia="楷体_GB2312"/>
          <w:sz w:val="18"/>
          <w:szCs w:val="18"/>
          <w:u w:val="single"/>
        </w:rPr>
      </w:pPr>
      <w:r>
        <w:rPr>
          <w:rFonts w:ascii="楷体_GB2312" w:eastAsia="楷体_GB2312" w:hint="eastAsia"/>
          <w:sz w:val="18"/>
          <w:szCs w:val="18"/>
          <w:u w:val="single"/>
        </w:rPr>
        <w:t xml:space="preserve">                                                                                                                          </w:t>
      </w:r>
    </w:p>
    <w:p w:rsidR="006E30FE" w:rsidRDefault="00A13ADC">
      <w:pPr>
        <w:pStyle w:val="p0"/>
        <w:spacing w:line="260" w:lineRule="atLeast"/>
        <w:ind w:left="-357" w:firstLine="357"/>
        <w:rPr>
          <w:rFonts w:ascii="黑体" w:eastAsia="黑体" w:hAnsi="黑体"/>
          <w:color w:val="000000"/>
        </w:rPr>
      </w:pPr>
      <w:r>
        <w:rPr>
          <w:rFonts w:ascii="黑体" w:eastAsia="黑体" w:hAnsi="黑体" w:hint="eastAsia"/>
          <w:color w:val="000000"/>
        </w:rPr>
        <w:t xml:space="preserve"> </w:t>
      </w:r>
    </w:p>
    <w:p w:rsidR="006E30FE" w:rsidRDefault="00A13ADC">
      <w:pPr>
        <w:pStyle w:val="p0"/>
        <w:spacing w:line="360" w:lineRule="auto"/>
        <w:ind w:firstLine="420"/>
        <w:rPr>
          <w:rFonts w:ascii="仿宋_GB2312" w:eastAsia="仿宋_GB2312"/>
          <w:color w:val="000000"/>
        </w:rPr>
      </w:pPr>
      <w:r>
        <w:rPr>
          <w:rFonts w:ascii="仿宋_GB2312" w:eastAsia="仿宋_GB2312" w:hint="eastAsia"/>
          <w:color w:val="000000"/>
        </w:rPr>
        <w:t xml:space="preserve"> </w:t>
      </w:r>
    </w:p>
    <w:p w:rsidR="006E30FE" w:rsidRDefault="00A13ADC">
      <w:pPr>
        <w:pStyle w:val="p0"/>
        <w:spacing w:line="360" w:lineRule="auto"/>
        <w:ind w:firstLine="420"/>
        <w:rPr>
          <w:rFonts w:ascii="仿宋_GB2312" w:eastAsia="仿宋_GB2312"/>
          <w:color w:val="000000"/>
        </w:rPr>
      </w:pPr>
      <w:r>
        <w:rPr>
          <w:rFonts w:ascii="黑体" w:eastAsia="黑体" w:hint="eastAsia"/>
        </w:rPr>
        <w:t>个人客户（签字）：</w:t>
      </w:r>
      <w:r>
        <w:rPr>
          <w:rFonts w:ascii="仿宋_GB2312" w:eastAsia="仿宋_GB2312" w:hint="eastAsia"/>
          <w:u w:val="single"/>
        </w:rPr>
        <w:t xml:space="preserve">                </w:t>
      </w:r>
      <w:r>
        <w:rPr>
          <w:rFonts w:ascii="仿宋_GB2312" w:eastAsia="仿宋_GB2312" w:hint="eastAsia"/>
        </w:rPr>
        <w:t xml:space="preserve">             </w:t>
      </w:r>
      <w:r>
        <w:rPr>
          <w:rFonts w:ascii="仿宋_GB2312" w:eastAsia="仿宋_GB2312" w:hint="eastAsia"/>
          <w:color w:val="000000"/>
        </w:rPr>
        <w:t>日   期</w:t>
      </w:r>
      <w:r>
        <w:rPr>
          <w:rFonts w:ascii="仿宋_GB2312" w:eastAsia="仿宋_GB2312" w:hint="eastAsia"/>
        </w:rPr>
        <w:t>：</w:t>
      </w:r>
      <w:r>
        <w:rPr>
          <w:rFonts w:ascii="仿宋_GB2312" w:eastAsia="仿宋_GB2312" w:hint="eastAsia"/>
          <w:u w:val="single"/>
        </w:rPr>
        <w:t xml:space="preserve">                   </w:t>
      </w:r>
      <w:r>
        <w:rPr>
          <w:rFonts w:ascii="仿宋_GB2312" w:eastAsia="仿宋_GB2312" w:hint="eastAsia"/>
          <w:color w:val="000000"/>
        </w:rPr>
        <w:t xml:space="preserve">  </w:t>
      </w:r>
    </w:p>
    <w:p w:rsidR="006E30FE" w:rsidRDefault="00A13ADC" w:rsidP="00FA4F6D">
      <w:pPr>
        <w:pStyle w:val="p0"/>
        <w:ind w:left="-2" w:right="46" w:firstLine="420"/>
        <w:jc w:val="left"/>
        <w:rPr>
          <w:rFonts w:ascii="宋体" w:hAnsi="宋体"/>
          <w:b/>
          <w:bCs/>
          <w:sz w:val="28"/>
          <w:szCs w:val="28"/>
        </w:rPr>
      </w:pPr>
      <w:r>
        <w:rPr>
          <w:rFonts w:ascii="仿宋_GB2312" w:eastAsia="仿宋_GB2312" w:hint="eastAsia"/>
          <w:u w:val="single"/>
        </w:rPr>
        <w:t xml:space="preserve">                  </w:t>
      </w:r>
      <w:r>
        <w:rPr>
          <w:rFonts w:ascii="仿宋_GB2312" w:eastAsia="仿宋_GB2312" w:hint="eastAsia"/>
          <w:color w:val="000000"/>
        </w:rPr>
        <w:t xml:space="preserve">                    </w:t>
      </w:r>
      <w:r>
        <w:br w:type="page"/>
      </w:r>
      <w:r>
        <w:rPr>
          <w:rFonts w:ascii="宋体" w:hAnsi="宋体" w:hint="eastAsia"/>
        </w:rPr>
        <w:lastRenderedPageBreak/>
        <w:t xml:space="preserve">           </w:t>
      </w:r>
      <w:r>
        <w:rPr>
          <w:rFonts w:ascii="宋体" w:hAnsi="宋体" w:hint="eastAsia"/>
          <w:b/>
          <w:bCs/>
          <w:sz w:val="28"/>
          <w:szCs w:val="28"/>
        </w:rPr>
        <w:t>中信理财之超快车计划2号（7天子计划）产品说明</w:t>
      </w:r>
    </w:p>
    <w:p w:rsidR="006E30FE" w:rsidRDefault="00A13ADC">
      <w:pPr>
        <w:pStyle w:val="p0"/>
        <w:spacing w:line="300" w:lineRule="atLeast"/>
        <w:ind w:left="718" w:right="-693"/>
        <w:jc w:val="center"/>
        <w:rPr>
          <w:rFonts w:ascii="宋体" w:hAnsi="宋体"/>
          <w:b/>
          <w:bCs/>
          <w:sz w:val="24"/>
          <w:szCs w:val="24"/>
        </w:rPr>
      </w:pPr>
      <w:r>
        <w:rPr>
          <w:rFonts w:ascii="宋体" w:hAnsi="宋体" w:hint="eastAsia"/>
          <w:b/>
          <w:bCs/>
          <w:sz w:val="24"/>
          <w:szCs w:val="24"/>
        </w:rPr>
        <w:t xml:space="preserve"> </w:t>
      </w:r>
    </w:p>
    <w:p w:rsidR="006E30FE" w:rsidRDefault="00A13ADC">
      <w:pPr>
        <w:pStyle w:val="p0"/>
        <w:ind w:left="2" w:right="46"/>
        <w:rPr>
          <w:sz w:val="20"/>
          <w:szCs w:val="20"/>
        </w:rPr>
      </w:pPr>
      <w:r>
        <w:rPr>
          <w:rFonts w:ascii="宋体" w:hAnsi="宋体" w:hint="eastAsia"/>
          <w:b/>
          <w:bCs/>
          <w:sz w:val="20"/>
          <w:szCs w:val="20"/>
        </w:rPr>
        <w:t>重要须知</w:t>
      </w:r>
      <w:r>
        <w:rPr>
          <w:rFonts w:ascii="宋体" w:hAnsi="宋体" w:hint="eastAsia"/>
          <w:sz w:val="20"/>
          <w:szCs w:val="20"/>
        </w:rPr>
        <w:t>：</w:t>
      </w:r>
    </w:p>
    <w:p w:rsidR="006E30FE" w:rsidRDefault="00A13ADC">
      <w:pPr>
        <w:pStyle w:val="p0"/>
        <w:spacing w:line="300" w:lineRule="atLeast"/>
        <w:ind w:right="42"/>
        <w:rPr>
          <w:rFonts w:ascii="宋体" w:hAnsi="宋体"/>
          <w:sz w:val="20"/>
          <w:szCs w:val="20"/>
        </w:rPr>
      </w:pPr>
      <w:r>
        <w:rPr>
          <w:rFonts w:ascii="宋体" w:hAnsi="宋体" w:hint="eastAsia"/>
          <w:sz w:val="20"/>
          <w:szCs w:val="20"/>
        </w:rPr>
        <w:t>1、本产品说明与《中信银行理财产品总协议》、《中信理财之超快车计划2号（7天子计划）风险揭示书》共同构成完整的不可分割的理财合同。</w:t>
      </w:r>
    </w:p>
    <w:p w:rsidR="006E30FE" w:rsidRDefault="00A13ADC">
      <w:pPr>
        <w:pStyle w:val="p0"/>
        <w:spacing w:line="300" w:lineRule="atLeast"/>
        <w:ind w:right="42"/>
        <w:rPr>
          <w:rFonts w:ascii="宋体" w:hAnsi="宋体"/>
          <w:sz w:val="20"/>
          <w:szCs w:val="20"/>
        </w:rPr>
      </w:pPr>
      <w:r>
        <w:rPr>
          <w:rFonts w:ascii="宋体" w:hAnsi="宋体" w:hint="eastAsia"/>
          <w:sz w:val="20"/>
          <w:szCs w:val="20"/>
        </w:rPr>
        <w:t>2、本理财产品仅向依据中华人民共和国有关法律法规及其他有关规定可以购买本理财产品的合格投资者发售。</w:t>
      </w:r>
    </w:p>
    <w:p w:rsidR="006E30FE" w:rsidRDefault="00A13ADC">
      <w:pPr>
        <w:pStyle w:val="p0"/>
        <w:spacing w:line="300" w:lineRule="atLeast"/>
        <w:ind w:right="42"/>
        <w:rPr>
          <w:rFonts w:ascii="宋体" w:hAnsi="宋体"/>
          <w:sz w:val="20"/>
          <w:szCs w:val="20"/>
        </w:rPr>
      </w:pPr>
      <w:r>
        <w:rPr>
          <w:rFonts w:ascii="宋体" w:hAnsi="宋体" w:hint="eastAsia"/>
          <w:sz w:val="20"/>
          <w:szCs w:val="20"/>
        </w:rPr>
        <w:t>3、本理财产品可同时向无投资经验及有投资经验的客户销售。</w:t>
      </w:r>
    </w:p>
    <w:p w:rsidR="006E30FE" w:rsidRDefault="00A13ADC">
      <w:pPr>
        <w:pStyle w:val="p0"/>
        <w:ind w:left="2" w:right="46"/>
        <w:rPr>
          <w:rFonts w:ascii="宋体" w:hAnsi="宋体"/>
          <w:sz w:val="20"/>
          <w:szCs w:val="20"/>
        </w:rPr>
      </w:pPr>
      <w:r>
        <w:rPr>
          <w:rFonts w:ascii="宋体" w:hAnsi="宋体" w:hint="eastAsia"/>
          <w:sz w:val="20"/>
          <w:szCs w:val="20"/>
        </w:rPr>
        <w:t>4、本理财产品只保障理财资金本金，不保障理财收益，投资者所能获得的最终收益以理财计划最终清算的投资者可得收益为准。产品过往业绩不代表其未来表现，不构成新发理财产品业绩表现的保证。</w:t>
      </w:r>
    </w:p>
    <w:p w:rsidR="006E30FE" w:rsidRDefault="00A13ADC">
      <w:pPr>
        <w:pStyle w:val="p0"/>
        <w:spacing w:line="300" w:lineRule="atLeast"/>
        <w:ind w:right="42"/>
        <w:rPr>
          <w:rFonts w:ascii="宋体" w:hAnsi="宋体"/>
          <w:sz w:val="20"/>
          <w:szCs w:val="20"/>
        </w:rPr>
      </w:pPr>
      <w:r>
        <w:rPr>
          <w:rFonts w:ascii="宋体" w:hAnsi="宋体" w:hint="eastAsia"/>
          <w:sz w:val="20"/>
          <w:szCs w:val="20"/>
        </w:rPr>
        <w:t>5、本理财产品不同于银行存款，中信银行对理财收益不承担保证责任。在购买本理财产品前，请投资者确保完全明白此类投资的性质、其中涉及的风险以及投资者自身风险承受水平。投资者若对本产品说明的内容有任何疑问，请向中信银行各营业网点咨询。</w:t>
      </w:r>
    </w:p>
    <w:p w:rsidR="006E30FE" w:rsidRDefault="00A13ADC">
      <w:pPr>
        <w:pStyle w:val="p0"/>
        <w:spacing w:line="300" w:lineRule="atLeast"/>
        <w:ind w:right="42"/>
        <w:rPr>
          <w:rFonts w:ascii="宋体" w:hAnsi="宋体"/>
          <w:sz w:val="20"/>
          <w:szCs w:val="20"/>
        </w:rPr>
      </w:pPr>
      <w:r>
        <w:rPr>
          <w:rFonts w:ascii="宋体" w:hAnsi="宋体" w:hint="eastAsia"/>
          <w:sz w:val="20"/>
          <w:szCs w:val="20"/>
        </w:rPr>
        <w:t>6、本理财产品说明书中信银行有权依法进行解释。</w:t>
      </w:r>
    </w:p>
    <w:p w:rsidR="006E30FE" w:rsidRDefault="00A13ADC">
      <w:pPr>
        <w:pStyle w:val="p0"/>
        <w:spacing w:line="300" w:lineRule="atLeast"/>
        <w:ind w:right="-693"/>
        <w:rPr>
          <w:rFonts w:ascii="宋体" w:hAnsi="宋体"/>
          <w:b/>
          <w:bCs/>
          <w:sz w:val="20"/>
          <w:szCs w:val="20"/>
        </w:rPr>
      </w:pPr>
      <w:r>
        <w:rPr>
          <w:rFonts w:ascii="宋体" w:hAnsi="宋体" w:hint="eastAsia"/>
          <w:b/>
          <w:bCs/>
          <w:sz w:val="20"/>
          <w:szCs w:val="20"/>
        </w:rPr>
        <w:t xml:space="preserve"> </w:t>
      </w:r>
    </w:p>
    <w:p w:rsidR="006E30FE" w:rsidRDefault="00A13ADC">
      <w:pPr>
        <w:pStyle w:val="p0"/>
        <w:ind w:left="2" w:right="46"/>
        <w:rPr>
          <w:rFonts w:ascii="宋体" w:hAnsi="宋体"/>
          <w:b/>
          <w:bCs/>
          <w:sz w:val="20"/>
          <w:szCs w:val="20"/>
        </w:rPr>
      </w:pPr>
      <w:r>
        <w:rPr>
          <w:rFonts w:ascii="宋体" w:hAnsi="宋体" w:hint="eastAsia"/>
          <w:b/>
          <w:bCs/>
          <w:sz w:val="20"/>
          <w:szCs w:val="20"/>
        </w:rPr>
        <w:t>一、产品投资方向</w:t>
      </w:r>
    </w:p>
    <w:p w:rsidR="006E30FE" w:rsidRDefault="00A13ADC">
      <w:pPr>
        <w:pStyle w:val="p0"/>
        <w:spacing w:line="300" w:lineRule="atLeast"/>
        <w:ind w:left="2" w:right="32"/>
        <w:rPr>
          <w:rFonts w:ascii="宋体" w:hAnsi="宋体"/>
          <w:sz w:val="20"/>
          <w:szCs w:val="20"/>
        </w:rPr>
      </w:pPr>
      <w:r>
        <w:rPr>
          <w:rFonts w:ascii="宋体" w:hAnsi="宋体" w:hint="eastAsia"/>
          <w:sz w:val="20"/>
          <w:szCs w:val="20"/>
        </w:rPr>
        <w:t>1、本理财计划指中信理财之超快车计划2号，下设多个理财子计划。本子计划为中信理财之超快车计划2号（</w:t>
      </w:r>
      <w:r>
        <w:rPr>
          <w:rFonts w:ascii="宋体" w:hAnsi="宋体" w:hint="eastAsia"/>
          <w:color w:val="0000FF"/>
          <w:sz w:val="20"/>
          <w:szCs w:val="20"/>
        </w:rPr>
        <w:t>7天</w:t>
      </w:r>
      <w:r>
        <w:rPr>
          <w:rFonts w:ascii="宋体" w:hAnsi="宋体" w:hint="eastAsia"/>
          <w:sz w:val="20"/>
          <w:szCs w:val="20"/>
        </w:rPr>
        <w:t>子计划）。</w:t>
      </w:r>
    </w:p>
    <w:p w:rsidR="006E30FE" w:rsidRDefault="00A13ADC">
      <w:pPr>
        <w:pStyle w:val="p0"/>
        <w:spacing w:line="300" w:lineRule="atLeast"/>
        <w:ind w:left="2" w:right="32"/>
        <w:rPr>
          <w:rFonts w:ascii="宋体" w:hAnsi="宋体"/>
          <w:sz w:val="20"/>
          <w:szCs w:val="20"/>
        </w:rPr>
      </w:pPr>
      <w:r>
        <w:rPr>
          <w:rFonts w:ascii="宋体" w:hAnsi="宋体" w:hint="eastAsia"/>
          <w:sz w:val="20"/>
          <w:szCs w:val="20"/>
        </w:rPr>
        <w:t>2、本产品募集资金主要投资于：现金、拆借/同业存款/回购等货币市场工具、人民币利率掉期、国债、金融债、央行票据、资产支持票据（ABN）、资产支持证券（ABS）、资产支持受益凭证、企业债、公司债、中期票据、非公开定向债务融资工具（PPN）、短期融资</w:t>
      </w:r>
      <w:proofErr w:type="gramStart"/>
      <w:r>
        <w:rPr>
          <w:rFonts w:ascii="宋体" w:hAnsi="宋体" w:hint="eastAsia"/>
          <w:sz w:val="20"/>
          <w:szCs w:val="20"/>
        </w:rPr>
        <w:t>券</w:t>
      </w:r>
      <w:proofErr w:type="gramEnd"/>
      <w:r>
        <w:rPr>
          <w:rFonts w:ascii="宋体" w:hAnsi="宋体" w:hint="eastAsia"/>
          <w:sz w:val="20"/>
          <w:szCs w:val="20"/>
        </w:rPr>
        <w:t>、超短期融资</w:t>
      </w:r>
      <w:proofErr w:type="gramStart"/>
      <w:r>
        <w:rPr>
          <w:rFonts w:ascii="宋体" w:hAnsi="宋体" w:hint="eastAsia"/>
          <w:sz w:val="20"/>
          <w:szCs w:val="20"/>
        </w:rPr>
        <w:t>券</w:t>
      </w:r>
      <w:proofErr w:type="gramEnd"/>
      <w:r>
        <w:rPr>
          <w:rFonts w:ascii="宋体" w:hAnsi="宋体" w:hint="eastAsia"/>
          <w:sz w:val="20"/>
          <w:szCs w:val="20"/>
        </w:rPr>
        <w:t>、信贷资产、信托贷款、委托贷款、应收债权、债权收益权、信托受益权、特定资产收（受）益权、票据类资产和委托债权等。本产品各类资产的投资比例具体如下：</w:t>
      </w:r>
    </w:p>
    <w:tbl>
      <w:tblPr>
        <w:tblW w:w="8070" w:type="dxa"/>
        <w:tblInd w:w="135" w:type="dxa"/>
        <w:tblLayout w:type="fixed"/>
        <w:tblLook w:val="04A0" w:firstRow="1" w:lastRow="0" w:firstColumn="1" w:lastColumn="0" w:noHBand="0" w:noVBand="1"/>
      </w:tblPr>
      <w:tblGrid>
        <w:gridCol w:w="6621"/>
        <w:gridCol w:w="1449"/>
      </w:tblGrid>
      <w:tr w:rsidR="006E30FE">
        <w:trPr>
          <w:trHeight w:val="287"/>
        </w:trPr>
        <w:tc>
          <w:tcPr>
            <w:tcW w:w="6624" w:type="dxa"/>
            <w:tcBorders>
              <w:top w:val="single" w:sz="8" w:space="0" w:color="000000"/>
              <w:left w:val="single" w:sz="8" w:space="0" w:color="000000"/>
              <w:bottom w:val="single" w:sz="8" w:space="0" w:color="000000"/>
              <w:right w:val="single" w:sz="8" w:space="0" w:color="000000"/>
            </w:tcBorders>
            <w:shd w:val="clear" w:color="auto" w:fill="C0C0C0"/>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资产种类</w:t>
            </w:r>
          </w:p>
        </w:tc>
        <w:tc>
          <w:tcPr>
            <w:tcW w:w="1449" w:type="dxa"/>
            <w:tcBorders>
              <w:top w:val="single" w:sz="8" w:space="0" w:color="000000"/>
              <w:left w:val="nil"/>
              <w:bottom w:val="single" w:sz="8" w:space="0" w:color="000000"/>
              <w:right w:val="single" w:sz="8" w:space="0" w:color="000000"/>
            </w:tcBorders>
            <w:shd w:val="clear" w:color="auto" w:fill="C0C0C0"/>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投资比例</w:t>
            </w:r>
          </w:p>
        </w:tc>
      </w:tr>
      <w:tr w:rsidR="006E30FE">
        <w:trPr>
          <w:trHeight w:val="263"/>
        </w:trPr>
        <w:tc>
          <w:tcPr>
            <w:tcW w:w="6624" w:type="dxa"/>
            <w:tcBorders>
              <w:top w:val="single" w:sz="8" w:space="0" w:color="000000"/>
              <w:left w:val="single" w:sz="8" w:space="0" w:color="000000"/>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现金、拆借/同业存款/回购等货币市场工具、人民币利率掉期</w:t>
            </w:r>
          </w:p>
        </w:tc>
        <w:tc>
          <w:tcPr>
            <w:tcW w:w="1449" w:type="dxa"/>
            <w:tcBorders>
              <w:top w:val="single" w:sz="8" w:space="0" w:color="000000"/>
              <w:left w:val="nil"/>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10-100%</w:t>
            </w:r>
          </w:p>
        </w:tc>
      </w:tr>
      <w:tr w:rsidR="006E30FE">
        <w:trPr>
          <w:trHeight w:val="253"/>
        </w:trPr>
        <w:tc>
          <w:tcPr>
            <w:tcW w:w="6624" w:type="dxa"/>
            <w:tcBorders>
              <w:top w:val="single" w:sz="8" w:space="0" w:color="000000"/>
              <w:left w:val="single" w:sz="8" w:space="0" w:color="000000"/>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国债、金融债、央行票据、资产支持票据（ABN）、资产支持证券（ABS）、资产支持受益凭证、企业债、公司债、中期票据、非公开定向债务融资工具（PPN）、短期融资</w:t>
            </w:r>
            <w:proofErr w:type="gramStart"/>
            <w:r>
              <w:rPr>
                <w:rFonts w:ascii="宋体" w:hAnsi="宋体" w:hint="eastAsia"/>
                <w:sz w:val="20"/>
                <w:szCs w:val="20"/>
              </w:rPr>
              <w:t>券</w:t>
            </w:r>
            <w:proofErr w:type="gramEnd"/>
            <w:r>
              <w:rPr>
                <w:rFonts w:ascii="宋体" w:hAnsi="宋体" w:hint="eastAsia"/>
                <w:sz w:val="20"/>
                <w:szCs w:val="20"/>
              </w:rPr>
              <w:t>、超短期融资</w:t>
            </w:r>
            <w:proofErr w:type="gramStart"/>
            <w:r>
              <w:rPr>
                <w:rFonts w:ascii="宋体" w:hAnsi="宋体" w:hint="eastAsia"/>
                <w:sz w:val="20"/>
                <w:szCs w:val="20"/>
              </w:rPr>
              <w:t>券</w:t>
            </w:r>
            <w:proofErr w:type="gramEnd"/>
          </w:p>
        </w:tc>
        <w:tc>
          <w:tcPr>
            <w:tcW w:w="1449" w:type="dxa"/>
            <w:tcBorders>
              <w:top w:val="single" w:sz="8" w:space="0" w:color="000000"/>
              <w:left w:val="nil"/>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10-100%</w:t>
            </w:r>
          </w:p>
        </w:tc>
      </w:tr>
      <w:tr w:rsidR="006E30FE">
        <w:trPr>
          <w:trHeight w:val="229"/>
        </w:trPr>
        <w:tc>
          <w:tcPr>
            <w:tcW w:w="6624" w:type="dxa"/>
            <w:tcBorders>
              <w:top w:val="single" w:sz="8" w:space="0" w:color="000000"/>
              <w:left w:val="single" w:sz="8" w:space="0" w:color="000000"/>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信贷资产、信托贷款、委托贷款</w:t>
            </w:r>
          </w:p>
        </w:tc>
        <w:tc>
          <w:tcPr>
            <w:tcW w:w="1449" w:type="dxa"/>
            <w:tcBorders>
              <w:top w:val="single" w:sz="8" w:space="0" w:color="000000"/>
              <w:left w:val="nil"/>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0-70%</w:t>
            </w:r>
          </w:p>
        </w:tc>
      </w:tr>
      <w:tr w:rsidR="006E30FE">
        <w:trPr>
          <w:trHeight w:val="229"/>
        </w:trPr>
        <w:tc>
          <w:tcPr>
            <w:tcW w:w="6624" w:type="dxa"/>
            <w:tcBorders>
              <w:top w:val="single" w:sz="8" w:space="0" w:color="000000"/>
              <w:left w:val="single" w:sz="8" w:space="0" w:color="000000"/>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应收债权、债权收益权、信托受益权、特定资产收（受）益权、票据类资产和委托债权等</w:t>
            </w:r>
          </w:p>
        </w:tc>
        <w:tc>
          <w:tcPr>
            <w:tcW w:w="1449" w:type="dxa"/>
            <w:tcBorders>
              <w:top w:val="single" w:sz="8" w:space="0" w:color="000000"/>
              <w:left w:val="nil"/>
              <w:bottom w:val="single" w:sz="8" w:space="0" w:color="000000"/>
              <w:right w:val="single" w:sz="8" w:space="0" w:color="000000"/>
            </w:tcBorders>
            <w:vAlign w:val="center"/>
            <w:hideMark/>
          </w:tcPr>
          <w:p w:rsidR="006E30FE" w:rsidRDefault="00A13ADC">
            <w:pPr>
              <w:pStyle w:val="p0"/>
              <w:spacing w:line="300" w:lineRule="atLeast"/>
              <w:ind w:left="2" w:right="32"/>
              <w:jc w:val="center"/>
              <w:rPr>
                <w:rFonts w:ascii="宋体" w:hAnsi="宋体"/>
                <w:sz w:val="20"/>
                <w:szCs w:val="20"/>
              </w:rPr>
            </w:pPr>
            <w:r>
              <w:rPr>
                <w:rFonts w:ascii="宋体" w:hAnsi="宋体" w:hint="eastAsia"/>
                <w:sz w:val="20"/>
                <w:szCs w:val="20"/>
              </w:rPr>
              <w:t>0-70%</w:t>
            </w:r>
          </w:p>
        </w:tc>
      </w:tr>
    </w:tbl>
    <w:p w:rsidR="006E30FE" w:rsidRDefault="00A13ADC">
      <w:pPr>
        <w:pStyle w:val="p0"/>
        <w:spacing w:line="300" w:lineRule="atLeast"/>
        <w:ind w:left="2" w:right="32"/>
        <w:rPr>
          <w:rFonts w:ascii="宋体" w:hAnsi="宋体"/>
          <w:sz w:val="20"/>
          <w:szCs w:val="20"/>
        </w:rPr>
      </w:pPr>
      <w:r>
        <w:rPr>
          <w:rFonts w:ascii="宋体" w:hAnsi="宋体" w:hint="eastAsia"/>
          <w:sz w:val="20"/>
          <w:szCs w:val="20"/>
        </w:rPr>
        <w:t>从投资实践出发，上述投资比例可在[-10%，+10%]的区间内进行浮动；若超出该浮动范围且可能对客户预期收益产生重大影响，我行将在中信银行网站进行信息披露，并将积极采取措施进行调整使投资比例回归至约定区间。</w:t>
      </w:r>
    </w:p>
    <w:p w:rsidR="006E30FE" w:rsidRDefault="00A13ADC">
      <w:pPr>
        <w:pStyle w:val="p0"/>
        <w:spacing w:line="300" w:lineRule="atLeast"/>
        <w:ind w:left="2" w:right="32"/>
        <w:rPr>
          <w:rFonts w:ascii="宋体" w:hAnsi="宋体"/>
          <w:sz w:val="20"/>
          <w:szCs w:val="20"/>
        </w:rPr>
      </w:pPr>
      <w:r>
        <w:rPr>
          <w:rFonts w:ascii="宋体" w:hAnsi="宋体" w:hint="eastAsia"/>
          <w:sz w:val="20"/>
          <w:szCs w:val="20"/>
        </w:rPr>
        <w:t>本产品可通过参与或认购信托计划、券商资产管理计划、基金专户、基金专项资产管理计划、保险资产管理产品及专户（或其他资产管理计划）和北交所交易平台以及其他符合国家相关政策、法律法规的投资工具实现对上述投资品种的投资，且可以由资产名义持有人按公允价格转让本产品所投资的全部或部分投资标的。</w:t>
      </w:r>
    </w:p>
    <w:p w:rsidR="006E30FE" w:rsidRDefault="00A13ADC">
      <w:pPr>
        <w:pStyle w:val="p0"/>
        <w:spacing w:line="300" w:lineRule="atLeast"/>
        <w:ind w:left="2" w:right="32"/>
        <w:rPr>
          <w:rFonts w:ascii="宋体" w:hAnsi="宋体"/>
          <w:sz w:val="20"/>
          <w:szCs w:val="20"/>
        </w:rPr>
      </w:pPr>
      <w:r>
        <w:rPr>
          <w:rFonts w:ascii="宋体" w:hAnsi="宋体" w:hint="eastAsia"/>
          <w:sz w:val="20"/>
          <w:szCs w:val="20"/>
        </w:rPr>
        <w:t>本产品进行上述投资时，按比例投资于部分资产，则按照标的资产具体投资比例实现实际投资收益。理财产品到期，返回投资者的本金与收益来源于标的资产项下可分配的现金，最终来源于标的资产发行人或债务人偿付的本息、或处置标的资产实现的收入、或后续申购投向标的资产的资金、或本产品采取其他方式变</w:t>
      </w:r>
      <w:proofErr w:type="gramStart"/>
      <w:r>
        <w:rPr>
          <w:rFonts w:ascii="宋体" w:hAnsi="宋体" w:hint="eastAsia"/>
          <w:sz w:val="20"/>
          <w:szCs w:val="20"/>
        </w:rPr>
        <w:t>现实现</w:t>
      </w:r>
      <w:proofErr w:type="gramEnd"/>
      <w:r>
        <w:rPr>
          <w:rFonts w:ascii="宋体" w:hAnsi="宋体" w:hint="eastAsia"/>
          <w:sz w:val="20"/>
          <w:szCs w:val="20"/>
        </w:rPr>
        <w:t>的收入等。</w:t>
      </w:r>
    </w:p>
    <w:p w:rsidR="006E30FE" w:rsidRDefault="00A13ADC">
      <w:pPr>
        <w:pStyle w:val="p0"/>
        <w:spacing w:line="300" w:lineRule="atLeast"/>
        <w:ind w:right="-153"/>
        <w:rPr>
          <w:rFonts w:ascii="宋体" w:hAnsi="宋体"/>
          <w:sz w:val="20"/>
          <w:szCs w:val="20"/>
        </w:rPr>
      </w:pPr>
      <w:r>
        <w:rPr>
          <w:rFonts w:ascii="宋体" w:hAnsi="宋体" w:hint="eastAsia"/>
          <w:sz w:val="20"/>
          <w:szCs w:val="20"/>
        </w:rPr>
        <w:lastRenderedPageBreak/>
        <w:t>3、本产品的上述投资范围将有可能随国家法律法规及监管政策的变化而进行调整，或中信银行基于勤勉尽职从投资者利益出发，对投资范围进行调整。在本产品存续期间，如变更投资范围、投资品种或投资比例，产品管理人有权提前3天通过中信银行网站（http://bank.ecitic.com/）、网点等渠道进行公告发布相关变更信息后进行变更。客户不接受的，可按照相关约定在变更生效前赎回理财产品。客户未在变更生效前向中信银行提出赎回申请的，视为同意接受变更后条款，中信银行有权按照变更后的约定内容进行操作。</w:t>
      </w:r>
    </w:p>
    <w:p w:rsidR="006E30FE" w:rsidRDefault="00A13ADC">
      <w:pPr>
        <w:pStyle w:val="p0"/>
        <w:ind w:left="2" w:right="46"/>
        <w:rPr>
          <w:rFonts w:ascii="宋体" w:hAnsi="宋体"/>
          <w:sz w:val="20"/>
          <w:szCs w:val="20"/>
        </w:rPr>
      </w:pPr>
      <w:r>
        <w:rPr>
          <w:rFonts w:ascii="宋体" w:hAnsi="宋体" w:hint="eastAsia"/>
          <w:sz w:val="20"/>
          <w:szCs w:val="20"/>
        </w:rPr>
        <w:t xml:space="preserve"> </w:t>
      </w:r>
    </w:p>
    <w:p w:rsidR="006E30FE" w:rsidRDefault="00A13ADC">
      <w:pPr>
        <w:pStyle w:val="p0"/>
        <w:ind w:left="2" w:right="46"/>
        <w:rPr>
          <w:rFonts w:ascii="宋体" w:hAnsi="宋体"/>
          <w:b/>
          <w:bCs/>
          <w:sz w:val="20"/>
          <w:szCs w:val="20"/>
        </w:rPr>
      </w:pPr>
      <w:r>
        <w:rPr>
          <w:rFonts w:ascii="宋体" w:hAnsi="宋体" w:hint="eastAsia"/>
          <w:b/>
          <w:bCs/>
          <w:sz w:val="20"/>
          <w:szCs w:val="20"/>
        </w:rPr>
        <w:t>二、产品基本要素</w:t>
      </w:r>
    </w:p>
    <w:tbl>
      <w:tblPr>
        <w:tblW w:w="8745" w:type="dxa"/>
        <w:tblLayout w:type="fixed"/>
        <w:tblLook w:val="04A0" w:firstRow="1" w:lastRow="0" w:firstColumn="1" w:lastColumn="0" w:noHBand="0" w:noVBand="1"/>
      </w:tblPr>
      <w:tblGrid>
        <w:gridCol w:w="1280"/>
        <w:gridCol w:w="7465"/>
      </w:tblGrid>
      <w:tr w:rsidR="006E30FE">
        <w:trPr>
          <w:trHeight w:val="285"/>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产品名称</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中信理财之超快车计划2号（7天子计划）</w:t>
            </w:r>
          </w:p>
        </w:tc>
      </w:tr>
      <w:tr w:rsidR="006E30FE">
        <w:trPr>
          <w:trHeight w:val="285"/>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理财编码</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B10011004</w:t>
            </w:r>
          </w:p>
        </w:tc>
      </w:tr>
      <w:tr w:rsidR="006E30FE">
        <w:trPr>
          <w:trHeight w:val="285"/>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产品类型</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保本浮动收益型，开放型</w:t>
            </w:r>
          </w:p>
        </w:tc>
      </w:tr>
      <w:tr w:rsidR="006E30FE">
        <w:trPr>
          <w:trHeight w:val="729"/>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中信理财产品风险分级</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PR1级（谨慎型，绿色）。</w:t>
            </w:r>
            <w:proofErr w:type="gramStart"/>
            <w:r>
              <w:rPr>
                <w:rFonts w:ascii="宋体" w:hAnsi="宋体" w:hint="eastAsia"/>
                <w:sz w:val="20"/>
                <w:szCs w:val="20"/>
              </w:rPr>
              <w:t>本风险</w:t>
            </w:r>
            <w:proofErr w:type="gramEnd"/>
            <w:r>
              <w:rPr>
                <w:rFonts w:ascii="宋体" w:hAnsi="宋体" w:hint="eastAsia"/>
                <w:sz w:val="20"/>
                <w:szCs w:val="20"/>
              </w:rPr>
              <w:t>分级为中信银行自行评定，仅供参考，中信银行并不对前述风险分级结果的准确性做出任何形式的保证</w:t>
            </w:r>
          </w:p>
        </w:tc>
      </w:tr>
      <w:tr w:rsidR="006E30FE">
        <w:trPr>
          <w:trHeight w:val="469"/>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产品期限</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本理财计划及</w:t>
            </w:r>
            <w:proofErr w:type="gramStart"/>
            <w:r>
              <w:rPr>
                <w:rFonts w:ascii="宋体" w:hAnsi="宋体" w:hint="eastAsia"/>
                <w:sz w:val="20"/>
                <w:szCs w:val="20"/>
              </w:rPr>
              <w:t>子计划</w:t>
            </w:r>
            <w:proofErr w:type="gramEnd"/>
            <w:r>
              <w:rPr>
                <w:rFonts w:ascii="宋体" w:hAnsi="宋体" w:hint="eastAsia"/>
                <w:sz w:val="20"/>
                <w:szCs w:val="20"/>
              </w:rPr>
              <w:t>无名义存续期限(受提前终止条款约束)</w:t>
            </w:r>
          </w:p>
        </w:tc>
      </w:tr>
      <w:tr w:rsidR="006E30FE">
        <w:trPr>
          <w:trHeight w:val="681"/>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产品规模</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产品规模上限为50亿元人民币，下限为5000万元人民币。中信银行可根据市场和产品运行情况调整规模上下限。</w:t>
            </w:r>
          </w:p>
        </w:tc>
      </w:tr>
      <w:tr w:rsidR="006E30FE">
        <w:trPr>
          <w:trHeight w:val="510"/>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币种及认购起点</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本子计划的投资与收益币种均为人民币，初始认、申购金额不低于人民币5万元，以人民币1万元的整数倍增加（投资者与中信银行在此约定，对单笔认购或申购金额为人民币</w:t>
            </w:r>
            <w:r>
              <w:rPr>
                <w:sz w:val="20"/>
                <w:szCs w:val="20"/>
              </w:rPr>
              <w:t>1</w:t>
            </w:r>
            <w:r>
              <w:rPr>
                <w:rFonts w:ascii="宋体" w:hAnsi="宋体" w:hint="eastAsia"/>
                <w:sz w:val="20"/>
                <w:szCs w:val="20"/>
              </w:rPr>
              <w:t>亿元（含）以上的，中信银行在划款时无需以电话等方式与投资者进行最后确认）。</w:t>
            </w:r>
          </w:p>
        </w:tc>
      </w:tr>
      <w:tr w:rsidR="006E30FE">
        <w:trPr>
          <w:trHeight w:val="332"/>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份额单位</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份</w:t>
            </w:r>
          </w:p>
        </w:tc>
      </w:tr>
      <w:tr w:rsidR="006E30FE">
        <w:trPr>
          <w:trHeight w:val="295"/>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产品单位净值</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1元/份</w:t>
            </w:r>
          </w:p>
        </w:tc>
      </w:tr>
      <w:tr w:rsidR="006E30FE">
        <w:trPr>
          <w:trHeight w:val="295"/>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proofErr w:type="gramStart"/>
            <w:r>
              <w:rPr>
                <w:rFonts w:ascii="宋体" w:hAnsi="宋体" w:hint="eastAsia"/>
                <w:sz w:val="20"/>
                <w:szCs w:val="20"/>
              </w:rPr>
              <w:t>年化测算</w:t>
            </w:r>
            <w:proofErr w:type="gramEnd"/>
            <w:r>
              <w:rPr>
                <w:rFonts w:ascii="宋体" w:hAnsi="宋体" w:hint="eastAsia"/>
                <w:sz w:val="20"/>
                <w:szCs w:val="20"/>
              </w:rPr>
              <w:t>收益率</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中信银行有权根据市场变化情况随时调整测算收益率，请投资者随时关注我行相关披露信息。</w:t>
            </w:r>
          </w:p>
          <w:p w:rsidR="006E30FE" w:rsidRDefault="00A13ADC">
            <w:pPr>
              <w:pStyle w:val="p0"/>
              <w:spacing w:line="260" w:lineRule="atLeast"/>
              <w:rPr>
                <w:rFonts w:ascii="宋体" w:hAnsi="宋体"/>
                <w:b/>
                <w:bCs/>
                <w:sz w:val="20"/>
                <w:szCs w:val="20"/>
              </w:rPr>
            </w:pPr>
            <w:r>
              <w:rPr>
                <w:rFonts w:ascii="宋体" w:hAnsi="宋体" w:hint="eastAsia"/>
                <w:b/>
                <w:bCs/>
                <w:sz w:val="20"/>
                <w:szCs w:val="20"/>
              </w:rPr>
              <w:t>上述测算收益不等于实际收益，投资须谨慎。</w:t>
            </w:r>
            <w:r>
              <w:rPr>
                <w:rFonts w:ascii="宋体" w:hAnsi="宋体" w:hint="eastAsia"/>
                <w:sz w:val="20"/>
                <w:szCs w:val="20"/>
              </w:rPr>
              <w:t>如果本理财计划投资资产市值下跌或投资工具发生信用风险，则实际收益率将可能低于测算</w:t>
            </w:r>
            <w:proofErr w:type="gramStart"/>
            <w:r>
              <w:rPr>
                <w:rFonts w:ascii="宋体" w:hAnsi="宋体" w:hint="eastAsia"/>
                <w:sz w:val="20"/>
                <w:szCs w:val="20"/>
              </w:rPr>
              <w:t>最高年化收益率</w:t>
            </w:r>
            <w:proofErr w:type="gramEnd"/>
            <w:r>
              <w:rPr>
                <w:rFonts w:ascii="宋体" w:hAnsi="宋体" w:hint="eastAsia"/>
                <w:sz w:val="20"/>
                <w:szCs w:val="20"/>
              </w:rPr>
              <w:t>，甚至造成收益的全部损失</w:t>
            </w:r>
            <w:r>
              <w:rPr>
                <w:rFonts w:ascii="宋体" w:hAnsi="宋体" w:hint="eastAsia"/>
                <w:b/>
                <w:bCs/>
                <w:sz w:val="20"/>
                <w:szCs w:val="20"/>
              </w:rPr>
              <w:t>。</w:t>
            </w:r>
          </w:p>
        </w:tc>
      </w:tr>
      <w:tr w:rsidR="006E30FE">
        <w:trPr>
          <w:trHeight w:val="382"/>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募集期</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2010年9月26日至</w:t>
            </w:r>
            <w:r>
              <w:rPr>
                <w:rFonts w:ascii="宋体" w:hAnsi="宋体" w:hint="eastAsia"/>
                <w:color w:val="0000FF"/>
                <w:sz w:val="20"/>
                <w:szCs w:val="20"/>
              </w:rPr>
              <w:t>2010年10月10日</w:t>
            </w:r>
          </w:p>
        </w:tc>
      </w:tr>
      <w:tr w:rsidR="006E30FE">
        <w:trPr>
          <w:trHeight w:val="285"/>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理财</w:t>
            </w:r>
            <w:proofErr w:type="gramStart"/>
            <w:r>
              <w:rPr>
                <w:rFonts w:ascii="宋体" w:hAnsi="宋体" w:hint="eastAsia"/>
                <w:sz w:val="20"/>
                <w:szCs w:val="20"/>
              </w:rPr>
              <w:t>子计划</w:t>
            </w:r>
            <w:proofErr w:type="gramEnd"/>
            <w:r>
              <w:rPr>
                <w:rFonts w:ascii="宋体" w:hAnsi="宋体" w:hint="eastAsia"/>
                <w:sz w:val="20"/>
                <w:szCs w:val="20"/>
              </w:rPr>
              <w:t>预计成立日</w:t>
            </w:r>
          </w:p>
        </w:tc>
        <w:tc>
          <w:tcPr>
            <w:tcW w:w="7468" w:type="dxa"/>
            <w:tcBorders>
              <w:top w:val="single" w:sz="4" w:space="0" w:color="000000"/>
              <w:left w:val="nil"/>
              <w:bottom w:val="nil"/>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color w:val="0000FF"/>
                <w:sz w:val="20"/>
                <w:szCs w:val="20"/>
              </w:rPr>
              <w:t>2010年10月11日</w:t>
            </w:r>
          </w:p>
        </w:tc>
      </w:tr>
      <w:tr w:rsidR="006E30FE">
        <w:trPr>
          <w:trHeight w:val="256"/>
        </w:trPr>
        <w:tc>
          <w:tcPr>
            <w:tcW w:w="1280" w:type="dxa"/>
            <w:tcBorders>
              <w:top w:val="nil"/>
              <w:left w:val="single" w:sz="4" w:space="0" w:color="000000"/>
              <w:bottom w:val="nil"/>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收益结转日</w:t>
            </w:r>
          </w:p>
        </w:tc>
        <w:tc>
          <w:tcPr>
            <w:tcW w:w="7468" w:type="dxa"/>
            <w:tcBorders>
              <w:top w:val="single" w:sz="4" w:space="0" w:color="000000"/>
              <w:left w:val="nil"/>
              <w:bottom w:val="nil"/>
              <w:right w:val="single" w:sz="4" w:space="0" w:color="000000"/>
            </w:tcBorders>
            <w:vAlign w:val="center"/>
            <w:hideMark/>
          </w:tcPr>
          <w:p w:rsidR="006E30FE" w:rsidRDefault="00A13ADC">
            <w:pPr>
              <w:pStyle w:val="p0"/>
              <w:spacing w:line="260" w:lineRule="atLeast"/>
              <w:jc w:val="left"/>
              <w:rPr>
                <w:rFonts w:ascii="宋体" w:hAnsi="宋体"/>
                <w:sz w:val="20"/>
                <w:szCs w:val="20"/>
              </w:rPr>
            </w:pPr>
            <w:r>
              <w:rPr>
                <w:rFonts w:ascii="宋体" w:hAnsi="宋体" w:hint="eastAsia"/>
                <w:color w:val="000000"/>
                <w:sz w:val="20"/>
                <w:szCs w:val="20"/>
              </w:rPr>
              <w:t>计算投资者理财收益的基准日期，为每个自然月20日（</w:t>
            </w:r>
            <w:proofErr w:type="gramStart"/>
            <w:r>
              <w:rPr>
                <w:rFonts w:ascii="宋体" w:hAnsi="宋体" w:hint="eastAsia"/>
                <w:sz w:val="20"/>
                <w:szCs w:val="20"/>
              </w:rPr>
              <w:t>如遇非工作日</w:t>
            </w:r>
            <w:proofErr w:type="gramEnd"/>
            <w:r>
              <w:rPr>
                <w:rFonts w:ascii="宋体" w:hAnsi="宋体" w:hint="eastAsia"/>
                <w:sz w:val="20"/>
                <w:szCs w:val="20"/>
              </w:rPr>
              <w:t>顺延至下一工作日）。</w:t>
            </w:r>
          </w:p>
        </w:tc>
      </w:tr>
      <w:tr w:rsidR="006E30FE">
        <w:trPr>
          <w:trHeight w:val="510"/>
        </w:trPr>
        <w:tc>
          <w:tcPr>
            <w:tcW w:w="1280" w:type="dxa"/>
            <w:tcBorders>
              <w:top w:val="single" w:sz="4" w:space="0" w:color="000000"/>
              <w:left w:val="single" w:sz="4" w:space="0" w:color="000000"/>
              <w:bottom w:val="nil"/>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认、申购</w:t>
            </w:r>
          </w:p>
        </w:tc>
        <w:tc>
          <w:tcPr>
            <w:tcW w:w="7468" w:type="dxa"/>
            <w:tcBorders>
              <w:top w:val="single" w:sz="4" w:space="0" w:color="000000"/>
              <w:left w:val="nil"/>
              <w:bottom w:val="nil"/>
              <w:right w:val="single" w:sz="4" w:space="0" w:color="000000"/>
            </w:tcBorders>
            <w:vAlign w:val="center"/>
            <w:hideMark/>
          </w:tcPr>
          <w:p w:rsidR="006E30FE" w:rsidRDefault="00A13ADC">
            <w:pPr>
              <w:pStyle w:val="p0"/>
              <w:spacing w:line="260" w:lineRule="atLeast"/>
              <w:jc w:val="left"/>
              <w:rPr>
                <w:rFonts w:ascii="宋体" w:hAnsi="宋体"/>
                <w:sz w:val="20"/>
                <w:szCs w:val="20"/>
              </w:rPr>
            </w:pPr>
            <w:r>
              <w:rPr>
                <w:rFonts w:ascii="宋体" w:hAnsi="宋体" w:hint="eastAsia"/>
                <w:sz w:val="20"/>
                <w:szCs w:val="20"/>
              </w:rPr>
              <w:t>详细内容见</w:t>
            </w:r>
            <w:r>
              <w:rPr>
                <w:rFonts w:ascii="宋体" w:hAnsi="宋体" w:hint="eastAsia"/>
                <w:b/>
                <w:bCs/>
                <w:sz w:val="20"/>
                <w:szCs w:val="20"/>
              </w:rPr>
              <w:t>“理财子计划的认、申购”</w:t>
            </w:r>
          </w:p>
        </w:tc>
      </w:tr>
      <w:tr w:rsidR="006E30FE">
        <w:trPr>
          <w:trHeight w:val="391"/>
        </w:trPr>
        <w:tc>
          <w:tcPr>
            <w:tcW w:w="1280" w:type="dxa"/>
            <w:tcBorders>
              <w:top w:val="single" w:sz="4" w:space="0" w:color="000000"/>
              <w:left w:val="single" w:sz="4" w:space="0" w:color="000000"/>
              <w:bottom w:val="nil"/>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赎回</w:t>
            </w:r>
          </w:p>
        </w:tc>
        <w:tc>
          <w:tcPr>
            <w:tcW w:w="7468" w:type="dxa"/>
            <w:tcBorders>
              <w:top w:val="single" w:sz="4" w:space="0" w:color="000000"/>
              <w:left w:val="nil"/>
              <w:bottom w:val="nil"/>
              <w:right w:val="single" w:sz="4" w:space="0" w:color="000000"/>
            </w:tcBorders>
            <w:vAlign w:val="center"/>
            <w:hideMark/>
          </w:tcPr>
          <w:p w:rsidR="006E30FE" w:rsidRDefault="00A13ADC">
            <w:pPr>
              <w:pStyle w:val="p0"/>
              <w:spacing w:line="260" w:lineRule="atLeast"/>
              <w:jc w:val="left"/>
              <w:rPr>
                <w:rFonts w:ascii="宋体" w:hAnsi="宋体"/>
                <w:sz w:val="20"/>
                <w:szCs w:val="20"/>
              </w:rPr>
            </w:pPr>
            <w:r>
              <w:rPr>
                <w:rFonts w:ascii="宋体" w:hAnsi="宋体" w:hint="eastAsia"/>
                <w:sz w:val="20"/>
                <w:szCs w:val="20"/>
              </w:rPr>
              <w:t>详细内容见</w:t>
            </w:r>
            <w:r>
              <w:rPr>
                <w:rFonts w:ascii="宋体" w:hAnsi="宋体" w:hint="eastAsia"/>
                <w:b/>
                <w:bCs/>
                <w:sz w:val="20"/>
                <w:szCs w:val="20"/>
              </w:rPr>
              <w:t>“理财子计划的赎回”</w:t>
            </w:r>
          </w:p>
        </w:tc>
      </w:tr>
      <w:tr w:rsidR="006E30FE">
        <w:trPr>
          <w:trHeight w:val="285"/>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投资周期</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自</w:t>
            </w:r>
            <w:r>
              <w:rPr>
                <w:rFonts w:ascii="宋体" w:hAnsi="宋体" w:hint="eastAsia"/>
                <w:color w:val="0000FF"/>
                <w:sz w:val="20"/>
                <w:szCs w:val="20"/>
              </w:rPr>
              <w:t>2010年10月11日</w:t>
            </w:r>
            <w:r>
              <w:rPr>
                <w:rFonts w:ascii="宋体" w:hAnsi="宋体" w:hint="eastAsia"/>
                <w:sz w:val="20"/>
                <w:szCs w:val="20"/>
              </w:rPr>
              <w:t>起</w:t>
            </w:r>
            <w:r>
              <w:rPr>
                <w:rFonts w:ascii="宋体" w:hAnsi="宋体" w:hint="eastAsia"/>
                <w:color w:val="0000FF"/>
                <w:sz w:val="20"/>
                <w:szCs w:val="20"/>
              </w:rPr>
              <w:t>每周的周一</w:t>
            </w:r>
            <w:r>
              <w:rPr>
                <w:rFonts w:ascii="宋体" w:hAnsi="宋体" w:hint="eastAsia"/>
                <w:sz w:val="20"/>
                <w:szCs w:val="20"/>
              </w:rPr>
              <w:t>（</w:t>
            </w:r>
            <w:proofErr w:type="gramStart"/>
            <w:r>
              <w:rPr>
                <w:rFonts w:ascii="宋体" w:hAnsi="宋体" w:hint="eastAsia"/>
                <w:sz w:val="20"/>
                <w:szCs w:val="20"/>
              </w:rPr>
              <w:t>如遇非工作日</w:t>
            </w:r>
            <w:proofErr w:type="gramEnd"/>
            <w:r>
              <w:rPr>
                <w:rFonts w:ascii="宋体" w:hAnsi="宋体" w:hint="eastAsia"/>
                <w:sz w:val="20"/>
                <w:szCs w:val="20"/>
              </w:rPr>
              <w:t>则自动顺延至下一工作日）为本子计划的赎回基准日。从本子计划的赎回基准日（含）至下一个赎回基准日（不含）期间为本子计划的一个投资周期。</w:t>
            </w:r>
          </w:p>
        </w:tc>
      </w:tr>
      <w:tr w:rsidR="006E30FE">
        <w:trPr>
          <w:trHeight w:val="285"/>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理财本金及收益返还</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详细内容见</w:t>
            </w:r>
            <w:r>
              <w:rPr>
                <w:rFonts w:ascii="宋体" w:hAnsi="宋体" w:hint="eastAsia"/>
                <w:b/>
                <w:bCs/>
                <w:sz w:val="20"/>
                <w:szCs w:val="20"/>
              </w:rPr>
              <w:t>“理财子计划的赎回”、“理财子计划的收益”</w:t>
            </w:r>
          </w:p>
        </w:tc>
      </w:tr>
      <w:tr w:rsidR="006E30FE">
        <w:trPr>
          <w:trHeight w:val="285"/>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提前终止</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中信银行对本理财计划及本理财</w:t>
            </w:r>
            <w:proofErr w:type="gramStart"/>
            <w:r>
              <w:rPr>
                <w:rFonts w:ascii="宋体" w:hAnsi="宋体" w:hint="eastAsia"/>
                <w:sz w:val="20"/>
                <w:szCs w:val="20"/>
              </w:rPr>
              <w:t>子计划</w:t>
            </w:r>
            <w:proofErr w:type="gramEnd"/>
            <w:r>
              <w:rPr>
                <w:rFonts w:ascii="宋体" w:hAnsi="宋体" w:hint="eastAsia"/>
                <w:sz w:val="20"/>
                <w:szCs w:val="20"/>
              </w:rPr>
              <w:t>有可能提前终止，详细内容见</w:t>
            </w:r>
            <w:r>
              <w:rPr>
                <w:rFonts w:ascii="宋体" w:hAnsi="宋体" w:hint="eastAsia"/>
                <w:b/>
                <w:bCs/>
                <w:sz w:val="20"/>
                <w:szCs w:val="20"/>
              </w:rPr>
              <w:t>“理财计划及理财子计划的提前终止”</w:t>
            </w:r>
          </w:p>
        </w:tc>
      </w:tr>
      <w:tr w:rsidR="006E30FE">
        <w:trPr>
          <w:trHeight w:val="381"/>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计息基数</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365</w:t>
            </w:r>
          </w:p>
        </w:tc>
      </w:tr>
      <w:tr w:rsidR="006E30FE">
        <w:trPr>
          <w:trHeight w:val="1275"/>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lastRenderedPageBreak/>
              <w:t>理财</w:t>
            </w:r>
            <w:proofErr w:type="gramStart"/>
            <w:r>
              <w:rPr>
                <w:rFonts w:ascii="宋体" w:hAnsi="宋体" w:hint="eastAsia"/>
                <w:sz w:val="20"/>
                <w:szCs w:val="20"/>
              </w:rPr>
              <w:t>子计划</w:t>
            </w:r>
            <w:proofErr w:type="gramEnd"/>
            <w:r>
              <w:rPr>
                <w:rFonts w:ascii="宋体" w:hAnsi="宋体" w:hint="eastAsia"/>
                <w:sz w:val="20"/>
                <w:szCs w:val="20"/>
              </w:rPr>
              <w:t>费用</w:t>
            </w:r>
          </w:p>
        </w:tc>
        <w:tc>
          <w:tcPr>
            <w:tcW w:w="7468" w:type="dxa"/>
            <w:tcBorders>
              <w:top w:val="nil"/>
              <w:left w:val="nil"/>
              <w:bottom w:val="single" w:sz="4" w:space="0" w:color="000000"/>
              <w:right w:val="single" w:sz="4" w:space="0" w:color="000000"/>
            </w:tcBorders>
            <w:vAlign w:val="center"/>
            <w:hideMark/>
          </w:tcPr>
          <w:p w:rsidR="006E30FE" w:rsidRDefault="00A13ADC">
            <w:pPr>
              <w:pStyle w:val="p0"/>
              <w:ind w:left="2" w:right="46"/>
              <w:rPr>
                <w:rFonts w:ascii="宋体" w:hAnsi="宋体"/>
                <w:sz w:val="20"/>
                <w:szCs w:val="20"/>
              </w:rPr>
            </w:pPr>
            <w:r>
              <w:rPr>
                <w:rFonts w:ascii="宋体" w:hAnsi="宋体" w:hint="eastAsia"/>
                <w:sz w:val="20"/>
                <w:szCs w:val="20"/>
              </w:rPr>
              <w:t>1、本产品无认</w:t>
            </w:r>
            <w:r>
              <w:rPr>
                <w:sz w:val="20"/>
                <w:szCs w:val="20"/>
              </w:rPr>
              <w:t>/</w:t>
            </w:r>
            <w:r>
              <w:rPr>
                <w:rFonts w:ascii="宋体" w:hAnsi="宋体" w:hint="eastAsia"/>
                <w:sz w:val="20"/>
                <w:szCs w:val="20"/>
              </w:rPr>
              <w:t>申购费，无赎回费。</w:t>
            </w:r>
          </w:p>
          <w:p w:rsidR="006E30FE" w:rsidRDefault="00A13ADC">
            <w:pPr>
              <w:pStyle w:val="p0"/>
              <w:ind w:left="2" w:right="46"/>
              <w:rPr>
                <w:rFonts w:ascii="宋体" w:hAnsi="宋体"/>
                <w:sz w:val="20"/>
                <w:szCs w:val="20"/>
              </w:rPr>
            </w:pPr>
            <w:r>
              <w:rPr>
                <w:rFonts w:ascii="宋体" w:hAnsi="宋体" w:hint="eastAsia"/>
                <w:sz w:val="20"/>
                <w:szCs w:val="20"/>
              </w:rPr>
              <w:t>2、本产品收取销售服务费、托管费等固定管理费率</w:t>
            </w:r>
            <w:r>
              <w:rPr>
                <w:sz w:val="20"/>
                <w:szCs w:val="20"/>
              </w:rPr>
              <w:t>0.05%/</w:t>
            </w:r>
            <w:r>
              <w:rPr>
                <w:rFonts w:ascii="宋体" w:hAnsi="宋体" w:hint="eastAsia"/>
                <w:sz w:val="20"/>
                <w:szCs w:val="20"/>
              </w:rPr>
              <w:t>年，按日计提。</w:t>
            </w:r>
          </w:p>
          <w:p w:rsidR="006E30FE" w:rsidRDefault="00A13ADC">
            <w:pPr>
              <w:pStyle w:val="p0"/>
              <w:spacing w:line="260" w:lineRule="atLeast"/>
              <w:rPr>
                <w:rFonts w:ascii="宋体" w:hAnsi="宋体"/>
                <w:sz w:val="20"/>
                <w:szCs w:val="20"/>
              </w:rPr>
            </w:pPr>
            <w:r>
              <w:rPr>
                <w:rFonts w:ascii="宋体" w:hAnsi="宋体" w:hint="eastAsia"/>
                <w:sz w:val="20"/>
                <w:szCs w:val="20"/>
              </w:rPr>
              <w:t>3、本产品所投资工具所获收益扣除相关税费、固定管理费后，超过本理财产品年化测算收益率以上部分为银行浮动管理费。</w:t>
            </w:r>
          </w:p>
          <w:p w:rsidR="006E30FE" w:rsidRDefault="00A13ADC">
            <w:pPr>
              <w:pStyle w:val="p0"/>
              <w:spacing w:line="260" w:lineRule="atLeast"/>
              <w:rPr>
                <w:rFonts w:ascii="宋体" w:hAnsi="宋体"/>
                <w:sz w:val="20"/>
                <w:szCs w:val="20"/>
              </w:rPr>
            </w:pPr>
            <w:r>
              <w:rPr>
                <w:rFonts w:ascii="宋体" w:hAnsi="宋体" w:hint="eastAsia"/>
                <w:sz w:val="20"/>
                <w:szCs w:val="20"/>
              </w:rPr>
              <w:t>4、中信银行有权根据相关法律和国家政策的规定，对本理财计划的收费项目、条件、标准和方式进行调整。投资者对此无异议且同意在上述情况下继续持有本理财计划。</w:t>
            </w:r>
          </w:p>
        </w:tc>
      </w:tr>
      <w:tr w:rsidR="006E30FE">
        <w:trPr>
          <w:trHeight w:val="442"/>
        </w:trPr>
        <w:tc>
          <w:tcPr>
            <w:tcW w:w="1280" w:type="dxa"/>
            <w:tcBorders>
              <w:top w:val="nil"/>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购买渠道</w:t>
            </w:r>
          </w:p>
        </w:tc>
        <w:tc>
          <w:tcPr>
            <w:tcW w:w="7468" w:type="dxa"/>
            <w:tcBorders>
              <w:top w:val="nil"/>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投资者可通过中信银行指定柜台</w:t>
            </w:r>
            <w:r>
              <w:rPr>
                <w:rFonts w:ascii="宋体" w:hAnsi="宋体" w:hint="eastAsia"/>
                <w:color w:val="0000FF"/>
                <w:sz w:val="20"/>
                <w:szCs w:val="20"/>
              </w:rPr>
              <w:t>、网上银行</w:t>
            </w:r>
            <w:r>
              <w:rPr>
                <w:rFonts w:ascii="宋体" w:hAnsi="宋体" w:hint="eastAsia"/>
                <w:sz w:val="20"/>
                <w:szCs w:val="20"/>
              </w:rPr>
              <w:t>等渠道购买本理财子计划</w:t>
            </w:r>
          </w:p>
        </w:tc>
      </w:tr>
      <w:tr w:rsidR="006E30FE">
        <w:trPr>
          <w:trHeight w:val="463"/>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工作日</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指我国法定工作日，除中国法定节假日、周六、周日、公休日等之外的日期</w:t>
            </w:r>
          </w:p>
        </w:tc>
      </w:tr>
      <w:tr w:rsidR="006E30FE">
        <w:trPr>
          <w:trHeight w:val="285"/>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税款</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理财产品收益的应缴税款由投资者自行申报和缴纳，中信银行不承担代扣代缴义务</w:t>
            </w:r>
          </w:p>
        </w:tc>
      </w:tr>
      <w:tr w:rsidR="006E30FE">
        <w:trPr>
          <w:trHeight w:val="473"/>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质押条款</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无，不可质押</w:t>
            </w:r>
          </w:p>
        </w:tc>
      </w:tr>
      <w:tr w:rsidR="006E30FE">
        <w:trPr>
          <w:trHeight w:val="49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收益计算方</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中信银行</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信息披露方式</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1、中信银行将在相关网站（</w:t>
            </w:r>
            <w:hyperlink r:id="rId7" w:history="1">
              <w:r>
                <w:rPr>
                  <w:rStyle w:val="a3"/>
                  <w:sz w:val="20"/>
                  <w:szCs w:val="20"/>
                </w:rPr>
                <w:t>http://www.ecitic.com/</w:t>
              </w:r>
            </w:hyperlink>
            <w:r>
              <w:rPr>
                <w:rFonts w:hint="eastAsia"/>
              </w:rPr>
              <w:t>）</w:t>
            </w:r>
            <w:r>
              <w:rPr>
                <w:rFonts w:ascii="宋体" w:hAnsi="宋体" w:hint="eastAsia"/>
                <w:sz w:val="20"/>
                <w:szCs w:val="20"/>
              </w:rPr>
              <w:t>发布本理财计划年化测算收益率（年化测算收益率保留2位小数点）。投资者可通过我行相关网站</w:t>
            </w:r>
            <w:r>
              <w:rPr>
                <w:rFonts w:hint="eastAsia"/>
                <w:sz w:val="20"/>
                <w:szCs w:val="20"/>
              </w:rPr>
              <w:t>（</w:t>
            </w:r>
            <w:hyperlink r:id="rId8" w:history="1">
              <w:r>
                <w:rPr>
                  <w:rStyle w:val="a3"/>
                  <w:sz w:val="20"/>
                  <w:szCs w:val="20"/>
                </w:rPr>
                <w:t>http://bank.ecitic.com/personal/</w:t>
              </w:r>
            </w:hyperlink>
            <w:r>
              <w:rPr>
                <w:rFonts w:hint="eastAsia"/>
              </w:rPr>
              <w:t>）</w:t>
            </w:r>
            <w:r>
              <w:rPr>
                <w:rFonts w:ascii="宋体" w:hAnsi="宋体" w:hint="eastAsia"/>
                <w:sz w:val="20"/>
                <w:szCs w:val="20"/>
              </w:rPr>
              <w:t>查询理财计划历史年化测算收益率。</w:t>
            </w:r>
            <w:r>
              <w:rPr>
                <w:rFonts w:ascii="宋体" w:hAnsi="宋体" w:hint="eastAsia"/>
                <w:sz w:val="20"/>
                <w:szCs w:val="20"/>
              </w:rPr>
              <w:br/>
              <w:t>2、如中信银行决定提前终止本理财计划，将于终止日后2个工作日内，在我行网站、网点等渠道发布相关信息公告。</w:t>
            </w:r>
            <w:r>
              <w:rPr>
                <w:rFonts w:ascii="宋体" w:hAnsi="宋体" w:hint="eastAsia"/>
                <w:sz w:val="20"/>
                <w:szCs w:val="20"/>
              </w:rPr>
              <w:br/>
              <w:t>3、如理财计划需延期支付，将于理财计划延期之日后1个工作日内，在我行网站、网点等渠道发布相关信息公告。</w:t>
            </w:r>
          </w:p>
          <w:p w:rsidR="006E30FE" w:rsidRDefault="00A13ADC">
            <w:pPr>
              <w:pStyle w:val="p0"/>
              <w:spacing w:line="260" w:lineRule="atLeast"/>
              <w:rPr>
                <w:rFonts w:ascii="宋体" w:hAnsi="宋体"/>
                <w:sz w:val="20"/>
                <w:szCs w:val="20"/>
              </w:rPr>
            </w:pPr>
            <w:r>
              <w:rPr>
                <w:rFonts w:ascii="宋体" w:hAnsi="宋体" w:hint="eastAsia"/>
                <w:sz w:val="20"/>
                <w:szCs w:val="20"/>
              </w:rPr>
              <w:t>4、如市场发生重大变化导致投资比例暂时超出浮动区间且可能对客户预期收益产生重大影响，或者对收费项目进行调整时，将及时在我行网站、网点等渠道发布相关信息公告。</w:t>
            </w:r>
          </w:p>
          <w:p w:rsidR="006E30FE" w:rsidRDefault="00A13ADC">
            <w:pPr>
              <w:pStyle w:val="p0"/>
              <w:spacing w:line="260" w:lineRule="atLeast"/>
              <w:rPr>
                <w:rFonts w:ascii="宋体" w:hAnsi="宋体"/>
                <w:sz w:val="20"/>
                <w:szCs w:val="20"/>
              </w:rPr>
            </w:pPr>
            <w:r>
              <w:rPr>
                <w:rFonts w:ascii="宋体" w:hAnsi="宋体" w:hint="eastAsia"/>
                <w:sz w:val="20"/>
                <w:szCs w:val="20"/>
              </w:rPr>
              <w:t>5、本理财计划持续期间内，中信银行有权通过中信银行网站、短信、电话等信息平台、渠道发布公告的形式，对说明书条款进行补充、说明和修改，客户不接受的，可按照相关约定在补充或修改生效前赎回理财产品。投资者未在变更生效前向中信银行提出赎回申请的，视为同意接受变更后条款，中信银行有权按照变更后的约定内容进行操作。中信银行网站是中信银行正式信息发布渠道，其他渠道为辅助方式，投资者应定期通过包括中信银行网站在内的各信息平台和渠道获知有关本理财计划相关信息。</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tcPr>
          <w:p w:rsidR="006E30FE" w:rsidRDefault="006E30FE">
            <w:pPr>
              <w:pStyle w:val="p0"/>
              <w:spacing w:line="260" w:lineRule="atLeast"/>
              <w:jc w:val="center"/>
              <w:rPr>
                <w:rFonts w:ascii="宋体" w:hAnsi="宋体"/>
                <w:sz w:val="20"/>
                <w:szCs w:val="20"/>
              </w:rPr>
            </w:pP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中信理财产品风险分级</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产品风险分级</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rPr>
                <w:rFonts w:ascii="宋体" w:hAnsi="宋体"/>
                <w:sz w:val="20"/>
                <w:szCs w:val="20"/>
              </w:rPr>
            </w:pPr>
            <w:r>
              <w:rPr>
                <w:rFonts w:ascii="宋体" w:hAnsi="宋体" w:hint="eastAsia"/>
                <w:sz w:val="20"/>
                <w:szCs w:val="20"/>
              </w:rPr>
              <w:t xml:space="preserve">              风险程度                             适合投资者</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绿色</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 xml:space="preserve">  PR1级（谨慎型）</w:t>
            </w:r>
            <w:r>
              <w:rPr>
                <w:sz w:val="20"/>
                <w:szCs w:val="20"/>
              </w:rPr>
              <w:t xml:space="preserve">                      </w:t>
            </w:r>
            <w:r>
              <w:rPr>
                <w:rFonts w:ascii="宋体" w:hAnsi="宋体" w:hint="eastAsia"/>
                <w:sz w:val="20"/>
                <w:szCs w:val="20"/>
              </w:rPr>
              <w:t>谨慎型及以上</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黄色</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 xml:space="preserve">   PR2级（稳健型）</w:t>
            </w:r>
            <w:r>
              <w:rPr>
                <w:sz w:val="20"/>
                <w:szCs w:val="20"/>
              </w:rPr>
              <w:t xml:space="preserve">                     </w:t>
            </w:r>
            <w:r>
              <w:rPr>
                <w:rFonts w:ascii="宋体" w:hAnsi="宋体" w:hint="eastAsia"/>
                <w:sz w:val="20"/>
                <w:szCs w:val="20"/>
              </w:rPr>
              <w:t xml:space="preserve"> 稳健型及以上</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橙色</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 xml:space="preserve">   PR3级（平衡型）</w:t>
            </w:r>
            <w:r>
              <w:rPr>
                <w:sz w:val="20"/>
                <w:szCs w:val="20"/>
              </w:rPr>
              <w:t xml:space="preserve">                      </w:t>
            </w:r>
            <w:r>
              <w:rPr>
                <w:rFonts w:ascii="宋体" w:hAnsi="宋体" w:hint="eastAsia"/>
                <w:sz w:val="20"/>
                <w:szCs w:val="20"/>
              </w:rPr>
              <w:t>平衡型及以上</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红色</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 xml:space="preserve">   PR4级（进取型） </w:t>
            </w:r>
            <w:r>
              <w:rPr>
                <w:sz w:val="20"/>
                <w:szCs w:val="20"/>
              </w:rPr>
              <w:t xml:space="preserve">                    </w:t>
            </w:r>
            <w:r>
              <w:rPr>
                <w:rFonts w:ascii="宋体" w:hAnsi="宋体" w:hint="eastAsia"/>
                <w:sz w:val="20"/>
                <w:szCs w:val="20"/>
              </w:rPr>
              <w:t xml:space="preserve"> 进取型及以上</w:t>
            </w:r>
          </w:p>
        </w:tc>
      </w:tr>
      <w:tr w:rsidR="006E30FE">
        <w:trPr>
          <w:trHeight w:val="281"/>
        </w:trPr>
        <w:tc>
          <w:tcPr>
            <w:tcW w:w="1280" w:type="dxa"/>
            <w:tcBorders>
              <w:top w:val="single" w:sz="4" w:space="0" w:color="000000"/>
              <w:left w:val="single" w:sz="4" w:space="0" w:color="000000"/>
              <w:bottom w:val="single" w:sz="4" w:space="0" w:color="000000"/>
              <w:right w:val="single" w:sz="4" w:space="0" w:color="000000"/>
            </w:tcBorders>
            <w:vAlign w:val="center"/>
            <w:hideMark/>
          </w:tcPr>
          <w:p w:rsidR="006E30FE" w:rsidRDefault="00A13ADC">
            <w:pPr>
              <w:pStyle w:val="p0"/>
              <w:spacing w:line="260" w:lineRule="atLeast"/>
              <w:jc w:val="center"/>
              <w:rPr>
                <w:rFonts w:ascii="宋体" w:hAnsi="宋体"/>
                <w:sz w:val="20"/>
                <w:szCs w:val="20"/>
              </w:rPr>
            </w:pPr>
            <w:r>
              <w:rPr>
                <w:rFonts w:ascii="宋体" w:hAnsi="宋体" w:hint="eastAsia"/>
                <w:sz w:val="20"/>
                <w:szCs w:val="20"/>
              </w:rPr>
              <w:t>黑色</w:t>
            </w:r>
          </w:p>
        </w:tc>
        <w:tc>
          <w:tcPr>
            <w:tcW w:w="7468" w:type="dxa"/>
            <w:tcBorders>
              <w:top w:val="single" w:sz="4" w:space="0" w:color="000000"/>
              <w:left w:val="nil"/>
              <w:bottom w:val="single" w:sz="4" w:space="0" w:color="000000"/>
              <w:right w:val="single" w:sz="4" w:space="0" w:color="000000"/>
            </w:tcBorders>
            <w:vAlign w:val="center"/>
            <w:hideMark/>
          </w:tcPr>
          <w:p w:rsidR="006E30FE" w:rsidRDefault="00A13ADC">
            <w:pPr>
              <w:pStyle w:val="p0"/>
              <w:spacing w:line="260" w:lineRule="atLeast"/>
              <w:ind w:firstLine="1300"/>
              <w:rPr>
                <w:rFonts w:ascii="宋体" w:hAnsi="宋体"/>
                <w:sz w:val="20"/>
                <w:szCs w:val="20"/>
              </w:rPr>
            </w:pPr>
            <w:r>
              <w:rPr>
                <w:rFonts w:ascii="宋体" w:hAnsi="宋体" w:hint="eastAsia"/>
                <w:sz w:val="20"/>
                <w:szCs w:val="20"/>
              </w:rPr>
              <w:t>PR5级（激进型）</w:t>
            </w:r>
            <w:r>
              <w:rPr>
                <w:sz w:val="20"/>
                <w:szCs w:val="20"/>
              </w:rPr>
              <w:t xml:space="preserve">                     </w:t>
            </w:r>
            <w:r>
              <w:rPr>
                <w:rFonts w:ascii="宋体" w:hAnsi="宋体" w:hint="eastAsia"/>
                <w:sz w:val="20"/>
                <w:szCs w:val="20"/>
              </w:rPr>
              <w:t xml:space="preserve">  </w:t>
            </w:r>
            <w:r>
              <w:rPr>
                <w:sz w:val="20"/>
                <w:szCs w:val="20"/>
              </w:rPr>
              <w:t> </w:t>
            </w:r>
            <w:r>
              <w:rPr>
                <w:rFonts w:ascii="宋体" w:hAnsi="宋体" w:hint="eastAsia"/>
                <w:sz w:val="20"/>
                <w:szCs w:val="20"/>
              </w:rPr>
              <w:t>激进型</w:t>
            </w:r>
          </w:p>
        </w:tc>
      </w:tr>
    </w:tbl>
    <w:p w:rsidR="006E30FE" w:rsidRDefault="00A13ADC">
      <w:pPr>
        <w:pStyle w:val="p0"/>
        <w:ind w:right="-693"/>
        <w:rPr>
          <w:rFonts w:ascii="宋体" w:hAnsi="宋体"/>
          <w:sz w:val="20"/>
          <w:szCs w:val="20"/>
        </w:rPr>
      </w:pPr>
      <w:r>
        <w:rPr>
          <w:rFonts w:ascii="宋体" w:hAnsi="宋体" w:hint="eastAsia"/>
          <w:sz w:val="20"/>
          <w:szCs w:val="20"/>
        </w:rPr>
        <w:t xml:space="preserve"> </w:t>
      </w:r>
    </w:p>
    <w:p w:rsidR="006E30FE" w:rsidRDefault="00A13ADC">
      <w:pPr>
        <w:pStyle w:val="p0"/>
        <w:ind w:left="185" w:right="-693"/>
        <w:rPr>
          <w:rFonts w:ascii="宋体" w:hAnsi="宋体"/>
          <w:b/>
          <w:bCs/>
          <w:sz w:val="20"/>
          <w:szCs w:val="20"/>
        </w:rPr>
      </w:pPr>
      <w:r>
        <w:rPr>
          <w:rFonts w:ascii="宋体" w:hAnsi="宋体" w:hint="eastAsia"/>
          <w:b/>
          <w:bCs/>
          <w:sz w:val="20"/>
          <w:szCs w:val="20"/>
        </w:rPr>
        <w:t>三、理财子计划的认、申购</w:t>
      </w:r>
    </w:p>
    <w:p w:rsidR="006E30FE" w:rsidRDefault="00A13ADC">
      <w:pPr>
        <w:pStyle w:val="p0"/>
        <w:spacing w:line="300" w:lineRule="atLeast"/>
        <w:ind w:left="-600" w:right="-693" w:firstLine="600"/>
        <w:rPr>
          <w:rFonts w:ascii="宋体" w:hAnsi="宋体"/>
          <w:sz w:val="20"/>
          <w:szCs w:val="20"/>
        </w:rPr>
      </w:pPr>
      <w:r>
        <w:rPr>
          <w:rFonts w:ascii="宋体" w:hAnsi="宋体" w:hint="eastAsia"/>
          <w:sz w:val="20"/>
          <w:szCs w:val="20"/>
        </w:rPr>
        <w:t>1、本子计划按金额认、申购，按单位净值（正常情况下单位净值为1元/份）计算份额。</w:t>
      </w:r>
    </w:p>
    <w:p w:rsidR="006E30FE" w:rsidRDefault="00A13ADC">
      <w:pPr>
        <w:pStyle w:val="p0"/>
        <w:spacing w:line="300" w:lineRule="atLeast"/>
        <w:ind w:left="116" w:right="-334"/>
        <w:rPr>
          <w:rFonts w:ascii="宋体" w:hAnsi="宋体"/>
          <w:sz w:val="20"/>
          <w:szCs w:val="20"/>
        </w:rPr>
      </w:pPr>
      <w:r>
        <w:rPr>
          <w:rFonts w:ascii="宋体" w:hAnsi="宋体" w:hint="eastAsia"/>
          <w:sz w:val="20"/>
          <w:szCs w:val="20"/>
        </w:rPr>
        <w:t>认、申购份额＝认、申购金额/子计划单位净值（认、申购份数按照四舍五入方法计算，保留小数点后两位，由此误差产生的损失由理财财产承担，产生的收益归理财财产所有）</w:t>
      </w:r>
    </w:p>
    <w:p w:rsidR="006E30FE" w:rsidRDefault="00A13ADC">
      <w:pPr>
        <w:pStyle w:val="p0"/>
        <w:spacing w:line="300" w:lineRule="atLeast"/>
        <w:ind w:left="116" w:right="-334"/>
        <w:rPr>
          <w:rFonts w:ascii="宋体" w:hAnsi="宋体"/>
          <w:sz w:val="20"/>
          <w:szCs w:val="20"/>
        </w:rPr>
      </w:pPr>
      <w:r>
        <w:rPr>
          <w:rFonts w:ascii="宋体" w:hAnsi="宋体" w:hint="eastAsia"/>
          <w:sz w:val="20"/>
          <w:szCs w:val="20"/>
        </w:rPr>
        <w:t>例如，某工作日投资者以5万元本金申购理财子计划，则投资者获得的申购份额=50000/1=50000.00份。</w:t>
      </w:r>
    </w:p>
    <w:p w:rsidR="006E30FE" w:rsidRDefault="00A13ADC">
      <w:pPr>
        <w:pStyle w:val="p0"/>
        <w:spacing w:line="300" w:lineRule="atLeast"/>
        <w:ind w:left="116" w:right="-334"/>
        <w:rPr>
          <w:rFonts w:ascii="宋体" w:hAnsi="宋体"/>
          <w:sz w:val="20"/>
          <w:szCs w:val="20"/>
        </w:rPr>
      </w:pPr>
      <w:r>
        <w:rPr>
          <w:rFonts w:ascii="宋体" w:hAnsi="宋体" w:hint="eastAsia"/>
          <w:sz w:val="20"/>
          <w:szCs w:val="20"/>
        </w:rPr>
        <w:t>2、在子计划成立后，正常工作日内，当日起息的申购的起止时间为0：00-15：30（以银行后台系统受理申请时间为准），其余时间的申购申请在下一工作日起息。</w:t>
      </w:r>
    </w:p>
    <w:p w:rsidR="006E30FE" w:rsidRDefault="00A13ADC">
      <w:pPr>
        <w:pStyle w:val="p0"/>
        <w:spacing w:line="300" w:lineRule="atLeast"/>
        <w:ind w:left="116" w:right="-334"/>
        <w:rPr>
          <w:rFonts w:ascii="宋体" w:hAnsi="宋体"/>
          <w:sz w:val="20"/>
          <w:szCs w:val="20"/>
        </w:rPr>
      </w:pPr>
      <w:r>
        <w:rPr>
          <w:rFonts w:ascii="宋体" w:hAnsi="宋体" w:hint="eastAsia"/>
          <w:sz w:val="20"/>
          <w:szCs w:val="20"/>
        </w:rPr>
        <w:lastRenderedPageBreak/>
        <w:t>3、在子计划成立后，如投资者申购本理财子计划的日期为T日（工作日），则投资者可在T+1日（工作日）查询取得的本理财子计划份额。</w:t>
      </w:r>
    </w:p>
    <w:p w:rsidR="006E30FE" w:rsidRDefault="00A13ADC">
      <w:pPr>
        <w:pStyle w:val="p0"/>
        <w:spacing w:line="300" w:lineRule="atLeast"/>
        <w:ind w:left="-600" w:right="-693" w:firstLine="600"/>
        <w:rPr>
          <w:rFonts w:ascii="宋体" w:hAnsi="宋体"/>
          <w:sz w:val="20"/>
          <w:szCs w:val="20"/>
        </w:rPr>
      </w:pPr>
      <w:r>
        <w:rPr>
          <w:rFonts w:ascii="宋体" w:hAnsi="宋体" w:hint="eastAsia"/>
          <w:sz w:val="20"/>
          <w:szCs w:val="20"/>
        </w:rPr>
        <w:t>4、投资者首次认、申购的起点金额为5万元，追加投资时，增加额度按照1万元的整数倍递增。</w:t>
      </w:r>
    </w:p>
    <w:p w:rsidR="006E30FE" w:rsidRDefault="00A13ADC">
      <w:pPr>
        <w:pStyle w:val="p0"/>
        <w:ind w:left="-600" w:right="-790" w:firstLine="600"/>
        <w:rPr>
          <w:rFonts w:ascii="宋体" w:hAnsi="宋体"/>
          <w:sz w:val="20"/>
          <w:szCs w:val="20"/>
        </w:rPr>
      </w:pPr>
      <w:r>
        <w:rPr>
          <w:rFonts w:ascii="宋体" w:hAnsi="宋体" w:hint="eastAsia"/>
          <w:sz w:val="20"/>
          <w:szCs w:val="20"/>
        </w:rPr>
        <w:t>5、中信银行保留不接受认、申购申请的权利。</w:t>
      </w:r>
    </w:p>
    <w:p w:rsidR="006E30FE" w:rsidRDefault="00A13ADC">
      <w:pPr>
        <w:pStyle w:val="p0"/>
        <w:ind w:left="10" w:right="-790" w:hanging="10"/>
        <w:rPr>
          <w:rFonts w:ascii="宋体" w:hAnsi="宋体"/>
          <w:sz w:val="20"/>
          <w:szCs w:val="20"/>
        </w:rPr>
      </w:pPr>
      <w:r>
        <w:rPr>
          <w:rFonts w:ascii="宋体" w:hAnsi="宋体" w:hint="eastAsia"/>
          <w:sz w:val="20"/>
          <w:szCs w:val="20"/>
        </w:rPr>
        <w:t xml:space="preserve"> </w:t>
      </w:r>
    </w:p>
    <w:p w:rsidR="006E30FE" w:rsidRDefault="00A13ADC">
      <w:pPr>
        <w:pStyle w:val="p0"/>
        <w:ind w:left="181" w:right="-790"/>
        <w:rPr>
          <w:rFonts w:ascii="宋体" w:hAnsi="宋体"/>
          <w:b/>
          <w:bCs/>
          <w:sz w:val="20"/>
          <w:szCs w:val="20"/>
        </w:rPr>
      </w:pPr>
      <w:r>
        <w:rPr>
          <w:rFonts w:ascii="宋体" w:hAnsi="宋体" w:hint="eastAsia"/>
          <w:b/>
          <w:bCs/>
          <w:sz w:val="20"/>
          <w:szCs w:val="20"/>
        </w:rPr>
        <w:t>四、理财计划的赎回</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1、本理财子计划按份额赎回，赎回份额为1000份的整数倍。</w:t>
      </w:r>
    </w:p>
    <w:p w:rsidR="006E30FE" w:rsidRDefault="00A13ADC">
      <w:pPr>
        <w:pStyle w:val="p0"/>
        <w:spacing w:line="300" w:lineRule="atLeast"/>
        <w:ind w:left="179" w:right="-334"/>
        <w:rPr>
          <w:rFonts w:ascii="宋体" w:hAnsi="宋体"/>
          <w:sz w:val="20"/>
          <w:szCs w:val="20"/>
        </w:rPr>
      </w:pPr>
      <w:r>
        <w:rPr>
          <w:rFonts w:ascii="宋体" w:hAnsi="宋体" w:hint="eastAsia"/>
          <w:sz w:val="20"/>
          <w:szCs w:val="20"/>
        </w:rPr>
        <w:t>2、投资者可进行预约赎回。</w:t>
      </w:r>
      <w:r>
        <w:rPr>
          <w:rFonts w:ascii="宋体" w:hAnsi="宋体" w:hint="eastAsia"/>
          <w:color w:val="0000FF"/>
          <w:sz w:val="20"/>
          <w:szCs w:val="20"/>
        </w:rPr>
        <w:t>自2010年10月11日</w:t>
      </w:r>
      <w:r>
        <w:rPr>
          <w:rFonts w:ascii="宋体" w:hAnsi="宋体" w:hint="eastAsia"/>
          <w:sz w:val="20"/>
          <w:szCs w:val="20"/>
        </w:rPr>
        <w:t>起</w:t>
      </w:r>
      <w:r>
        <w:rPr>
          <w:rFonts w:ascii="宋体" w:hAnsi="宋体" w:hint="eastAsia"/>
          <w:color w:val="0000FF"/>
          <w:sz w:val="20"/>
          <w:szCs w:val="20"/>
        </w:rPr>
        <w:t>每周的周一</w:t>
      </w:r>
      <w:r>
        <w:rPr>
          <w:rFonts w:ascii="宋体" w:hAnsi="宋体" w:hint="eastAsia"/>
          <w:sz w:val="20"/>
          <w:szCs w:val="20"/>
        </w:rPr>
        <w:t>（如遇非工作日则自动顺延至下一工作日）为本子计划的赎回基准日。预约的赎回日期必须在预约日及之后的银行指定的赎回基准日。</w:t>
      </w:r>
    </w:p>
    <w:p w:rsidR="006E30FE" w:rsidRDefault="00A13ADC">
      <w:pPr>
        <w:pStyle w:val="p0"/>
        <w:spacing w:line="300" w:lineRule="atLeast"/>
        <w:ind w:left="179" w:right="-512"/>
        <w:rPr>
          <w:rFonts w:ascii="宋体" w:hAnsi="宋体"/>
          <w:sz w:val="20"/>
          <w:szCs w:val="20"/>
        </w:rPr>
      </w:pPr>
      <w:r>
        <w:rPr>
          <w:rFonts w:ascii="宋体" w:hAnsi="宋体" w:hint="eastAsia"/>
          <w:sz w:val="20"/>
          <w:szCs w:val="20"/>
        </w:rPr>
        <w:t>3、在子计划成立后，正常工作日内，当期预约赎回的截止时间为当期赎回基准日北京时间15：30（以银行后台系统受理申请时间为准）。投资者可通过银行柜台等渠道进行赎回交易。在赎回基准日北京时间15：30（以银行后台系统受理申请时间为准）之后的预约赎回申请将于下一投资周期的赎回基准日生效。</w:t>
      </w:r>
    </w:p>
    <w:p w:rsidR="006E30FE" w:rsidRDefault="00A13ADC">
      <w:pPr>
        <w:pStyle w:val="p0"/>
        <w:spacing w:line="300" w:lineRule="atLeast"/>
        <w:ind w:left="-38" w:right="-512" w:firstLine="38"/>
        <w:rPr>
          <w:rFonts w:ascii="宋体" w:hAnsi="宋体"/>
          <w:sz w:val="20"/>
          <w:szCs w:val="20"/>
        </w:rPr>
      </w:pPr>
      <w:r>
        <w:rPr>
          <w:rFonts w:ascii="宋体" w:hAnsi="宋体" w:hint="eastAsia"/>
          <w:sz w:val="20"/>
          <w:szCs w:val="20"/>
        </w:rPr>
        <w:t>4、若投资者全额赎回，赎回的本金和收益均在赎回基准日下一工作日到账；若投资者部分赎回，赎回的本金在赎回基准日下一工作日到账，赎回本金所对应的收益在下一收益到账日到账。投资者每次赎回本金=赎回份额×单位净值（正常情况下单位净值为1元/份）</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5、投资者提出部分赎回，如赎回后投资者持有份额不足50000份，则投资者需进行全部赎回。</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6、投资者对当日的申购申请不能提出预约赎回申请。</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7、中信银行保留不接受赎回（含预约赎回方式）申请的权利。</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 xml:space="preserve"> </w:t>
      </w:r>
    </w:p>
    <w:p w:rsidR="006E30FE" w:rsidRDefault="00A13ADC">
      <w:pPr>
        <w:pStyle w:val="p0"/>
        <w:ind w:left="-600" w:right="-790" w:firstLine="600"/>
        <w:rPr>
          <w:rFonts w:ascii="宋体" w:hAnsi="宋体"/>
          <w:b/>
          <w:bCs/>
          <w:sz w:val="20"/>
          <w:szCs w:val="20"/>
        </w:rPr>
      </w:pPr>
      <w:r>
        <w:rPr>
          <w:rFonts w:ascii="宋体" w:hAnsi="宋体" w:hint="eastAsia"/>
          <w:b/>
          <w:bCs/>
          <w:sz w:val="20"/>
          <w:szCs w:val="20"/>
        </w:rPr>
        <w:t>五、理财计划的收益（测算收益不等于实际收益，投资需谨慎）</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1、理财子计划的收益结转日为每月20日，如遇非工作日则自动顺延至下一工作日。</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2、理财子计划的收益到账日为每月21日，如遇下列情况顺延：</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（1）如遇非工作日则自动顺延至下一工作日；</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（2）如收益结转日顺延，则收益到账日也自动顺延至收益结转日后下一工作日。</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3、理财子计划当期收益到账日返还的收益为自上一自然月收益结转日至本自然月收益结转日期间投资者持有本理财子计划份额每日应获得的收益减去自上一自然月收益结转日至本自然月收益结转日期间全额赎回时已支付的收益。收益计算计头不计尾。</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投资者持有理财子计划每日应得的收益=当日理财子计划实际年化收益率（非工作日使用上一工作日理财子计划实际年化收益率）×当日理财子计划持有份额/365（金额保留小数点后两位，其余尾数四舍五入）</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理财子计划当期收益到账日返还的收益=∑自上一自然月收益结转日至本自然月收益结转日期间投资者持有理财子计划每日应得的收益（收益计算截至本自然月收益结转日前一自然日）-自上一自然月收益结转日至本自然月收益结转日期间全额赎回时已支付的收益。</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4、举例说明：(以2010年9月7日-2010年11月15日计息期间为例)</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情况一：投资者持有100000份，持有时间从2010年9月7日至2010年11月15日，期间每日实际年化收益率为1.5%，投资者每日应得的收益=100000×1.5%/365=4.11元，计息天数69天，投资者在当期应得的收益=4.11×69=283.59元。</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情况二：投资者持有100000份，持有时间从2010年9月7日至2010年11月15日，期间每日实际年化收益率由1.5%在2010年10月19日调整为1.6%，则投资者在2010年9月7日至2010年10月19日期间，投资者每日应得的收益=100000×1.5%/365=4.11元，计息天数42天，投资者应得的收益172.62元。在2010年10月19日至2010年11月15日期间，投资者每日应得的收益=100000×1.6%/365=4.38元，计息天数27天，投资者应得的收益118.26元。</w:t>
      </w:r>
    </w:p>
    <w:p w:rsidR="006E30FE" w:rsidRDefault="00A13ADC">
      <w:pPr>
        <w:pStyle w:val="p0"/>
        <w:spacing w:line="300" w:lineRule="atLeast"/>
        <w:ind w:left="-38" w:right="-693" w:firstLine="38"/>
        <w:rPr>
          <w:rFonts w:ascii="宋体" w:hAnsi="宋体"/>
          <w:sz w:val="20"/>
          <w:szCs w:val="20"/>
        </w:rPr>
      </w:pPr>
      <w:r>
        <w:rPr>
          <w:rFonts w:ascii="宋体" w:hAnsi="宋体" w:hint="eastAsia"/>
          <w:sz w:val="20"/>
          <w:szCs w:val="20"/>
        </w:rPr>
        <w:lastRenderedPageBreak/>
        <w:t>5、投资者全额赎回理财子计划的收益与每月结转的收益单独支付，无论赎回基准日是否与收益结转日重合，子计划每月结转的收益不包含投资者全额赎回理财子计划的收益。</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 xml:space="preserve"> </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六、产品的收益率测算及说明</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1、根据当前所投资工具市场价格测算，本理财计划预计可获得最高年化收益率为我行公布的年化测算收益率，超过年化测算收益率的收益部分作为银行浮动管理费。</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2、如果投资资产市值下跌或投资工具发生信用风险,则本产品到期年化收益率将可能低于我行公布的年化测算收益率，甚至可能造成本产品收益全部损失。</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 xml:space="preserve"> </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七、理财计划及理财子计划的提前终止</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1、如遇国家金融政策出现重大调整，债券市场或其他本产品投资领域出现重大变化，或本产品所投资资产的市场价格大幅下滑，中信银行合理判断其可能影响到本理财计划和子计划的正常运作时，或中信银行认为需要提前终止本产品的其他情形时，中信银行有权部分或全部提前终止本理财计划和理财子计划。</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 xml:space="preserve">2、如本产品所投资资产的信用状况发生恶化，中信银行合理判断可能影响资产到期正常兑付时，中信银行有权部分或全部提前终止本理财计划和理财子计划。 </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3、若本子计划总份额低于5000万份，银行有权提前终止本子计划。</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4、如果中信银行部分或全部提前终止本理财计划和子计划，中信银行将在提前终止日后3个工作日内予以公告，并在提前终止日后3个工作日内将投资者所得收益及本金划转至投资者指定账户。若理财计划和子计划部分提前终止，相关清算规则届时另行公告；若理财计划和子计划全部提前终止，到期日相应调整为提前终止日。</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5、任何情况下，中信银行有权部分或全部提前终止本理财计划或本子计划，并有权修改和调整上述提前终止规则。</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6、投资者在本子计划赎回期外无提前终止权。</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 xml:space="preserve"> </w:t>
      </w:r>
    </w:p>
    <w:p w:rsidR="006E30FE" w:rsidRDefault="00A13ADC">
      <w:pPr>
        <w:pStyle w:val="p0"/>
        <w:spacing w:line="300" w:lineRule="atLeast"/>
        <w:ind w:left="-600" w:right="-693" w:firstLine="600"/>
        <w:rPr>
          <w:rFonts w:ascii="宋体" w:hAnsi="宋体"/>
          <w:b/>
          <w:bCs/>
          <w:sz w:val="20"/>
          <w:szCs w:val="20"/>
        </w:rPr>
      </w:pPr>
      <w:r>
        <w:rPr>
          <w:rFonts w:ascii="宋体" w:hAnsi="宋体" w:hint="eastAsia"/>
          <w:b/>
          <w:bCs/>
          <w:sz w:val="20"/>
          <w:szCs w:val="20"/>
        </w:rPr>
        <w:t>八、巨额赎回</w:t>
      </w:r>
    </w:p>
    <w:p w:rsidR="006E30FE" w:rsidRDefault="00A13ADC">
      <w:pPr>
        <w:pStyle w:val="p0"/>
        <w:spacing w:line="300" w:lineRule="atLeast"/>
        <w:ind w:left="113" w:right="-512"/>
        <w:rPr>
          <w:rFonts w:ascii="宋体" w:hAnsi="宋体"/>
          <w:sz w:val="20"/>
          <w:szCs w:val="20"/>
        </w:rPr>
      </w:pPr>
      <w:r>
        <w:rPr>
          <w:rFonts w:ascii="宋体" w:hAnsi="宋体" w:hint="eastAsia"/>
          <w:sz w:val="20"/>
          <w:szCs w:val="20"/>
        </w:rPr>
        <w:t>如某日投资者赎回份额超过本理财产品上一工作日存续总规模的10%，则被视为巨额赎回，在巨额赎回情况下，中信银行有权拒绝支付超过本理财产品上一工作日存续总规模的10%以上部分投资者赎回的本金及相关收益。同时超过本理财产品上一工作日存续总规模的10%以上部分的投资者当日赎回指令失效，投资者需在下一工作日正常赎回交易时间内重新提交赎回申请。</w:t>
      </w:r>
    </w:p>
    <w:p w:rsidR="006E30FE" w:rsidRDefault="00A13ADC">
      <w:pPr>
        <w:pStyle w:val="p0"/>
        <w:spacing w:line="300" w:lineRule="atLeast"/>
        <w:ind w:left="113" w:right="-512"/>
        <w:rPr>
          <w:rFonts w:ascii="宋体" w:hAnsi="宋体"/>
          <w:sz w:val="20"/>
          <w:szCs w:val="20"/>
        </w:rPr>
      </w:pPr>
      <w:r>
        <w:rPr>
          <w:rFonts w:ascii="宋体" w:hAnsi="宋体" w:hint="eastAsia"/>
          <w:sz w:val="20"/>
          <w:szCs w:val="20"/>
        </w:rPr>
        <w:t>理财产品连续两个工作日（含）以上发生巨额赎回，中信银行有权暂停接受投资者的购买和赎回申请。投资者根据中信银行披露的开放日可重新进行购买和赎回。</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 xml:space="preserve"> </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九、延期清算条款</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如遇国家金融政策、监管政策、相关法律法规发生变化，或债券市场发生重大市场波动，或债券发行人及交易方出现违约或未按约定偿还本息、或债券市场出现流动性不足、债券未能正常买卖结算、或后续加入资金不足及其他情形导致的理财本金与收益未能正常、及时收回等,现金类资产不足以兑付子计划终止时投资者的理财本金与收益，则本子计划延期清算，产品管理人将尽快对相关资产进行变现，并将变现后的非现金类资产与原有现金类资产在扣除相关费用后向投资者支付理财本金及收益。延期清算期间不计付利息。</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 xml:space="preserve"> </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十、拒绝或暂停接受认、申购或赎回申请、暂停或延缓支付赎回款项的情形及处理</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1、管理人可拒绝接受或暂停接受投资者的认、申购申请的情形包括：</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（1）不可抗力或国家经济金融政策发生变化等原因导致本理财计划或本子计划无法正常运作；</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lastRenderedPageBreak/>
        <w:t>（2）证券交易场所或银行间债券市场依法决定停市等情形；</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（3）本理财计划或子计划资产规模过大，超过产品规模上限，管理人无法找到合适的投资品种，或继续接受申购可能对理财计划或子计划业绩产生影响；</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（4）当产品管理人认为某笔申购申请会有损于理财计划和子计划其他份额持有人利益时，可拒绝该笔申购申请；</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（5）法律法规或产品管理人基于审慎考虑认定的其他情形。</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如果投资者的认、申购申请被拒绝，被拒绝的认、申购款项本金将全额退还给投资者，期间不计付利息。</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2、管理人可拒绝接受或暂停接受投资者的赎回申请，暂停或延缓支付赎回款项的情形包括：</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（1）因不可抗力或国家经济金融政策发生变化等原因导致产品管理人不能支付赎回款项；</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（2）证券交易场所或银行间债券市场依法决定停市等情形；</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（3）本理财计划或子计划投资的公开或非公开交易市场的资产无法变现，或经产品管理人基于审慎的原则判断资产变现可能会对理财计划或子计划投资收益造成重大不利影响的；</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（4）本子计划发生巨额赎回情形的；</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（5）法律法规或产品管理人基于审慎考虑认定的其他情形。</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（上述所指申购包含申购方式等，赎回包含预约赎回方式等）</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 xml:space="preserve"> </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十一、理财计划的特点</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本理财计划下设7天、14天、21天、28天等理财子计划，投资者可根据自身资金安排选择不同子计划进行投资，提高投资者的资金使用效率。</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 xml:space="preserve"> </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十二、相关事项的说明</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1、购买对象：依据中华人民共和国有关法律法规及其他有关规定向可以购买本理财计划和子计划的合格投资者发售。本理财子计划适合向有投资经验和无投资经验的投资者发售。</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2、如投资者对本理财计划和子计划有任何异议或意见，请联系中信银行的理财经理或反馈中信银行各营业网点，也可致电中信银行全国统一投资者服务热线（95558）。</w:t>
      </w:r>
    </w:p>
    <w:p w:rsidR="006E30FE" w:rsidRDefault="00A13ADC">
      <w:pPr>
        <w:pStyle w:val="p0"/>
        <w:spacing w:line="300" w:lineRule="atLeast"/>
        <w:ind w:left="-538" w:right="-693" w:firstLine="538"/>
        <w:rPr>
          <w:rFonts w:ascii="宋体" w:hAnsi="宋体"/>
          <w:sz w:val="20"/>
          <w:szCs w:val="20"/>
        </w:rPr>
      </w:pPr>
      <w:r>
        <w:rPr>
          <w:rFonts w:ascii="宋体" w:hAnsi="宋体" w:hint="eastAsia"/>
          <w:sz w:val="20"/>
          <w:szCs w:val="20"/>
        </w:rPr>
        <w:t xml:space="preserve"> </w:t>
      </w:r>
    </w:p>
    <w:p w:rsidR="006E30FE" w:rsidRDefault="00A13ADC">
      <w:pPr>
        <w:pStyle w:val="p0"/>
        <w:spacing w:line="300" w:lineRule="atLeast"/>
        <w:ind w:left="-538" w:right="-693" w:firstLine="538"/>
        <w:rPr>
          <w:rFonts w:ascii="宋体" w:hAnsi="宋体"/>
          <w:b/>
          <w:bCs/>
          <w:sz w:val="20"/>
          <w:szCs w:val="20"/>
        </w:rPr>
      </w:pPr>
      <w:r>
        <w:rPr>
          <w:rFonts w:ascii="宋体" w:hAnsi="宋体" w:hint="eastAsia"/>
          <w:b/>
          <w:bCs/>
          <w:sz w:val="20"/>
          <w:szCs w:val="20"/>
        </w:rPr>
        <w:t>十三、免责条款</w:t>
      </w:r>
    </w:p>
    <w:p w:rsidR="006E30FE" w:rsidRDefault="00A13ADC">
      <w:pPr>
        <w:pStyle w:val="p0"/>
        <w:spacing w:line="300" w:lineRule="atLeast"/>
        <w:ind w:left="179" w:right="-693"/>
        <w:rPr>
          <w:rFonts w:ascii="宋体" w:hAnsi="宋体"/>
          <w:sz w:val="20"/>
          <w:szCs w:val="20"/>
        </w:rPr>
      </w:pPr>
      <w:r>
        <w:rPr>
          <w:rFonts w:ascii="宋体" w:hAnsi="宋体" w:hint="eastAsia"/>
          <w:sz w:val="20"/>
          <w:szCs w:val="20"/>
        </w:rPr>
        <w:t xml:space="preserve">1、投资者所能获得的最终收益以本理财计划及子计划最终清算的投资者可得收益为准。  </w:t>
      </w:r>
    </w:p>
    <w:p w:rsidR="006E30FE" w:rsidRDefault="00A13ADC">
      <w:pPr>
        <w:pStyle w:val="p0"/>
        <w:spacing w:line="300" w:lineRule="atLeast"/>
        <w:ind w:left="113" w:right="-512"/>
        <w:rPr>
          <w:rFonts w:ascii="宋体" w:hAnsi="宋体"/>
          <w:sz w:val="20"/>
          <w:szCs w:val="20"/>
        </w:rPr>
      </w:pPr>
      <w:r>
        <w:rPr>
          <w:rFonts w:ascii="宋体" w:hAnsi="宋体" w:hint="eastAsia"/>
          <w:sz w:val="20"/>
          <w:szCs w:val="20"/>
        </w:rPr>
        <w:t>2、本理财计划及子计划面临的风险包括市场风险、信用风险、流动性风险、提前终止风险等，将可能导致投资者收益蒙受部分或全部损失。由此产生的理财收益损失的风险由投资者自行承担，中信银行不承担任何理财收益相关的保证责任。</w:t>
      </w:r>
    </w:p>
    <w:p w:rsidR="006E30FE" w:rsidRDefault="00A13ADC">
      <w:pPr>
        <w:pStyle w:val="p0"/>
        <w:spacing w:line="300" w:lineRule="atLeast"/>
        <w:ind w:left="113" w:right="-512"/>
        <w:rPr>
          <w:rFonts w:ascii="宋体" w:hAnsi="宋体"/>
          <w:sz w:val="20"/>
          <w:szCs w:val="20"/>
        </w:rPr>
      </w:pPr>
      <w:r>
        <w:rPr>
          <w:rFonts w:ascii="宋体" w:hAnsi="宋体" w:hint="eastAsia"/>
          <w:sz w:val="20"/>
          <w:szCs w:val="20"/>
        </w:rPr>
        <w:t xml:space="preserve">3、产品管理人中信银行将恪守勤勉尽责的原则，合理配置资产组合，为投资者提供专业化的理财服务。但本理财计划不保障理财收益，中信银行发行本理财计划不代表对本产品所投资资产的发行人或融资主体按约定履约的可能性做出任何承诺或保证。 </w:t>
      </w:r>
    </w:p>
    <w:p w:rsidR="006E30FE" w:rsidRDefault="00A13ADC">
      <w:pPr>
        <w:pStyle w:val="p0"/>
        <w:spacing w:line="300" w:lineRule="atLeast"/>
        <w:ind w:left="100" w:right="-693" w:hanging="100"/>
        <w:rPr>
          <w:rFonts w:ascii="宋体" w:hAnsi="宋体"/>
          <w:sz w:val="20"/>
          <w:szCs w:val="20"/>
        </w:rPr>
      </w:pPr>
      <w:r>
        <w:rPr>
          <w:rFonts w:ascii="宋体" w:hAnsi="宋体" w:hint="eastAsia"/>
          <w:sz w:val="20"/>
          <w:szCs w:val="20"/>
        </w:rPr>
        <w:t xml:space="preserve"> </w:t>
      </w:r>
    </w:p>
    <w:p w:rsidR="006E30FE" w:rsidRDefault="00A13ADC">
      <w:pPr>
        <w:spacing w:line="300" w:lineRule="exact"/>
        <w:ind w:leftChars="-1" w:left="-2" w:rightChars="15" w:right="36"/>
        <w:rPr>
          <w:sz w:val="20"/>
          <w:szCs w:val="20"/>
        </w:rPr>
      </w:pPr>
      <w:r>
        <w:rPr>
          <w:rFonts w:hint="eastAsia"/>
          <w:sz w:val="20"/>
          <w:szCs w:val="20"/>
        </w:rPr>
        <w:t xml:space="preserve"> </w:t>
      </w:r>
    </w:p>
    <w:p w:rsidR="006E30FE" w:rsidRPr="00FA4F6D" w:rsidRDefault="00A13ADC">
      <w:pPr>
        <w:pStyle w:val="Default"/>
        <w:rPr>
          <w:rFonts w:ascii="黑体" w:eastAsia="黑体"/>
        </w:rPr>
      </w:pPr>
      <w:r w:rsidRPr="00FA4F6D">
        <w:rPr>
          <w:rFonts w:ascii="黑体" w:eastAsia="黑体" w:hint="eastAsia"/>
        </w:rPr>
        <w:t xml:space="preserve">                                                                           </w:t>
      </w:r>
    </w:p>
    <w:p w:rsidR="006E30FE" w:rsidRDefault="00A13ADC">
      <w:pPr>
        <w:pStyle w:val="Default"/>
        <w:ind w:right="440"/>
        <w:jc w:val="both"/>
        <w:rPr>
          <w:rFonts w:ascii="黑体" w:eastAsia="黑体"/>
        </w:rPr>
      </w:pPr>
      <w:r>
        <w:rPr>
          <w:rFonts w:ascii="黑体" w:eastAsia="黑体" w:hint="eastAsia"/>
        </w:rPr>
        <w:t>个人客户（签字）：                   中信银行股份有限公司XX分行</w:t>
      </w:r>
    </w:p>
    <w:p w:rsidR="006E30FE" w:rsidRDefault="00A13ADC">
      <w:pPr>
        <w:pStyle w:val="Default"/>
        <w:ind w:right="440"/>
        <w:jc w:val="both"/>
        <w:rPr>
          <w:rFonts w:ascii="黑体" w:eastAsia="黑体"/>
        </w:rPr>
      </w:pPr>
      <w:r>
        <w:rPr>
          <w:rFonts w:ascii="黑体" w:eastAsia="黑体" w:hint="eastAsia"/>
        </w:rPr>
        <w:t xml:space="preserve">                                  </w:t>
      </w:r>
    </w:p>
    <w:p w:rsidR="006E30FE" w:rsidRDefault="00A13ADC" w:rsidP="00FA4F6D">
      <w:pPr>
        <w:pStyle w:val="Default"/>
        <w:ind w:right="440"/>
        <w:jc w:val="both"/>
        <w:rPr>
          <w:rFonts w:ascii="黑体" w:eastAsia="黑体"/>
        </w:rPr>
      </w:pPr>
      <w:r w:rsidRPr="00FA4F6D">
        <w:rPr>
          <w:rFonts w:ascii="黑体" w:eastAsia="黑体" w:hint="eastAsia"/>
        </w:rPr>
        <w:t>日期： 年 月 日                      签章：</w:t>
      </w:r>
    </w:p>
    <w:p w:rsidR="006E30FE" w:rsidRDefault="006E30FE" w:rsidP="00FA4F6D">
      <w:pPr>
        <w:pStyle w:val="Default"/>
        <w:ind w:right="440"/>
        <w:jc w:val="both"/>
        <w:rPr>
          <w:rFonts w:ascii="黑体" w:eastAsia="黑体"/>
        </w:rPr>
      </w:pPr>
    </w:p>
    <w:p w:rsidR="006E30FE" w:rsidRPr="00FA4F6D" w:rsidRDefault="00A13ADC" w:rsidP="00FA4F6D">
      <w:pPr>
        <w:pStyle w:val="Default"/>
        <w:ind w:right="440" w:firstLineChars="1900" w:firstLine="4560"/>
        <w:jc w:val="both"/>
        <w:rPr>
          <w:rFonts w:ascii="黑体" w:eastAsia="黑体"/>
        </w:rPr>
      </w:pPr>
      <w:r w:rsidRPr="00FA4F6D">
        <w:rPr>
          <w:rFonts w:ascii="黑体" w:eastAsia="黑体" w:hint="eastAsia"/>
        </w:rPr>
        <w:t>日期： 年 月 日</w:t>
      </w:r>
    </w:p>
    <w:p w:rsidR="00A13ADC" w:rsidRDefault="00A13ADC" w:rsidP="00FA4F6D">
      <w:pPr>
        <w:pStyle w:val="p0"/>
        <w:spacing w:line="300" w:lineRule="atLeast"/>
        <w:ind w:right="-693"/>
        <w:rPr>
          <w:sz w:val="28"/>
          <w:szCs w:val="28"/>
        </w:rPr>
      </w:pPr>
    </w:p>
    <w:sectPr w:rsidR="00A13A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97" w:rsidRDefault="00CD0D97" w:rsidP="00FA4F6D">
      <w:r>
        <w:separator/>
      </w:r>
    </w:p>
  </w:endnote>
  <w:endnote w:type="continuationSeparator" w:id="0">
    <w:p w:rsidR="00CD0D97" w:rsidRDefault="00CD0D97" w:rsidP="00FA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97" w:rsidRDefault="00CD0D97" w:rsidP="00FA4F6D">
      <w:r>
        <w:separator/>
      </w:r>
    </w:p>
  </w:footnote>
  <w:footnote w:type="continuationSeparator" w:id="0">
    <w:p w:rsidR="00CD0D97" w:rsidRDefault="00CD0D97" w:rsidP="00FA4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123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useFELayout/>
    <w:compatSetting w:name="compatibilityMode" w:uri="http://schemas.microsoft.com/office/word" w:val="14"/>
  </w:compat>
  <w:rsids>
    <w:rsidRoot w:val="00FA4F6D"/>
    <w:rsid w:val="003C1659"/>
    <w:rsid w:val="00670954"/>
    <w:rsid w:val="006E30FE"/>
    <w:rsid w:val="00883174"/>
    <w:rsid w:val="00A13ADC"/>
    <w:rsid w:val="00CD0D97"/>
    <w:rsid w:val="00FA4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alloon Text"/>
    <w:basedOn w:val="a"/>
    <w:link w:val="Char"/>
    <w:semiHidden/>
    <w:rPr>
      <w:sz w:val="18"/>
      <w:szCs w:val="18"/>
    </w:rPr>
  </w:style>
  <w:style w:type="character" w:customStyle="1" w:styleId="Char">
    <w:name w:val="批注框文本 Char"/>
    <w:basedOn w:val="a0"/>
    <w:link w:val="a5"/>
    <w:semiHidden/>
    <w:locked/>
    <w:rPr>
      <w:rFonts w:ascii="宋体" w:eastAsia="宋体" w:hAnsi="宋体" w:cs="宋体" w:hint="eastAsia"/>
      <w:sz w:val="18"/>
      <w:szCs w:val="18"/>
    </w:rPr>
  </w:style>
  <w:style w:type="paragraph" w:customStyle="1" w:styleId="p0">
    <w:name w:val="p0"/>
    <w:basedOn w:val="a"/>
    <w:pPr>
      <w:jc w:val="both"/>
    </w:pPr>
    <w:rPr>
      <w:rFonts w:ascii="Times New Roman" w:hAnsi="Times New Roman" w:cs="Times New Roman"/>
      <w:sz w:val="21"/>
      <w:szCs w:val="21"/>
    </w:rPr>
  </w:style>
  <w:style w:type="paragraph" w:customStyle="1" w:styleId="p18">
    <w:name w:val="p18"/>
    <w:basedOn w:val="a"/>
    <w:pPr>
      <w:jc w:val="both"/>
    </w:pPr>
    <w:rPr>
      <w:rFonts w:ascii="Times New Roman" w:hAnsi="Times New Roman" w:cs="Times New Roman"/>
      <w:sz w:val="18"/>
      <w:szCs w:val="18"/>
    </w:rPr>
  </w:style>
  <w:style w:type="paragraph" w:customStyle="1" w:styleId="p19">
    <w:name w:val="p19"/>
    <w:basedOn w:val="a"/>
    <w:rPr>
      <w:rFonts w:ascii="Times New Roman" w:hAnsi="Times New Roman" w:cs="Times New Roman"/>
      <w:b/>
      <w:bCs/>
      <w:sz w:val="21"/>
      <w:szCs w:val="21"/>
    </w:rPr>
  </w:style>
  <w:style w:type="paragraph" w:customStyle="1" w:styleId="p20">
    <w:name w:val="p20"/>
    <w:basedOn w:val="a"/>
    <w:pPr>
      <w:pBdr>
        <w:bottom w:val="single" w:sz="6" w:space="1" w:color="000000"/>
      </w:pBdr>
      <w:jc w:val="center"/>
    </w:pPr>
    <w:rPr>
      <w:rFonts w:ascii="Times New Roman" w:hAnsi="Times New Roman" w:cs="Times New Roman"/>
      <w:sz w:val="18"/>
      <w:szCs w:val="18"/>
    </w:rPr>
  </w:style>
  <w:style w:type="paragraph" w:customStyle="1" w:styleId="p21">
    <w:name w:val="p21"/>
    <w:basedOn w:val="a"/>
    <w:rPr>
      <w:rFonts w:ascii="Times New Roman" w:hAnsi="Times New Roman" w:cs="Times New Roman"/>
      <w:sz w:val="21"/>
      <w:szCs w:val="21"/>
    </w:rPr>
  </w:style>
  <w:style w:type="paragraph" w:customStyle="1" w:styleId="p22">
    <w:name w:val="p22"/>
    <w:basedOn w:val="a"/>
    <w:rPr>
      <w:rFonts w:ascii="Times New Roman"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10">
    <w:name w:val="10"/>
    <w:basedOn w:val="a0"/>
    <w:rPr>
      <w:rFonts w:ascii="Times New Roman" w:hAnsi="Times New Roman" w:cs="Times New Roman" w:hint="default"/>
      <w:sz w:val="20"/>
      <w:szCs w:val="20"/>
    </w:rPr>
  </w:style>
  <w:style w:type="character" w:customStyle="1" w:styleId="15">
    <w:name w:val="15"/>
    <w:basedOn w:val="a0"/>
    <w:rPr>
      <w:rFonts w:ascii="Times New Roman" w:hAnsi="Times New Roman" w:cs="Times New Roman" w:hint="default"/>
      <w:color w:val="0000FF"/>
      <w:sz w:val="20"/>
      <w:szCs w:val="20"/>
      <w:u w:val="single"/>
    </w:rPr>
  </w:style>
  <w:style w:type="character" w:customStyle="1" w:styleId="16">
    <w:name w:val="16"/>
    <w:basedOn w:val="a0"/>
    <w:rPr>
      <w:rFonts w:ascii="Times New Roman" w:hAnsi="Times New Roman" w:cs="Times New Roman" w:hint="default"/>
      <w:sz w:val="20"/>
      <w:szCs w:val="20"/>
    </w:rPr>
  </w:style>
  <w:style w:type="character" w:customStyle="1" w:styleId="17">
    <w:name w:val="17"/>
    <w:basedOn w:val="a0"/>
    <w:rPr>
      <w:rFonts w:ascii="Times New Roman" w:hAnsi="Times New Roman" w:cs="Times New Roman" w:hint="default"/>
      <w:sz w:val="21"/>
      <w:szCs w:val="21"/>
    </w:rPr>
  </w:style>
  <w:style w:type="paragraph" w:styleId="a6">
    <w:name w:val="header"/>
    <w:basedOn w:val="a"/>
    <w:link w:val="Char0"/>
    <w:rsid w:val="00FA4F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A4F6D"/>
    <w:rPr>
      <w:rFonts w:ascii="宋体" w:eastAsia="宋体" w:hAnsi="宋体" w:cs="宋体"/>
      <w:sz w:val="18"/>
      <w:szCs w:val="18"/>
    </w:rPr>
  </w:style>
  <w:style w:type="paragraph" w:styleId="a7">
    <w:name w:val="footer"/>
    <w:basedOn w:val="a"/>
    <w:link w:val="Char1"/>
    <w:rsid w:val="00FA4F6D"/>
    <w:pPr>
      <w:tabs>
        <w:tab w:val="center" w:pos="4153"/>
        <w:tab w:val="right" w:pos="8306"/>
      </w:tabs>
      <w:snapToGrid w:val="0"/>
    </w:pPr>
    <w:rPr>
      <w:sz w:val="18"/>
      <w:szCs w:val="18"/>
    </w:rPr>
  </w:style>
  <w:style w:type="character" w:customStyle="1" w:styleId="Char1">
    <w:name w:val="页脚 Char"/>
    <w:basedOn w:val="a0"/>
    <w:link w:val="a7"/>
    <w:rsid w:val="00FA4F6D"/>
    <w:rPr>
      <w:rFonts w:ascii="宋体" w:eastAsia="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styleId="a5">
    <w:name w:val="Balloon Text"/>
    <w:basedOn w:val="a"/>
    <w:link w:val="Char"/>
    <w:semiHidden/>
    <w:rPr>
      <w:sz w:val="18"/>
      <w:szCs w:val="18"/>
    </w:rPr>
  </w:style>
  <w:style w:type="character" w:customStyle="1" w:styleId="Char">
    <w:name w:val="批注框文本 Char"/>
    <w:basedOn w:val="a0"/>
    <w:link w:val="a5"/>
    <w:semiHidden/>
    <w:locked/>
    <w:rPr>
      <w:rFonts w:ascii="宋体" w:eastAsia="宋体" w:hAnsi="宋体" w:cs="宋体" w:hint="eastAsia"/>
      <w:sz w:val="18"/>
      <w:szCs w:val="18"/>
    </w:rPr>
  </w:style>
  <w:style w:type="paragraph" w:customStyle="1" w:styleId="p0">
    <w:name w:val="p0"/>
    <w:basedOn w:val="a"/>
    <w:pPr>
      <w:jc w:val="both"/>
    </w:pPr>
    <w:rPr>
      <w:rFonts w:ascii="Times New Roman" w:hAnsi="Times New Roman" w:cs="Times New Roman"/>
      <w:sz w:val="21"/>
      <w:szCs w:val="21"/>
    </w:rPr>
  </w:style>
  <w:style w:type="paragraph" w:customStyle="1" w:styleId="p18">
    <w:name w:val="p18"/>
    <w:basedOn w:val="a"/>
    <w:pPr>
      <w:jc w:val="both"/>
    </w:pPr>
    <w:rPr>
      <w:rFonts w:ascii="Times New Roman" w:hAnsi="Times New Roman" w:cs="Times New Roman"/>
      <w:sz w:val="18"/>
      <w:szCs w:val="18"/>
    </w:rPr>
  </w:style>
  <w:style w:type="paragraph" w:customStyle="1" w:styleId="p19">
    <w:name w:val="p19"/>
    <w:basedOn w:val="a"/>
    <w:rPr>
      <w:rFonts w:ascii="Times New Roman" w:hAnsi="Times New Roman" w:cs="Times New Roman"/>
      <w:b/>
      <w:bCs/>
      <w:sz w:val="21"/>
      <w:szCs w:val="21"/>
    </w:rPr>
  </w:style>
  <w:style w:type="paragraph" w:customStyle="1" w:styleId="p20">
    <w:name w:val="p20"/>
    <w:basedOn w:val="a"/>
    <w:pPr>
      <w:pBdr>
        <w:bottom w:val="single" w:sz="6" w:space="1" w:color="000000"/>
      </w:pBdr>
      <w:jc w:val="center"/>
    </w:pPr>
    <w:rPr>
      <w:rFonts w:ascii="Times New Roman" w:hAnsi="Times New Roman" w:cs="Times New Roman"/>
      <w:sz w:val="18"/>
      <w:szCs w:val="18"/>
    </w:rPr>
  </w:style>
  <w:style w:type="paragraph" w:customStyle="1" w:styleId="p21">
    <w:name w:val="p21"/>
    <w:basedOn w:val="a"/>
    <w:rPr>
      <w:rFonts w:ascii="Times New Roman" w:hAnsi="Times New Roman" w:cs="Times New Roman"/>
      <w:sz w:val="21"/>
      <w:szCs w:val="21"/>
    </w:rPr>
  </w:style>
  <w:style w:type="paragraph" w:customStyle="1" w:styleId="p22">
    <w:name w:val="p22"/>
    <w:basedOn w:val="a"/>
    <w:rPr>
      <w:rFonts w:ascii="Times New Roman"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10">
    <w:name w:val="10"/>
    <w:basedOn w:val="a0"/>
    <w:rPr>
      <w:rFonts w:ascii="Times New Roman" w:hAnsi="Times New Roman" w:cs="Times New Roman" w:hint="default"/>
      <w:sz w:val="20"/>
      <w:szCs w:val="20"/>
    </w:rPr>
  </w:style>
  <w:style w:type="character" w:customStyle="1" w:styleId="15">
    <w:name w:val="15"/>
    <w:basedOn w:val="a0"/>
    <w:rPr>
      <w:rFonts w:ascii="Times New Roman" w:hAnsi="Times New Roman" w:cs="Times New Roman" w:hint="default"/>
      <w:color w:val="0000FF"/>
      <w:sz w:val="20"/>
      <w:szCs w:val="20"/>
      <w:u w:val="single"/>
    </w:rPr>
  </w:style>
  <w:style w:type="character" w:customStyle="1" w:styleId="16">
    <w:name w:val="16"/>
    <w:basedOn w:val="a0"/>
    <w:rPr>
      <w:rFonts w:ascii="Times New Roman" w:hAnsi="Times New Roman" w:cs="Times New Roman" w:hint="default"/>
      <w:sz w:val="20"/>
      <w:szCs w:val="20"/>
    </w:rPr>
  </w:style>
  <w:style w:type="character" w:customStyle="1" w:styleId="17">
    <w:name w:val="17"/>
    <w:basedOn w:val="a0"/>
    <w:rPr>
      <w:rFonts w:ascii="Times New Roman" w:hAnsi="Times New Roman" w:cs="Times New Roman" w:hint="default"/>
      <w:sz w:val="21"/>
      <w:szCs w:val="21"/>
    </w:rPr>
  </w:style>
  <w:style w:type="paragraph" w:styleId="a6">
    <w:name w:val="header"/>
    <w:basedOn w:val="a"/>
    <w:link w:val="Char0"/>
    <w:rsid w:val="00FA4F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FA4F6D"/>
    <w:rPr>
      <w:rFonts w:ascii="宋体" w:eastAsia="宋体" w:hAnsi="宋体" w:cs="宋体"/>
      <w:sz w:val="18"/>
      <w:szCs w:val="18"/>
    </w:rPr>
  </w:style>
  <w:style w:type="paragraph" w:styleId="a7">
    <w:name w:val="footer"/>
    <w:basedOn w:val="a"/>
    <w:link w:val="Char1"/>
    <w:rsid w:val="00FA4F6D"/>
    <w:pPr>
      <w:tabs>
        <w:tab w:val="center" w:pos="4153"/>
        <w:tab w:val="right" w:pos="8306"/>
      </w:tabs>
      <w:snapToGrid w:val="0"/>
    </w:pPr>
    <w:rPr>
      <w:sz w:val="18"/>
      <w:szCs w:val="18"/>
    </w:rPr>
  </w:style>
  <w:style w:type="character" w:customStyle="1" w:styleId="Char1">
    <w:name w:val="页脚 Char"/>
    <w:basedOn w:val="a0"/>
    <w:link w:val="a7"/>
    <w:rsid w:val="00FA4F6D"/>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k.ecitic.com/personal/" TargetMode="External"/><Relationship Id="rId3" Type="http://schemas.openxmlformats.org/officeDocument/2006/relationships/settings" Target="settings.xml"/><Relationship Id="rId7" Type="http://schemas.openxmlformats.org/officeDocument/2006/relationships/hyperlink" Target="http://bank.eciti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creator>匿名用户</dc:creator>
  <cp:lastModifiedBy>匿名用户</cp:lastModifiedBy>
  <cp:revision>4</cp:revision>
  <dcterms:created xsi:type="dcterms:W3CDTF">2016-05-11T10:55:00Z</dcterms:created>
  <dcterms:modified xsi:type="dcterms:W3CDTF">2016-05-12T07:27:00Z</dcterms:modified>
</cp:coreProperties>
</file>