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adjustRightInd w:val="0"/>
        <w:spacing w:line="520" w:lineRule="exact"/>
        <w:jc w:val="right"/>
        <w:textAlignment w:val="baseline"/>
        <w:rPr>
          <w:rFonts w:ascii="宋体"/>
          <w:color w:val="000000" w:themeColor="text1"/>
          <w:sz w:val="28"/>
          <w:szCs w:val="28"/>
          <w14:textFill>
            <w14:solidFill>
              <w14:schemeClr w14:val="tx1"/>
            </w14:solidFill>
          </w14:textFill>
        </w:rPr>
      </w:pPr>
      <w:bookmarkStart w:id="19" w:name="_GoBack"/>
      <w:bookmarkEnd w:id="19"/>
      <w:permStart w:id="0" w:edGrp="everyone"/>
      <w:r>
        <w:rPr>
          <w:rFonts w:hint="eastAsia" w:ascii="仿宋_GB2312" w:eastAsia="昆仑楷体"/>
          <w:color w:val="000000" w:themeColor="text1"/>
          <w:kern w:val="0"/>
          <w:szCs w:val="21"/>
          <w14:textFill>
            <w14:solidFill>
              <w14:schemeClr w14:val="tx1"/>
            </w14:solidFill>
          </w14:textFill>
        </w:rPr>
        <w:t>编号：【】号</w:t>
      </w:r>
      <w:permEnd w:id="0"/>
    </w:p>
    <w:p>
      <w:pPr>
        <w:snapToGrid w:val="0"/>
        <w:spacing w:line="360" w:lineRule="auto"/>
        <w:jc w:val="center"/>
        <w:rPr>
          <w:rFonts w:ascii="宋体"/>
          <w:color w:val="000000" w:themeColor="text1"/>
          <w:sz w:val="44"/>
          <w14:textFill>
            <w14:solidFill>
              <w14:schemeClr w14:val="tx1"/>
            </w14:solidFill>
          </w14:textFill>
        </w:rPr>
      </w:pPr>
    </w:p>
    <w:p>
      <w:pPr>
        <w:pStyle w:val="27"/>
        <w:adjustRightInd w:val="0"/>
        <w:spacing w:line="520" w:lineRule="exact"/>
        <w:jc w:val="right"/>
        <w:textAlignment w:val="baseline"/>
        <w:rPr>
          <w:rFonts w:ascii="仿宋_GB2312" w:eastAsia="仿宋_GB2312"/>
          <w:color w:val="000000" w:themeColor="text1"/>
          <w:sz w:val="44"/>
          <w14:textFill>
            <w14:solidFill>
              <w14:schemeClr w14:val="tx1"/>
            </w14:solidFill>
          </w14:textFill>
        </w:rPr>
      </w:pPr>
    </w:p>
    <w:p>
      <w:pPr>
        <w:pStyle w:val="27"/>
        <w:adjustRightInd w:val="0"/>
        <w:spacing w:line="520" w:lineRule="exact"/>
        <w:jc w:val="right"/>
        <w:textAlignment w:val="baseline"/>
        <w:rPr>
          <w:rFonts w:ascii="仿宋_GB2312" w:eastAsia="仿宋_GB2312"/>
          <w:color w:val="000000" w:themeColor="text1"/>
          <w:sz w:val="44"/>
          <w14:textFill>
            <w14:solidFill>
              <w14:schemeClr w14:val="tx1"/>
            </w14:solidFill>
          </w14:textFill>
        </w:rPr>
      </w:pPr>
    </w:p>
    <w:p>
      <w:pPr>
        <w:snapToGrid w:val="0"/>
        <w:spacing w:line="360" w:lineRule="auto"/>
        <w:jc w:val="center"/>
        <w:rPr>
          <w:rFonts w:ascii="仿宋_GB2312" w:eastAsia="仿宋_GB2312"/>
          <w:color w:val="000000" w:themeColor="text1"/>
          <w:sz w:val="44"/>
          <w14:textFill>
            <w14:solidFill>
              <w14:schemeClr w14:val="tx1"/>
            </w14:solidFill>
          </w14:textFill>
        </w:rPr>
      </w:pPr>
    </w:p>
    <w:p>
      <w:pPr>
        <w:adjustRightInd w:val="0"/>
        <w:spacing w:line="360" w:lineRule="atLeast"/>
        <w:jc w:val="center"/>
        <w:textAlignment w:val="baseline"/>
        <w:rPr>
          <w:rFonts w:ascii="宋体" w:hAnsi="宋体"/>
          <w:b/>
          <w:color w:val="000000" w:themeColor="text1"/>
          <w:kern w:val="0"/>
          <w:sz w:val="52"/>
          <w:szCs w:val="52"/>
          <w14:textFill>
            <w14:solidFill>
              <w14:schemeClr w14:val="tx1"/>
            </w14:solidFill>
          </w14:textFill>
        </w:rPr>
      </w:pPr>
      <w:r>
        <w:rPr>
          <w:rFonts w:hint="eastAsia" w:ascii="宋体" w:hAnsi="宋体"/>
          <w:b/>
          <w:color w:val="000000" w:themeColor="text1"/>
          <w:kern w:val="0"/>
          <w:sz w:val="52"/>
          <w:szCs w:val="52"/>
          <w14:textFill>
            <w14:solidFill>
              <w14:schemeClr w14:val="tx1"/>
            </w14:solidFill>
          </w14:textFill>
        </w:rPr>
        <w:t>中信银行个人购房借款合同</w:t>
      </w:r>
    </w:p>
    <w:p>
      <w:pPr>
        <w:snapToGrid w:val="0"/>
        <w:spacing w:line="360" w:lineRule="auto"/>
        <w:jc w:val="center"/>
        <w:rPr>
          <w:rFonts w:ascii="宋体"/>
          <w:color w:val="000000" w:themeColor="text1"/>
          <w:sz w:val="32"/>
          <w14:textFill>
            <w14:solidFill>
              <w14:schemeClr w14:val="tx1"/>
            </w14:solidFill>
          </w14:textFill>
        </w:rPr>
      </w:pPr>
    </w:p>
    <w:p>
      <w:pPr>
        <w:spacing w:line="360" w:lineRule="auto"/>
        <w:jc w:val="center"/>
        <w:rPr>
          <w:rFonts w:ascii="宋体" w:hAnsi="宋体"/>
          <w:b/>
          <w:bCs/>
          <w:color w:val="000000" w:themeColor="text1"/>
          <w:sz w:val="36"/>
          <w:szCs w:val="52"/>
          <w14:textFill>
            <w14:solidFill>
              <w14:schemeClr w14:val="tx1"/>
            </w14:solidFill>
          </w14:textFill>
        </w:rPr>
      </w:pPr>
      <w:r>
        <w:rPr>
          <w:rFonts w:hint="eastAsia" w:ascii="宋体" w:hAnsi="宋体"/>
          <w:b/>
          <w:bCs/>
          <w:color w:val="000000" w:themeColor="text1"/>
          <w:sz w:val="36"/>
          <w:szCs w:val="52"/>
          <w14:textFill>
            <w14:solidFill>
              <w14:schemeClr w14:val="tx1"/>
            </w14:solidFill>
          </w14:textFill>
        </w:rPr>
        <w:t>（</w:t>
      </w:r>
      <w:r>
        <w:rPr>
          <w:rFonts w:hint="eastAsia" w:ascii="宋体" w:hAnsi="宋体"/>
          <w:b/>
          <w:bCs/>
          <w:color w:val="000000" w:themeColor="text1"/>
          <w:sz w:val="36"/>
          <w:szCs w:val="52"/>
          <w:lang w:val="en-US" w:eastAsia="zh-CN"/>
          <w14:textFill>
            <w14:solidFill>
              <w14:schemeClr w14:val="tx1"/>
            </w14:solidFill>
          </w14:textFill>
        </w:rPr>
        <w:t>3.0</w:t>
      </w:r>
      <w:r>
        <w:rPr>
          <w:rFonts w:ascii="宋体" w:hAnsi="宋体"/>
          <w:b/>
          <w:bCs/>
          <w:color w:val="000000" w:themeColor="text1"/>
          <w:sz w:val="36"/>
          <w:szCs w:val="52"/>
          <w14:textFill>
            <w14:solidFill>
              <w14:schemeClr w14:val="tx1"/>
            </w14:solidFill>
          </w14:textFill>
        </w:rPr>
        <w:t>版，</w:t>
      </w:r>
      <w:r>
        <w:rPr>
          <w:rFonts w:hint="eastAsia" w:ascii="宋体" w:hAnsi="宋体"/>
          <w:b/>
          <w:bCs/>
          <w:color w:val="000000" w:themeColor="text1"/>
          <w:sz w:val="36"/>
          <w:szCs w:val="52"/>
          <w:lang w:val="en-US" w:eastAsia="zh-CN"/>
          <w14:textFill>
            <w14:solidFill>
              <w14:schemeClr w14:val="tx1"/>
            </w14:solidFill>
          </w14:textFill>
        </w:rPr>
        <w:t>2024</w:t>
      </w:r>
      <w:r>
        <w:rPr>
          <w:rFonts w:hint="eastAsia" w:ascii="宋体" w:hAnsi="宋体"/>
          <w:b/>
          <w:bCs/>
          <w:color w:val="000000" w:themeColor="text1"/>
          <w:sz w:val="36"/>
          <w:szCs w:val="52"/>
          <w14:textFill>
            <w14:solidFill>
              <w14:schemeClr w14:val="tx1"/>
            </w14:solidFill>
          </w14:textFill>
        </w:rPr>
        <w:t>年）（线下版）</w:t>
      </w:r>
    </w:p>
    <w:p>
      <w:pPr>
        <w:snapToGrid w:val="0"/>
        <w:spacing w:line="360" w:lineRule="auto"/>
        <w:ind w:firstLine="640" w:firstLineChars="200"/>
        <w:rPr>
          <w:rFonts w:ascii="仿宋_GB2312" w:eastAsia="仿宋_GB2312"/>
          <w:color w:val="000000" w:themeColor="text1"/>
          <w:sz w:val="32"/>
          <w14:textFill>
            <w14:solidFill>
              <w14:schemeClr w14:val="tx1"/>
            </w14:solidFill>
          </w14:textFill>
        </w:rPr>
      </w:pPr>
    </w:p>
    <w:p>
      <w:pPr>
        <w:snapToGrid w:val="0"/>
        <w:spacing w:line="360" w:lineRule="auto"/>
        <w:ind w:firstLine="640" w:firstLineChars="200"/>
        <w:rPr>
          <w:rFonts w:ascii="仿宋_GB2312" w:eastAsia="仿宋_GB2312"/>
          <w:color w:val="000000" w:themeColor="text1"/>
          <w:sz w:val="32"/>
          <w14:textFill>
            <w14:solidFill>
              <w14:schemeClr w14:val="tx1"/>
            </w14:solidFill>
          </w14:textFill>
        </w:rPr>
      </w:pPr>
    </w:p>
    <w:p>
      <w:pPr>
        <w:snapToGrid w:val="0"/>
        <w:spacing w:line="360" w:lineRule="auto"/>
        <w:ind w:firstLine="640" w:firstLineChars="200"/>
        <w:rPr>
          <w:rFonts w:ascii="仿宋_GB2312" w:eastAsia="仿宋_GB2312"/>
          <w:color w:val="000000" w:themeColor="text1"/>
          <w:sz w:val="32"/>
          <w14:textFill>
            <w14:solidFill>
              <w14:schemeClr w14:val="tx1"/>
            </w14:solidFill>
          </w14:textFill>
        </w:rPr>
      </w:pPr>
    </w:p>
    <w:p>
      <w:pPr>
        <w:snapToGrid w:val="0"/>
        <w:spacing w:line="360" w:lineRule="auto"/>
        <w:ind w:firstLine="640" w:firstLineChars="200"/>
        <w:rPr>
          <w:rFonts w:ascii="仿宋_GB2312" w:eastAsia="仿宋_GB2312"/>
          <w:color w:val="000000" w:themeColor="text1"/>
          <w:sz w:val="32"/>
          <w14:textFill>
            <w14:solidFill>
              <w14:schemeClr w14:val="tx1"/>
            </w14:solidFill>
          </w14:textFill>
        </w:rPr>
      </w:pPr>
    </w:p>
    <w:p>
      <w:pPr>
        <w:snapToGrid w:val="0"/>
        <w:spacing w:line="360" w:lineRule="auto"/>
        <w:ind w:firstLine="640" w:firstLineChars="200"/>
        <w:rPr>
          <w:rFonts w:ascii="仿宋_GB2312" w:eastAsia="仿宋_GB2312"/>
          <w:color w:val="000000" w:themeColor="text1"/>
          <w:sz w:val="32"/>
          <w14:textFill>
            <w14:solidFill>
              <w14:schemeClr w14:val="tx1"/>
            </w14:solidFill>
          </w14:textFill>
        </w:rPr>
      </w:pPr>
    </w:p>
    <w:p>
      <w:pPr>
        <w:snapToGrid w:val="0"/>
        <w:spacing w:line="360" w:lineRule="auto"/>
        <w:ind w:firstLine="640" w:firstLineChars="200"/>
        <w:rPr>
          <w:rFonts w:ascii="仿宋_GB2312" w:eastAsia="仿宋_GB2312"/>
          <w:color w:val="000000" w:themeColor="text1"/>
          <w:sz w:val="32"/>
          <w14:textFill>
            <w14:solidFill>
              <w14:schemeClr w14:val="tx1"/>
            </w14:solidFill>
          </w14:textFill>
        </w:rPr>
      </w:pPr>
    </w:p>
    <w:p>
      <w:pPr>
        <w:snapToGrid w:val="0"/>
        <w:spacing w:line="360" w:lineRule="auto"/>
        <w:ind w:firstLine="640" w:firstLineChars="200"/>
        <w:rPr>
          <w:rFonts w:ascii="宋体" w:hAnsi="宋体"/>
          <w:color w:val="000000" w:themeColor="text1"/>
          <w:sz w:val="32"/>
          <w14:textFill>
            <w14:solidFill>
              <w14:schemeClr w14:val="tx1"/>
            </w14:solidFill>
          </w14:textFill>
        </w:rPr>
      </w:pPr>
    </w:p>
    <w:p>
      <w:pPr>
        <w:snapToGrid w:val="0"/>
        <w:spacing w:line="360" w:lineRule="auto"/>
        <w:ind w:firstLine="640" w:firstLineChars="200"/>
        <w:rPr>
          <w:rFonts w:ascii="宋体" w:hAnsi="宋体"/>
          <w:color w:val="000000" w:themeColor="text1"/>
          <w:sz w:val="32"/>
          <w14:textFill>
            <w14:solidFill>
              <w14:schemeClr w14:val="tx1"/>
            </w14:solidFill>
          </w14:textFill>
        </w:rPr>
      </w:pPr>
    </w:p>
    <w:p>
      <w:pPr>
        <w:snapToGrid w:val="0"/>
        <w:spacing w:line="360" w:lineRule="auto"/>
        <w:jc w:val="center"/>
        <w:rPr>
          <w:rFonts w:ascii="宋体" w:hAnsi="宋体"/>
          <w:color w:val="000000" w:themeColor="text1"/>
          <w:sz w:val="44"/>
          <w:szCs w:val="44"/>
          <w:u w:val="single"/>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drawing>
          <wp:inline distT="0" distB="0" distL="114300" distR="114300">
            <wp:extent cx="1943100" cy="624840"/>
            <wp:effectExtent l="0" t="0" r="0" b="3810"/>
            <wp:docPr id="3" name="图片 1" descr="我行新版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我行新版商标"/>
                    <pic:cNvPicPr>
                      <a:picLocks noChangeAspect="1"/>
                    </pic:cNvPicPr>
                  </pic:nvPicPr>
                  <pic:blipFill>
                    <a:blip r:embed="rId8"/>
                    <a:stretch>
                      <a:fillRect/>
                    </a:stretch>
                  </pic:blipFill>
                  <pic:spPr>
                    <a:xfrm>
                      <a:off x="0" y="0"/>
                      <a:ext cx="1943100" cy="624840"/>
                    </a:xfrm>
                    <a:prstGeom prst="rect">
                      <a:avLst/>
                    </a:prstGeom>
                    <a:noFill/>
                    <a:ln w="9525">
                      <a:noFill/>
                    </a:ln>
                  </pic:spPr>
                </pic:pic>
              </a:graphicData>
            </a:graphic>
          </wp:inline>
        </w:drawing>
      </w:r>
    </w:p>
    <w:p>
      <w:pPr>
        <w:widowControl/>
        <w:spacing w:line="380" w:lineRule="exact"/>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 w:val="44"/>
          <w:szCs w:val="44"/>
          <w14:textFill>
            <w14:solidFill>
              <w14:schemeClr w14:val="tx1"/>
            </w14:solidFill>
          </w14:textFill>
        </w:rPr>
        <w:br w:type="page"/>
      </w:r>
      <w:r>
        <w:rPr>
          <w:rFonts w:hint="eastAsia" w:ascii="宋体" w:hAnsi="宋体"/>
          <w:b/>
          <w:bCs/>
          <w:color w:val="000000" w:themeColor="text1"/>
          <w:szCs w:val="21"/>
          <w14:textFill>
            <w14:solidFill>
              <w14:schemeClr w14:val="tx1"/>
            </w14:solidFill>
          </w14:textFill>
        </w:rPr>
        <w:t>客 户 须 知</w:t>
      </w:r>
    </w:p>
    <w:p>
      <w:pPr>
        <w:snapToGrid w:val="0"/>
        <w:spacing w:line="380" w:lineRule="exact"/>
        <w:rPr>
          <w:rFonts w:ascii="宋体" w:hAnsi="宋体"/>
          <w:b/>
          <w:bCs/>
          <w:color w:val="000000" w:themeColor="text1"/>
          <w:szCs w:val="21"/>
          <w14:textFill>
            <w14:solidFill>
              <w14:schemeClr w14:val="tx1"/>
            </w14:solidFill>
          </w14:textFill>
        </w:rPr>
      </w:pPr>
    </w:p>
    <w:p>
      <w:pPr>
        <w:snapToGrid w:val="0"/>
        <w:spacing w:line="380" w:lineRule="exact"/>
        <w:ind w:firstLine="422" w:firstLineChars="200"/>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为了维护您的利益，请在签署本合同前，仔细阅读本合同的各条款，并特别注意如下事项：</w:t>
      </w:r>
    </w:p>
    <w:p>
      <w:pPr>
        <w:spacing w:line="38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rFonts w:hint="eastAsia"/>
          <w:b/>
          <w:bCs/>
          <w:color w:val="000000" w:themeColor="text1"/>
          <w:szCs w:val="21"/>
          <w14:textFill>
            <w14:solidFill>
              <w14:schemeClr w14:val="tx1"/>
            </w14:solidFill>
          </w14:textFill>
        </w:rPr>
        <w:t>您已经阅读本合同所有条款，并已经知悉其含义，尤其是本合同中关于借款人、担保人的义务及责任承担条款。</w:t>
      </w:r>
    </w:p>
    <w:p>
      <w:pPr>
        <w:spacing w:line="38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请确保您为具有完全民事行为能力的自然人</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法人，并得到签署和履行本合同的全部真实、合法、有效授权。</w:t>
      </w:r>
    </w:p>
    <w:p>
      <w:pPr>
        <w:spacing w:line="38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3.</w:t>
      </w:r>
      <w:r>
        <w:rPr>
          <w:rFonts w:hint="eastAsia"/>
          <w:b/>
          <w:bCs/>
          <w:color w:val="000000" w:themeColor="text1"/>
          <w:szCs w:val="21"/>
          <w14:textFill>
            <w14:solidFill>
              <w14:schemeClr w14:val="tx1"/>
            </w14:solidFill>
          </w14:textFill>
        </w:rPr>
        <w:t>您已经确保提交的文件及资料真实、合法、有效。</w:t>
      </w:r>
    </w:p>
    <w:p>
      <w:pPr>
        <w:spacing w:line="38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4.</w:t>
      </w:r>
      <w:r>
        <w:rPr>
          <w:rFonts w:hint="eastAsia"/>
          <w:b/>
          <w:bCs/>
          <w:color w:val="000000" w:themeColor="text1"/>
          <w:szCs w:val="21"/>
          <w14:textFill>
            <w14:solidFill>
              <w14:schemeClr w14:val="tx1"/>
            </w14:solidFill>
          </w14:textFill>
        </w:rPr>
        <w:t>您将本着诚实、信用的原则，自愿签订并依约履行本合同。</w:t>
      </w:r>
    </w:p>
    <w:p>
      <w:pPr>
        <w:spacing w:line="38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5.</w:t>
      </w:r>
      <w:r>
        <w:rPr>
          <w:rFonts w:hint="eastAsia"/>
          <w:b/>
          <w:bCs/>
          <w:color w:val="000000" w:themeColor="text1"/>
          <w:szCs w:val="21"/>
          <w14:textFill>
            <w14:solidFill>
              <w14:schemeClr w14:val="tx1"/>
            </w14:solidFill>
          </w14:textFill>
        </w:rPr>
        <w:t>请您使用蓝色或黑色钢笔或签字笔工整地填写需要您填写的内容。</w:t>
      </w:r>
    </w:p>
    <w:p>
      <w:pPr>
        <w:spacing w:line="38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6.</w:t>
      </w:r>
      <w:r>
        <w:rPr>
          <w:rFonts w:hint="eastAsia"/>
          <w:b/>
          <w:bCs/>
          <w:color w:val="000000" w:themeColor="text1"/>
          <w:szCs w:val="21"/>
          <w14:textFill>
            <w14:solidFill>
              <w14:schemeClr w14:val="tx1"/>
            </w14:solidFill>
          </w14:textFill>
        </w:rPr>
        <w:t>在订立本合同过程中，除本合同明确约定的需要您承担的费用外，贷款人未通过其他任何方式、渠道或授权任何机构、个人向您收取任何形式的费用。</w:t>
      </w:r>
    </w:p>
    <w:p>
      <w:pPr>
        <w:snapToGrid w:val="0"/>
        <w:spacing w:line="380" w:lineRule="exact"/>
        <w:ind w:firstLine="422" w:firstLineChars="200"/>
        <w:rPr>
          <w:b/>
          <w:bCs/>
          <w:color w:val="000000" w:themeColor="text1"/>
          <w:szCs w:val="21"/>
          <w14:textFill>
            <w14:solidFill>
              <w14:schemeClr w14:val="tx1"/>
            </w14:solidFill>
          </w14:textFill>
        </w:rPr>
      </w:pPr>
    </w:p>
    <w:p>
      <w:pPr>
        <w:snapToGrid w:val="0"/>
        <w:spacing w:line="380" w:lineRule="exact"/>
        <w:ind w:firstLine="422" w:firstLineChars="200"/>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您应在签署本合同前认真阅读并充分理解本合同条款，并确保清楚相应法律后果等内容。如您对本合同有疑问，请通过</w:t>
      </w:r>
      <w:r>
        <w:rPr>
          <w:b/>
          <w:bCs/>
          <w:color w:val="000000" w:themeColor="text1"/>
          <w:szCs w:val="21"/>
          <w14:textFill>
            <w14:solidFill>
              <w14:schemeClr w14:val="tx1"/>
            </w14:solidFill>
          </w14:textFill>
        </w:rPr>
        <w:t>95558</w:t>
      </w:r>
      <w:r>
        <w:rPr>
          <w:rFonts w:hint="eastAsia"/>
          <w:b/>
          <w:bCs/>
          <w:color w:val="000000" w:themeColor="text1"/>
          <w:szCs w:val="21"/>
          <w14:textFill>
            <w14:solidFill>
              <w14:schemeClr w14:val="tx1"/>
            </w14:solidFill>
          </w14:textFill>
        </w:rPr>
        <w:t>客户服务电话或中信银行工作人员进行咨询。您有权选择</w:t>
      </w:r>
      <w:r>
        <w:rPr>
          <w:rFonts w:hint="eastAsia" w:ascii="宋体" w:hAnsi="宋体"/>
          <w:b/>
          <w:bCs/>
          <w:color w:val="000000" w:themeColor="text1"/>
          <w:szCs w:val="21"/>
          <w14:textFill>
            <w14:solidFill>
              <w14:schemeClr w14:val="tx1"/>
            </w14:solidFill>
          </w14:textFill>
        </w:rPr>
        <w:t>接受或不接受</w:t>
      </w:r>
      <w:r>
        <w:rPr>
          <w:rFonts w:ascii="宋体" w:hAnsi="宋体"/>
          <w:b/>
          <w:bCs/>
          <w:color w:val="000000" w:themeColor="text1"/>
          <w:szCs w:val="21"/>
          <w14:textFill>
            <w14:solidFill>
              <w14:schemeClr w14:val="tx1"/>
            </w14:solidFill>
          </w14:textFill>
        </w:rPr>
        <w:t>本合同条款</w:t>
      </w:r>
      <w:r>
        <w:rPr>
          <w:rFonts w:hint="eastAsia"/>
          <w:b/>
          <w:bCs/>
          <w:color w:val="000000" w:themeColor="text1"/>
          <w:szCs w:val="21"/>
          <w14:textFill>
            <w14:solidFill>
              <w14:schemeClr w14:val="tx1"/>
            </w14:solidFill>
          </w14:textFill>
        </w:rPr>
        <w:t>，但在签署本合同后即视为同意并接受本合同全部条款。</w:t>
      </w:r>
    </w:p>
    <w:p>
      <w:pPr>
        <w:snapToGrid w:val="0"/>
        <w:spacing w:line="380" w:lineRule="exact"/>
        <w:ind w:firstLine="420" w:firstLineChars="200"/>
        <w:rPr>
          <w:color w:val="000000" w:themeColor="text1"/>
          <w:szCs w:val="21"/>
          <w14:textFill>
            <w14:solidFill>
              <w14:schemeClr w14:val="tx1"/>
            </w14:solidFill>
          </w14:textFill>
        </w:rPr>
      </w:pPr>
    </w:p>
    <w:p>
      <w:pPr>
        <w:snapToGrid w:val="0"/>
        <w:spacing w:line="380" w:lineRule="exact"/>
        <w:ind w:firstLine="420" w:firstLineChars="200"/>
        <w:rPr>
          <w:color w:val="000000" w:themeColor="text1"/>
          <w:szCs w:val="21"/>
          <w14:textFill>
            <w14:solidFill>
              <w14:schemeClr w14:val="tx1"/>
            </w14:solidFill>
          </w14:textFill>
        </w:rPr>
      </w:pPr>
    </w:p>
    <w:p>
      <w:pPr>
        <w:snapToGrid w:val="0"/>
        <w:spacing w:line="380" w:lineRule="exact"/>
        <w:ind w:firstLine="420" w:firstLineChars="200"/>
        <w:rPr>
          <w:color w:val="000000" w:themeColor="text1"/>
          <w:szCs w:val="21"/>
          <w14:textFill>
            <w14:solidFill>
              <w14:schemeClr w14:val="tx1"/>
            </w14:solidFill>
          </w14:textFill>
        </w:rPr>
      </w:pPr>
    </w:p>
    <w:p>
      <w:pPr>
        <w:snapToGrid w:val="0"/>
        <w:spacing w:line="380" w:lineRule="exact"/>
        <w:ind w:firstLine="420" w:firstLineChars="200"/>
        <w:rPr>
          <w:color w:val="000000" w:themeColor="text1"/>
          <w:szCs w:val="21"/>
          <w14:textFill>
            <w14:solidFill>
              <w14:schemeClr w14:val="tx1"/>
            </w14:solidFill>
          </w14:textFill>
        </w:rPr>
      </w:pPr>
    </w:p>
    <w:p>
      <w:pPr>
        <w:snapToGrid w:val="0"/>
        <w:spacing w:line="380" w:lineRule="exact"/>
        <w:ind w:firstLine="420" w:firstLineChars="200"/>
        <w:rPr>
          <w:color w:val="000000" w:themeColor="text1"/>
          <w:szCs w:val="21"/>
          <w14:textFill>
            <w14:solidFill>
              <w14:schemeClr w14:val="tx1"/>
            </w14:solidFill>
          </w14:textFill>
        </w:rPr>
      </w:pPr>
    </w:p>
    <w:p>
      <w:pPr>
        <w:snapToGrid w:val="0"/>
        <w:spacing w:line="380" w:lineRule="exact"/>
        <w:rPr>
          <w:b/>
          <w:bCs/>
          <w:color w:val="000000" w:themeColor="text1"/>
          <w:szCs w:val="21"/>
          <w14:textFill>
            <w14:solidFill>
              <w14:schemeClr w14:val="tx1"/>
            </w14:solidFill>
          </w14:textFill>
        </w:rPr>
      </w:pPr>
    </w:p>
    <w:p>
      <w:pPr>
        <w:spacing w:line="380" w:lineRule="exact"/>
        <w:ind w:firstLine="420" w:firstLineChars="200"/>
        <w:rPr>
          <w:color w:val="000000" w:themeColor="text1"/>
          <w:szCs w:val="21"/>
          <w14:textFill>
            <w14:solidFill>
              <w14:schemeClr w14:val="tx1"/>
            </w14:solidFill>
          </w14:textFill>
        </w:rPr>
      </w:pPr>
    </w:p>
    <w:p>
      <w:pPr>
        <w:spacing w:line="380" w:lineRule="exact"/>
        <w:ind w:firstLine="420" w:firstLineChars="200"/>
        <w:rPr>
          <w:color w:val="000000" w:themeColor="text1"/>
          <w:szCs w:val="21"/>
          <w14:textFill>
            <w14:solidFill>
              <w14:schemeClr w14:val="tx1"/>
            </w14:solidFill>
          </w14:textFill>
        </w:rPr>
      </w:pPr>
    </w:p>
    <w:p>
      <w:pPr>
        <w:spacing w:line="380" w:lineRule="exact"/>
        <w:ind w:firstLine="420" w:firstLineChars="200"/>
        <w:rPr>
          <w:color w:val="000000" w:themeColor="text1"/>
          <w:szCs w:val="21"/>
          <w14:textFill>
            <w14:solidFill>
              <w14:schemeClr w14:val="tx1"/>
            </w14:solidFill>
          </w14:textFill>
        </w:rPr>
      </w:pPr>
    </w:p>
    <w:p>
      <w:pPr>
        <w:spacing w:line="380" w:lineRule="exact"/>
        <w:ind w:firstLine="420" w:firstLineChars="200"/>
        <w:rPr>
          <w:color w:val="000000" w:themeColor="text1"/>
          <w:szCs w:val="21"/>
          <w14:textFill>
            <w14:solidFill>
              <w14:schemeClr w14:val="tx1"/>
            </w14:solidFill>
          </w14:textFill>
        </w:rPr>
      </w:pPr>
    </w:p>
    <w:p>
      <w:pPr>
        <w:spacing w:line="380" w:lineRule="exact"/>
        <w:ind w:firstLine="420" w:firstLineChars="200"/>
        <w:rPr>
          <w:color w:val="000000" w:themeColor="text1"/>
          <w:szCs w:val="21"/>
          <w14:textFill>
            <w14:solidFill>
              <w14:schemeClr w14:val="tx1"/>
            </w14:solidFill>
          </w14:textFill>
        </w:rPr>
      </w:pPr>
    </w:p>
    <w:p>
      <w:pPr>
        <w:spacing w:line="380" w:lineRule="exact"/>
        <w:rPr>
          <w:color w:val="000000" w:themeColor="text1"/>
          <w:szCs w:val="21"/>
          <w14:textFill>
            <w14:solidFill>
              <w14:schemeClr w14:val="tx1"/>
            </w14:solidFill>
          </w14:textFill>
        </w:rPr>
        <w:sectPr>
          <w:footerReference r:id="rId4" w:type="first"/>
          <w:footerReference r:id="rId3" w:type="even"/>
          <w:pgSz w:w="11906" w:h="16838"/>
          <w:pgMar w:top="851" w:right="1304" w:bottom="851" w:left="1304" w:header="851" w:footer="992" w:gutter="0"/>
          <w:pgNumType w:start="0"/>
          <w:cols w:space="720" w:num="1"/>
          <w:titlePg/>
          <w:docGrid w:type="lines" w:linePitch="312" w:charSpace="0"/>
        </w:sectPr>
      </w:pPr>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甲方</w:t>
      </w:r>
      <w:r>
        <w:rPr>
          <w:rFonts w:hint="eastAsia" w:ascii="宋体" w:hAnsi="宋体"/>
          <w:color w:val="000000" w:themeColor="text1"/>
          <w:szCs w:val="21"/>
          <w14:textFill>
            <w14:solidFill>
              <w14:schemeClr w14:val="tx1"/>
            </w14:solidFill>
          </w14:textFill>
        </w:rPr>
        <w:t>（借款人</w:t>
      </w:r>
      <w:r>
        <w:rPr>
          <w:rFonts w:ascii="宋体" w:hAnsi="宋体"/>
          <w:color w:val="000000" w:themeColor="text1"/>
          <w:szCs w:val="21"/>
          <w14:textFill>
            <w14:solidFill>
              <w14:schemeClr w14:val="tx1"/>
            </w14:solidFill>
          </w14:textFill>
        </w:rPr>
        <w:t>/抵押人）：</w:t>
      </w:r>
      <w:permStart w:id="1" w:edGrp="everyone"/>
      <w:r>
        <w:rPr>
          <w:rFonts w:hint="eastAsia" w:ascii="宋体" w:hAnsi="宋体"/>
          <w:color w:val="000000" w:themeColor="text1"/>
          <w:szCs w:val="21"/>
          <w14:textFill>
            <w14:solidFill>
              <w14:schemeClr w14:val="tx1"/>
            </w14:solidFill>
          </w14:textFill>
        </w:rPr>
        <w:t>【】</w:t>
      </w:r>
      <w:permEnd w:id="1"/>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身份证件名称及号码：</w:t>
      </w:r>
      <w:permStart w:id="2" w:edGrp="everyone"/>
      <w:r>
        <w:rPr>
          <w:rFonts w:hint="eastAsia" w:ascii="宋体" w:hAnsi="宋体"/>
          <w:color w:val="000000" w:themeColor="text1"/>
          <w:szCs w:val="21"/>
          <w14:textFill>
            <w14:solidFill>
              <w14:schemeClr w14:val="tx1"/>
            </w14:solidFill>
          </w14:textFill>
        </w:rPr>
        <w:t>【】</w:t>
      </w:r>
      <w:permEnd w:id="2"/>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工作单位</w:t>
      </w:r>
      <w:r>
        <w:rPr>
          <w:rFonts w:ascii="宋体" w:hAnsi="宋体"/>
          <w:color w:val="000000" w:themeColor="text1"/>
          <w:szCs w:val="21"/>
          <w14:textFill>
            <w14:solidFill>
              <w14:schemeClr w14:val="tx1"/>
            </w14:solidFill>
          </w14:textFill>
        </w:rPr>
        <w:t>：</w:t>
      </w:r>
      <w:permStart w:id="3" w:edGrp="everyone"/>
      <w:r>
        <w:rPr>
          <w:rFonts w:hint="eastAsia" w:ascii="宋体" w:hAnsi="宋体"/>
          <w:color w:val="000000" w:themeColor="text1"/>
          <w:szCs w:val="21"/>
          <w14:textFill>
            <w14:solidFill>
              <w14:schemeClr w14:val="tx1"/>
            </w14:solidFill>
          </w14:textFill>
        </w:rPr>
        <w:t>【】</w:t>
      </w:r>
      <w:permEnd w:id="3"/>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住</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所：</w:t>
      </w:r>
      <w:permStart w:id="4" w:edGrp="everyone"/>
      <w:r>
        <w:rPr>
          <w:rFonts w:hint="eastAsia" w:ascii="宋体" w:hAnsi="宋体"/>
          <w:color w:val="000000" w:themeColor="text1"/>
          <w:szCs w:val="21"/>
          <w14:textFill>
            <w14:solidFill>
              <w14:schemeClr w14:val="tx1"/>
            </w14:solidFill>
          </w14:textFill>
        </w:rPr>
        <w:t>【】</w:t>
      </w:r>
      <w:permEnd w:id="4"/>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ermStart w:id="5" w:edGrp="everyone"/>
      <w:r>
        <w:rPr>
          <w:rFonts w:hint="eastAsia" w:ascii="宋体" w:hAnsi="宋体"/>
          <w:color w:val="000000" w:themeColor="text1"/>
          <w:szCs w:val="21"/>
          <w14:textFill>
            <w14:solidFill>
              <w14:schemeClr w14:val="tx1"/>
            </w14:solidFill>
          </w14:textFill>
        </w:rPr>
        <w:t>【】</w:t>
      </w:r>
      <w:permEnd w:id="5"/>
    </w:p>
    <w:p>
      <w:pPr>
        <w:pStyle w:val="27"/>
        <w:snapToGrid w:val="0"/>
        <w:spacing w:line="360" w:lineRule="auto"/>
        <w:rPr>
          <w:rFonts w:ascii="宋体" w:hAnsi="宋体"/>
          <w:color w:val="000000" w:themeColor="text1"/>
          <w:szCs w:val="21"/>
          <w14:textFill>
            <w14:solidFill>
              <w14:schemeClr w14:val="tx1"/>
            </w14:solidFill>
          </w14:textFill>
        </w:rPr>
      </w:pPr>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甲方</w:t>
      </w:r>
      <w:r>
        <w:rPr>
          <w:rFonts w:hint="eastAsia" w:ascii="宋体" w:hAnsi="宋体"/>
          <w:color w:val="000000" w:themeColor="text1"/>
          <w:szCs w:val="21"/>
          <w14:textFill>
            <w14:solidFill>
              <w14:schemeClr w14:val="tx1"/>
            </w14:solidFill>
          </w14:textFill>
        </w:rPr>
        <w:t>（共同借款人</w:t>
      </w:r>
      <w:r>
        <w:rPr>
          <w:rFonts w:ascii="宋体" w:hAnsi="宋体"/>
          <w:color w:val="000000" w:themeColor="text1"/>
          <w:szCs w:val="21"/>
          <w14:textFill>
            <w14:solidFill>
              <w14:schemeClr w14:val="tx1"/>
            </w14:solidFill>
          </w14:textFill>
        </w:rPr>
        <w:t>/</w:t>
      </w:r>
      <w:permStart w:id="6" w:edGrp="everyone"/>
      <w:r>
        <w:rPr>
          <w:rFonts w:asciiTheme="minorEastAsia" w:hAnsiTheme="minorEastAsia" w:eastAsiaTheme="minorEastAsia"/>
          <w:color w:val="000000" w:themeColor="text1"/>
          <w:sz w:val="18"/>
          <w:szCs w:val="18"/>
          <w14:textFill>
            <w14:solidFill>
              <w14:schemeClr w14:val="tx1"/>
            </w14:solidFill>
          </w14:textFill>
        </w:rPr>
        <w:t>□</w:t>
      </w:r>
      <w:r>
        <w:rPr>
          <w:rFonts w:hint="eastAsia" w:ascii="宋体" w:hAnsi="宋体"/>
          <w:color w:val="000000" w:themeColor="text1"/>
          <w:szCs w:val="21"/>
          <w14:textFill>
            <w14:solidFill>
              <w14:schemeClr w14:val="tx1"/>
            </w14:solidFill>
          </w14:textFill>
        </w:rPr>
        <w:t>抵押人</w:t>
      </w:r>
      <w:permEnd w:id="6"/>
      <w:r>
        <w:rPr>
          <w:rFonts w:hint="eastAsia" w:ascii="宋体" w:hAnsi="宋体"/>
          <w:color w:val="000000" w:themeColor="text1"/>
          <w:szCs w:val="21"/>
          <w14:textFill>
            <w14:solidFill>
              <w14:schemeClr w14:val="tx1"/>
            </w14:solidFill>
          </w14:textFill>
        </w:rPr>
        <w:t>）：</w:t>
      </w:r>
      <w:permStart w:id="7" w:edGrp="everyone"/>
      <w:r>
        <w:rPr>
          <w:rFonts w:hint="eastAsia" w:ascii="宋体" w:hAnsi="宋体"/>
          <w:color w:val="000000" w:themeColor="text1"/>
          <w:szCs w:val="21"/>
          <w14:textFill>
            <w14:solidFill>
              <w14:schemeClr w14:val="tx1"/>
            </w14:solidFill>
          </w14:textFill>
        </w:rPr>
        <w:t>【】</w:t>
      </w:r>
      <w:permEnd w:id="7"/>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身份证件名称及号码：</w:t>
      </w:r>
      <w:permStart w:id="8" w:edGrp="everyone"/>
      <w:r>
        <w:rPr>
          <w:rFonts w:hint="eastAsia" w:ascii="宋体" w:hAnsi="宋体"/>
          <w:color w:val="000000" w:themeColor="text1"/>
          <w:szCs w:val="21"/>
          <w14:textFill>
            <w14:solidFill>
              <w14:schemeClr w14:val="tx1"/>
            </w14:solidFill>
          </w14:textFill>
        </w:rPr>
        <w:t>【】</w:t>
      </w:r>
      <w:permEnd w:id="8"/>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工作单位</w:t>
      </w:r>
      <w:r>
        <w:rPr>
          <w:rFonts w:ascii="宋体" w:hAnsi="宋体"/>
          <w:color w:val="000000" w:themeColor="text1"/>
          <w:szCs w:val="21"/>
          <w14:textFill>
            <w14:solidFill>
              <w14:schemeClr w14:val="tx1"/>
            </w14:solidFill>
          </w14:textFill>
        </w:rPr>
        <w:t>：</w:t>
      </w:r>
      <w:permStart w:id="9" w:edGrp="everyone"/>
      <w:r>
        <w:rPr>
          <w:rFonts w:hint="eastAsia" w:ascii="宋体" w:hAnsi="宋体"/>
          <w:color w:val="000000" w:themeColor="text1"/>
          <w:szCs w:val="21"/>
          <w14:textFill>
            <w14:solidFill>
              <w14:schemeClr w14:val="tx1"/>
            </w14:solidFill>
          </w14:textFill>
        </w:rPr>
        <w:t>【】</w:t>
      </w:r>
      <w:permEnd w:id="9"/>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住</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所：</w:t>
      </w:r>
      <w:permStart w:id="10" w:edGrp="everyone"/>
      <w:r>
        <w:rPr>
          <w:rFonts w:hint="eastAsia" w:ascii="宋体" w:hAnsi="宋体"/>
          <w:color w:val="000000" w:themeColor="text1"/>
          <w:szCs w:val="21"/>
          <w14:textFill>
            <w14:solidFill>
              <w14:schemeClr w14:val="tx1"/>
            </w14:solidFill>
          </w14:textFill>
        </w:rPr>
        <w:t>【】</w:t>
      </w:r>
      <w:permEnd w:id="10"/>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ermStart w:id="11" w:edGrp="everyone"/>
      <w:r>
        <w:rPr>
          <w:rFonts w:hint="eastAsia" w:ascii="宋体" w:hAnsi="宋体"/>
          <w:color w:val="000000" w:themeColor="text1"/>
          <w:szCs w:val="21"/>
          <w14:textFill>
            <w14:solidFill>
              <w14:schemeClr w14:val="tx1"/>
            </w14:solidFill>
          </w14:textFill>
        </w:rPr>
        <w:t>【】</w:t>
      </w:r>
      <w:permEnd w:id="11"/>
    </w:p>
    <w:p>
      <w:pPr>
        <w:pStyle w:val="27"/>
        <w:snapToGrid w:val="0"/>
        <w:spacing w:line="360" w:lineRule="auto"/>
        <w:rPr>
          <w:rFonts w:ascii="宋体" w:hAnsi="宋体"/>
          <w:color w:val="000000" w:themeColor="text1"/>
          <w:szCs w:val="21"/>
          <w14:textFill>
            <w14:solidFill>
              <w14:schemeClr w14:val="tx1"/>
            </w14:solidFill>
          </w14:textFill>
        </w:rPr>
      </w:pPr>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（贷款人）：</w:t>
      </w:r>
      <w:permStart w:id="12" w:edGrp="everyone"/>
      <w:r>
        <w:rPr>
          <w:rFonts w:hint="eastAsia" w:ascii="宋体" w:hAnsi="宋体"/>
          <w:color w:val="000000" w:themeColor="text1"/>
          <w:szCs w:val="21"/>
          <w14:textFill>
            <w14:solidFill>
              <w14:schemeClr w14:val="tx1"/>
            </w14:solidFill>
          </w14:textFill>
        </w:rPr>
        <w:t>【】</w:t>
      </w:r>
      <w:permEnd w:id="12"/>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责</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w:t>
      </w:r>
      <w:permStart w:id="13" w:edGrp="everyone"/>
      <w:r>
        <w:rPr>
          <w:rFonts w:hint="eastAsia" w:ascii="宋体" w:hAnsi="宋体"/>
          <w:color w:val="000000" w:themeColor="text1"/>
          <w:szCs w:val="21"/>
          <w14:textFill>
            <w14:solidFill>
              <w14:schemeClr w14:val="tx1"/>
            </w14:solidFill>
          </w14:textFill>
        </w:rPr>
        <w:t>【】</w:t>
      </w:r>
      <w:permEnd w:id="13"/>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住</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所：</w:t>
      </w:r>
      <w:permStart w:id="14" w:edGrp="everyone"/>
      <w:r>
        <w:rPr>
          <w:rFonts w:hint="eastAsia" w:ascii="宋体" w:hAnsi="宋体"/>
          <w:color w:val="000000" w:themeColor="text1"/>
          <w:szCs w:val="21"/>
          <w14:textFill>
            <w14:solidFill>
              <w14:schemeClr w14:val="tx1"/>
            </w14:solidFill>
          </w14:textFill>
        </w:rPr>
        <w:t>【】</w:t>
      </w:r>
      <w:permEnd w:id="14"/>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ermStart w:id="15" w:edGrp="everyone"/>
      <w:r>
        <w:rPr>
          <w:rFonts w:hint="eastAsia" w:ascii="宋体" w:hAnsi="宋体"/>
          <w:color w:val="000000" w:themeColor="text1"/>
          <w:szCs w:val="21"/>
          <w14:textFill>
            <w14:solidFill>
              <w14:schemeClr w14:val="tx1"/>
            </w14:solidFill>
          </w14:textFill>
        </w:rPr>
        <w:t>【】</w:t>
      </w:r>
      <w:permEnd w:id="15"/>
    </w:p>
    <w:p>
      <w:pPr>
        <w:pStyle w:val="27"/>
        <w:snapToGrid w:val="0"/>
        <w:spacing w:line="360" w:lineRule="auto"/>
        <w:rPr>
          <w:rFonts w:ascii="宋体" w:hAnsi="宋体"/>
          <w:color w:val="000000" w:themeColor="text1"/>
          <w:szCs w:val="21"/>
          <w14:textFill>
            <w14:solidFill>
              <w14:schemeClr w14:val="tx1"/>
            </w14:solidFill>
          </w14:textFill>
        </w:rPr>
      </w:pPr>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丙方</w:t>
      </w:r>
      <w:r>
        <w:rPr>
          <w:rFonts w:hint="eastAsia" w:ascii="宋体" w:hAnsi="宋体"/>
          <w:color w:val="000000" w:themeColor="text1"/>
          <w:szCs w:val="21"/>
          <w14:textFill>
            <w14:solidFill>
              <w14:schemeClr w14:val="tx1"/>
            </w14:solidFill>
          </w14:textFill>
        </w:rPr>
        <w:t>（阶段性保证人）：</w:t>
      </w:r>
      <w:permStart w:id="16" w:edGrp="everyone"/>
      <w:r>
        <w:rPr>
          <w:rFonts w:hint="eastAsia" w:ascii="宋体" w:hAnsi="宋体"/>
          <w:color w:val="000000" w:themeColor="text1"/>
          <w:szCs w:val="21"/>
          <w14:textFill>
            <w14:solidFill>
              <w14:schemeClr w14:val="tx1"/>
            </w14:solidFill>
          </w14:textFill>
        </w:rPr>
        <w:t>【】</w:t>
      </w:r>
      <w:permEnd w:id="16"/>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ermStart w:id="17" w:edGrp="everyone"/>
      <w:r>
        <w:rPr>
          <w:rFonts w:hint="eastAsia" w:ascii="宋体" w:hAnsi="宋体"/>
          <w:color w:val="000000" w:themeColor="text1"/>
          <w:szCs w:val="21"/>
          <w14:textFill>
            <w14:solidFill>
              <w14:schemeClr w14:val="tx1"/>
            </w14:solidFill>
          </w14:textFill>
        </w:rPr>
        <w:t>【】</w:t>
      </w:r>
      <w:permEnd w:id="17"/>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住</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所：</w:t>
      </w:r>
      <w:permStart w:id="18" w:edGrp="everyone"/>
      <w:r>
        <w:rPr>
          <w:rFonts w:hint="eastAsia" w:ascii="宋体" w:hAnsi="宋体"/>
          <w:color w:val="000000" w:themeColor="text1"/>
          <w:szCs w:val="21"/>
          <w14:textFill>
            <w14:solidFill>
              <w14:schemeClr w14:val="tx1"/>
            </w14:solidFill>
          </w14:textFill>
        </w:rPr>
        <w:t>【】</w:t>
      </w:r>
      <w:permEnd w:id="18"/>
    </w:p>
    <w:p>
      <w:pPr>
        <w:pStyle w:val="27"/>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ermStart w:id="19" w:edGrp="everyone"/>
      <w:r>
        <w:rPr>
          <w:rFonts w:hint="eastAsia" w:ascii="宋体" w:hAnsi="宋体"/>
          <w:color w:val="000000" w:themeColor="text1"/>
          <w:szCs w:val="21"/>
          <w14:textFill>
            <w14:solidFill>
              <w14:schemeClr w14:val="tx1"/>
            </w14:solidFill>
          </w14:textFill>
        </w:rPr>
        <w:t>【】</w:t>
      </w:r>
      <w:permEnd w:id="19"/>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根据《中华人民共和国民法典》及《个人贷款管理办法》等有关法律法规的规定，甲方、乙方和丙方（各方基本信息详见本合同</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_Ref470034903 \r \h  \* MERGEFORMAT </w:instrText>
      </w:r>
      <w:r>
        <w:rPr>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第二十条</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约定，本合同项下借款人与共同借款人统称为甲方）本着诚实信用、平等自愿的原则，经协商一致，订立本合同。</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中，“合作方”是指与中信银行合作开展个人贷款业务的企业、组织或机构；“个人贷款线上服务平台”是指乙方通过个人网上银行、手机银行、微信银行、微信小程序、中信银行开放银行等渠道在线提供贷款额度申请、额度审批、贷款申请、贷款审批、贷款发放、贷款还款等个人消费贷款或个人经营贷款服务的平台。</w:t>
      </w:r>
    </w:p>
    <w:p>
      <w:pPr>
        <w:numPr>
          <w:ilvl w:val="0"/>
          <w:numId w:val="1"/>
        </w:numPr>
        <w:tabs>
          <w:tab w:val="left" w:pos="1134"/>
        </w:tabs>
        <w:adjustRightInd w:val="0"/>
        <w:spacing w:line="380" w:lineRule="exact"/>
        <w:ind w:left="0" w:firstLine="422" w:firstLineChars="200"/>
        <w:contextualSpacing/>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贷款金额</w:t>
      </w:r>
    </w:p>
    <w:p>
      <w:pPr>
        <w:adjustRightInd w:val="0"/>
        <w:spacing w:line="380" w:lineRule="exact"/>
        <w:ind w:firstLine="422" w:firstLineChars="200"/>
        <w:contextualSpacing/>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贷款金额详见本合同</w:t>
      </w:r>
      <w:r>
        <w:rPr>
          <w:b/>
          <w:bCs/>
          <w:color w:val="000000" w:themeColor="text1"/>
          <w:szCs w:val="21"/>
          <w14:textFill>
            <w14:solidFill>
              <w14:schemeClr w14:val="tx1"/>
            </w14:solidFill>
          </w14:textFill>
        </w:rPr>
        <w:fldChar w:fldCharType="begin"/>
      </w:r>
      <w:r>
        <w:rPr>
          <w:b/>
          <w:bCs/>
          <w:color w:val="000000" w:themeColor="text1"/>
          <w:szCs w:val="21"/>
          <w14:textFill>
            <w14:solidFill>
              <w14:schemeClr w14:val="tx1"/>
            </w14:solidFill>
          </w14:textFill>
        </w:rPr>
        <w:instrText xml:space="preserve"> REF _Ref470034903 \r \h  \* MERGEFORMAT </w:instrText>
      </w:r>
      <w:r>
        <w:rPr>
          <w:b/>
          <w:bCs/>
          <w:color w:val="000000" w:themeColor="text1"/>
          <w:szCs w:val="21"/>
          <w14:textFill>
            <w14:solidFill>
              <w14:schemeClr w14:val="tx1"/>
            </w14:solidFill>
          </w14:textFill>
        </w:rPr>
        <w:fldChar w:fldCharType="separate"/>
      </w:r>
      <w:r>
        <w:rPr>
          <w:rFonts w:hint="eastAsia"/>
          <w:b/>
          <w:bCs/>
          <w:color w:val="000000" w:themeColor="text1"/>
          <w:szCs w:val="21"/>
          <w14:textFill>
            <w14:solidFill>
              <w14:schemeClr w14:val="tx1"/>
            </w14:solidFill>
          </w14:textFill>
        </w:rPr>
        <w:t>第二十条</w:t>
      </w:r>
      <w:r>
        <w:rPr>
          <w:b/>
          <w:bCs/>
          <w:color w:val="000000" w:themeColor="text1"/>
          <w:szCs w:val="21"/>
          <w14:textFill>
            <w14:solidFill>
              <w14:schemeClr w14:val="tx1"/>
            </w14:solidFill>
          </w14:textFill>
        </w:rPr>
        <w:fldChar w:fldCharType="end"/>
      </w:r>
      <w:r>
        <w:rPr>
          <w:rFonts w:hint="eastAsia"/>
          <w:b/>
          <w:bCs/>
          <w:color w:val="000000" w:themeColor="text1"/>
          <w:szCs w:val="21"/>
          <w14:textFill>
            <w14:solidFill>
              <w14:schemeClr w14:val="tx1"/>
            </w14:solidFill>
          </w14:textFill>
        </w:rPr>
        <w:t>约定。</w:t>
      </w:r>
    </w:p>
    <w:p>
      <w:pPr>
        <w:numPr>
          <w:ilvl w:val="0"/>
          <w:numId w:val="1"/>
        </w:numPr>
        <w:tabs>
          <w:tab w:val="left" w:pos="1134"/>
        </w:tabs>
        <w:adjustRightInd w:val="0"/>
        <w:spacing w:line="380" w:lineRule="exact"/>
        <w:ind w:left="0" w:firstLine="422" w:firstLineChars="200"/>
        <w:contextualSpacing/>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贷款期限</w:t>
      </w:r>
    </w:p>
    <w:p>
      <w:pPr>
        <w:adjustRightInd w:val="0"/>
        <w:spacing w:line="380" w:lineRule="exact"/>
        <w:ind w:firstLine="422" w:firstLineChars="200"/>
        <w:contextualSpacing/>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本合同项下贷款期限详见本合同</w:t>
      </w:r>
      <w:r>
        <w:rPr>
          <w:b/>
          <w:bCs/>
          <w:color w:val="000000" w:themeColor="text1"/>
          <w:szCs w:val="21"/>
          <w14:textFill>
            <w14:solidFill>
              <w14:schemeClr w14:val="tx1"/>
            </w14:solidFill>
          </w14:textFill>
        </w:rPr>
        <w:fldChar w:fldCharType="begin"/>
      </w:r>
      <w:r>
        <w:rPr>
          <w:b/>
          <w:bCs/>
          <w:color w:val="000000" w:themeColor="text1"/>
          <w:szCs w:val="21"/>
          <w14:textFill>
            <w14:solidFill>
              <w14:schemeClr w14:val="tx1"/>
            </w14:solidFill>
          </w14:textFill>
        </w:rPr>
        <w:instrText xml:space="preserve"> REF _Ref470034903 \r \h  \* MERGEFORMAT </w:instrText>
      </w:r>
      <w:r>
        <w:rPr>
          <w:b/>
          <w:bCs/>
          <w:color w:val="000000" w:themeColor="text1"/>
          <w:szCs w:val="21"/>
          <w14:textFill>
            <w14:solidFill>
              <w14:schemeClr w14:val="tx1"/>
            </w14:solidFill>
          </w14:textFill>
        </w:rPr>
        <w:fldChar w:fldCharType="separate"/>
      </w:r>
      <w:r>
        <w:rPr>
          <w:rFonts w:hint="eastAsia"/>
          <w:b/>
          <w:bCs/>
          <w:color w:val="000000" w:themeColor="text1"/>
          <w:szCs w:val="21"/>
          <w14:textFill>
            <w14:solidFill>
              <w14:schemeClr w14:val="tx1"/>
            </w14:solidFill>
          </w14:textFill>
        </w:rPr>
        <w:t>第二十条</w:t>
      </w:r>
      <w:r>
        <w:rPr>
          <w:b/>
          <w:bCs/>
          <w:color w:val="000000" w:themeColor="text1"/>
          <w:szCs w:val="21"/>
          <w14:textFill>
            <w14:solidFill>
              <w14:schemeClr w14:val="tx1"/>
            </w14:solidFill>
          </w14:textFill>
        </w:rPr>
        <w:fldChar w:fldCharType="end"/>
      </w:r>
      <w:r>
        <w:rPr>
          <w:rFonts w:hint="eastAsia"/>
          <w:b/>
          <w:bCs/>
          <w:color w:val="000000" w:themeColor="text1"/>
          <w:szCs w:val="21"/>
          <w14:textFill>
            <w14:solidFill>
              <w14:schemeClr w14:val="tx1"/>
            </w14:solidFill>
          </w14:textFill>
        </w:rPr>
        <w:t>约定。</w:t>
      </w:r>
    </w:p>
    <w:p>
      <w:pPr>
        <w:numPr>
          <w:ilvl w:val="0"/>
          <w:numId w:val="1"/>
        </w:numPr>
        <w:tabs>
          <w:tab w:val="left" w:pos="1134"/>
        </w:tabs>
        <w:adjustRightInd w:val="0"/>
        <w:spacing w:line="380" w:lineRule="exact"/>
        <w:ind w:left="0" w:firstLine="422" w:firstLineChars="200"/>
        <w:contextualSpacing/>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贷款用途</w:t>
      </w:r>
    </w:p>
    <w:p>
      <w:pPr>
        <w:pStyle w:val="33"/>
        <w:numPr>
          <w:ilvl w:val="1"/>
          <w:numId w:val="2"/>
        </w:numPr>
        <w:adjustRightInd w:val="0"/>
        <w:spacing w:line="380" w:lineRule="exact"/>
        <w:ind w:left="0" w:firstLine="422"/>
        <w:contextualSpacing/>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本合同项下贷款用于购买本合同</w:t>
      </w:r>
      <w:r>
        <w:rPr>
          <w:b/>
          <w:bCs/>
          <w:color w:val="000000" w:themeColor="text1"/>
          <w:szCs w:val="21"/>
          <w14:textFill>
            <w14:solidFill>
              <w14:schemeClr w14:val="tx1"/>
            </w14:solidFill>
          </w14:textFill>
        </w:rPr>
        <w:fldChar w:fldCharType="begin"/>
      </w:r>
      <w:r>
        <w:rPr>
          <w:b/>
          <w:bCs/>
          <w:color w:val="000000" w:themeColor="text1"/>
          <w:szCs w:val="21"/>
          <w14:textFill>
            <w14:solidFill>
              <w14:schemeClr w14:val="tx1"/>
            </w14:solidFill>
          </w14:textFill>
        </w:rPr>
        <w:instrText xml:space="preserve"> REF _Ref470034903 \r \h  \* MERGEFORMAT </w:instrText>
      </w:r>
      <w:r>
        <w:rPr>
          <w:b/>
          <w:bCs/>
          <w:color w:val="000000" w:themeColor="text1"/>
          <w:szCs w:val="21"/>
          <w14:textFill>
            <w14:solidFill>
              <w14:schemeClr w14:val="tx1"/>
            </w14:solidFill>
          </w14:textFill>
        </w:rPr>
        <w:fldChar w:fldCharType="separate"/>
      </w:r>
      <w:r>
        <w:rPr>
          <w:rFonts w:hint="eastAsia"/>
          <w:b/>
          <w:bCs/>
          <w:color w:val="000000" w:themeColor="text1"/>
          <w:szCs w:val="21"/>
          <w14:textFill>
            <w14:solidFill>
              <w14:schemeClr w14:val="tx1"/>
            </w14:solidFill>
          </w14:textFill>
        </w:rPr>
        <w:t>第二十条</w:t>
      </w:r>
      <w:r>
        <w:rPr>
          <w:b/>
          <w:bCs/>
          <w:color w:val="000000" w:themeColor="text1"/>
          <w:szCs w:val="21"/>
          <w14:textFill>
            <w14:solidFill>
              <w14:schemeClr w14:val="tx1"/>
            </w14:solidFill>
          </w14:textFill>
        </w:rPr>
        <w:fldChar w:fldCharType="end"/>
      </w:r>
      <w:r>
        <w:rPr>
          <w:rFonts w:hint="eastAsia"/>
          <w:b/>
          <w:bCs/>
          <w:color w:val="000000" w:themeColor="text1"/>
          <w:szCs w:val="21"/>
          <w14:textFill>
            <w14:solidFill>
              <w14:schemeClr w14:val="tx1"/>
            </w14:solidFill>
          </w14:textFill>
        </w:rPr>
        <w:t>约定的房屋。</w:t>
      </w:r>
    </w:p>
    <w:p>
      <w:pPr>
        <w:numPr>
          <w:ilvl w:val="1"/>
          <w:numId w:val="2"/>
        </w:numPr>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贷款期间，甲方承诺本合同项下贷款除按本合同约定用途使用外，不得用于从事股本权益性投资，不得用于购买股票、有价证券、期货、理财产品等金融产品或金融衍生产品，不得用于从事房地产经营，不得用于借贷牟取非法收入，不得套取现金，不得用于监管机构禁止银行贷款进入或支持的领域，不得用于其他违反国家法律、政策规定的领域。否则，构成甲方违约事件。</w:t>
      </w:r>
    </w:p>
    <w:p>
      <w:pPr>
        <w:numPr>
          <w:ilvl w:val="0"/>
          <w:numId w:val="1"/>
        </w:numPr>
        <w:tabs>
          <w:tab w:val="left" w:pos="1134"/>
        </w:tabs>
        <w:adjustRightInd w:val="0"/>
        <w:spacing w:line="380" w:lineRule="exact"/>
        <w:ind w:left="0" w:firstLine="422" w:firstLineChars="200"/>
        <w:contextualSpacing/>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贷款利率</w:t>
      </w:r>
    </w:p>
    <w:p>
      <w:pPr>
        <w:pStyle w:val="33"/>
        <w:numPr>
          <w:ilvl w:val="1"/>
          <w:numId w:val="3"/>
        </w:numPr>
        <w:adjustRightInd w:val="0"/>
        <w:spacing w:line="380" w:lineRule="exact"/>
        <w:ind w:left="0" w:firstLine="420"/>
        <w:contextualSpacing/>
        <w:rPr>
          <w:color w:val="000000" w:themeColor="text1"/>
          <w:szCs w:val="21"/>
          <w14:textFill>
            <w14:solidFill>
              <w14:schemeClr w14:val="tx1"/>
            </w14:solidFill>
          </w14:textFill>
        </w:rPr>
      </w:pPr>
      <w:bookmarkStart w:id="0" w:name="_Ref472843073"/>
      <w:bookmarkStart w:id="1" w:name="_Ref473140374"/>
      <w:r>
        <w:rPr>
          <w:rFonts w:hint="eastAsia"/>
          <w:color w:val="000000" w:themeColor="text1"/>
          <w:szCs w:val="21"/>
          <w14:textFill>
            <w14:solidFill>
              <w14:schemeClr w14:val="tx1"/>
            </w14:solidFill>
          </w14:textFill>
        </w:rPr>
        <w:t>贷款利率确定方式</w:t>
      </w:r>
      <w:bookmarkEnd w:id="0"/>
      <w:bookmarkEnd w:id="1"/>
    </w:p>
    <w:p>
      <w:pPr>
        <w:pStyle w:val="33"/>
        <w:numPr>
          <w:ilvl w:val="2"/>
          <w:numId w:val="4"/>
        </w:numPr>
        <w:tabs>
          <w:tab w:val="left" w:pos="993"/>
        </w:tabs>
        <w:adjustRightInd w:val="0"/>
        <w:spacing w:line="380" w:lineRule="exact"/>
        <w:ind w:left="0" w:firstLine="422"/>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本合同项下各类贷款利率为年化单利，具体确定方式详见本合同</w:t>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REF _Ref470034903 \r \h  \* MERGEFORMAT </w:instrText>
      </w:r>
      <w:r>
        <w:rPr>
          <w:b/>
          <w:color w:val="000000" w:themeColor="text1"/>
          <w:szCs w:val="21"/>
          <w14:textFill>
            <w14:solidFill>
              <w14:schemeClr w14:val="tx1"/>
            </w14:solidFill>
          </w14:textFill>
        </w:rPr>
        <w:fldChar w:fldCharType="separate"/>
      </w:r>
      <w:r>
        <w:rPr>
          <w:rFonts w:hint="eastAsia"/>
          <w:b/>
          <w:color w:val="000000" w:themeColor="text1"/>
          <w:szCs w:val="21"/>
          <w14:textFill>
            <w14:solidFill>
              <w14:schemeClr w14:val="tx1"/>
            </w14:solidFill>
          </w14:textFill>
        </w:rPr>
        <w:t>第二十条</w: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约定。</w:t>
      </w:r>
    </w:p>
    <w:p>
      <w:pPr>
        <w:numPr>
          <w:ilvl w:val="2"/>
          <w:numId w:val="4"/>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如实际单笔提款日与本合同签订日间隔超过六个月时，乙方有权按照届时乙方相关利率政策调整该笔贷款利率，该笔贷款的首期利率以借款凭证（借据）记载为准。</w:t>
      </w:r>
    </w:p>
    <w:p>
      <w:pPr>
        <w:numPr>
          <w:ilvl w:val="2"/>
          <w:numId w:val="4"/>
        </w:numPr>
        <w:tabs>
          <w:tab w:val="left" w:pos="993"/>
        </w:tabs>
        <w:adjustRightInd w:val="0"/>
        <w:spacing w:line="380" w:lineRule="exact"/>
        <w:ind w:left="0" w:firstLine="422" w:firstLineChars="200"/>
        <w:contextualSpacing/>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利率折算公式为：季利率</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年利率</w:t>
      </w:r>
      <w:r>
        <w:rPr>
          <w:b/>
          <w:bCs/>
          <w:color w:val="000000" w:themeColor="text1"/>
          <w:szCs w:val="21"/>
          <w14:textFill>
            <w14:solidFill>
              <w14:schemeClr w14:val="tx1"/>
            </w14:solidFill>
          </w14:textFill>
        </w:rPr>
        <w:t>÷4</w:t>
      </w:r>
      <w:r>
        <w:rPr>
          <w:rFonts w:hint="eastAsia"/>
          <w:b/>
          <w:bCs/>
          <w:color w:val="000000" w:themeColor="text1"/>
          <w:szCs w:val="21"/>
          <w14:textFill>
            <w14:solidFill>
              <w14:schemeClr w14:val="tx1"/>
            </w14:solidFill>
          </w14:textFill>
        </w:rPr>
        <w:t>，月利率</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年利率</w:t>
      </w:r>
      <w:r>
        <w:rPr>
          <w:b/>
          <w:bCs/>
          <w:color w:val="000000" w:themeColor="text1"/>
          <w:szCs w:val="21"/>
          <w14:textFill>
            <w14:solidFill>
              <w14:schemeClr w14:val="tx1"/>
            </w14:solidFill>
          </w14:textFill>
        </w:rPr>
        <w:t>÷12</w:t>
      </w:r>
      <w:r>
        <w:rPr>
          <w:rFonts w:hint="eastAsia"/>
          <w:b/>
          <w:bCs/>
          <w:color w:val="000000" w:themeColor="text1"/>
          <w:szCs w:val="21"/>
          <w14:textFill>
            <w14:solidFill>
              <w14:schemeClr w14:val="tx1"/>
            </w14:solidFill>
          </w14:textFill>
        </w:rPr>
        <w:t>，日利率</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年利率</w:t>
      </w:r>
      <w:r>
        <w:rPr>
          <w:b/>
          <w:bCs/>
          <w:color w:val="000000" w:themeColor="text1"/>
          <w:szCs w:val="21"/>
          <w14:textFill>
            <w14:solidFill>
              <w14:schemeClr w14:val="tx1"/>
            </w14:solidFill>
          </w14:textFill>
        </w:rPr>
        <w:t>÷360</w:t>
      </w:r>
      <w:r>
        <w:rPr>
          <w:rFonts w:hint="eastAsia"/>
          <w:b/>
          <w:bCs/>
          <w:color w:val="000000" w:themeColor="text1"/>
          <w:szCs w:val="21"/>
          <w14:textFill>
            <w14:solidFill>
              <w14:schemeClr w14:val="tx1"/>
            </w14:solidFill>
          </w14:textFill>
        </w:rPr>
        <w:t>。</w:t>
      </w:r>
    </w:p>
    <w:p>
      <w:pPr>
        <w:pStyle w:val="33"/>
        <w:numPr>
          <w:ilvl w:val="1"/>
          <w:numId w:val="3"/>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贷款利率调整方式</w:t>
      </w:r>
    </w:p>
    <w:p>
      <w:pPr>
        <w:pStyle w:val="26"/>
        <w:spacing w:line="380" w:lineRule="exact"/>
        <w:contextualSpacing/>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本合同项下贷款利率可采用以下利率调整方式，具体调整方式详见本合同</w:t>
      </w:r>
      <w:r>
        <w:rPr>
          <w:rFonts w:eastAsia="宋体"/>
          <w:color w:val="000000" w:themeColor="text1"/>
          <w:sz w:val="21"/>
          <w:szCs w:val="21"/>
          <w14:textFill>
            <w14:solidFill>
              <w14:schemeClr w14:val="tx1"/>
            </w14:solidFill>
          </w14:textFill>
        </w:rPr>
        <w:fldChar w:fldCharType="begin"/>
      </w:r>
      <w:r>
        <w:rPr>
          <w:rFonts w:eastAsia="宋体"/>
          <w:color w:val="000000" w:themeColor="text1"/>
          <w:sz w:val="21"/>
          <w:szCs w:val="21"/>
          <w14:textFill>
            <w14:solidFill>
              <w14:schemeClr w14:val="tx1"/>
            </w14:solidFill>
          </w14:textFill>
        </w:rPr>
        <w:instrText xml:space="preserve"> REF _Ref470034903 \r \h  \* MERGEFORMAT </w:instrText>
      </w:r>
      <w:r>
        <w:rPr>
          <w:rFonts w:eastAsia="宋体"/>
          <w:color w:val="000000" w:themeColor="text1"/>
          <w:sz w:val="21"/>
          <w:szCs w:val="21"/>
          <w14:textFill>
            <w14:solidFill>
              <w14:schemeClr w14:val="tx1"/>
            </w14:solidFill>
          </w14:textFill>
        </w:rPr>
        <w:fldChar w:fldCharType="separate"/>
      </w:r>
      <w:r>
        <w:rPr>
          <w:rFonts w:hint="eastAsia" w:eastAsia="宋体"/>
          <w:color w:val="000000" w:themeColor="text1"/>
          <w:sz w:val="21"/>
          <w:szCs w:val="21"/>
          <w14:textFill>
            <w14:solidFill>
              <w14:schemeClr w14:val="tx1"/>
            </w14:solidFill>
          </w14:textFill>
        </w:rPr>
        <w:t>第二十条</w:t>
      </w:r>
      <w:r>
        <w:rPr>
          <w:rFonts w:eastAsia="宋体"/>
          <w:color w:val="000000" w:themeColor="text1"/>
          <w:sz w:val="21"/>
          <w:szCs w:val="21"/>
          <w14:textFill>
            <w14:solidFill>
              <w14:schemeClr w14:val="tx1"/>
            </w14:solidFill>
          </w14:textFill>
        </w:rPr>
        <w:fldChar w:fldCharType="end"/>
      </w:r>
      <w:r>
        <w:rPr>
          <w:rFonts w:hint="eastAsia" w:eastAsia="宋体"/>
          <w:color w:val="000000" w:themeColor="text1"/>
          <w:sz w:val="21"/>
          <w:szCs w:val="21"/>
          <w14:textFill>
            <w14:solidFill>
              <w14:schemeClr w14:val="tx1"/>
            </w14:solidFill>
          </w14:textFill>
        </w:rPr>
        <w:t>约定：</w:t>
      </w:r>
    </w:p>
    <w:p>
      <w:pPr>
        <w:pStyle w:val="33"/>
        <w:numPr>
          <w:ilvl w:val="2"/>
          <w:numId w:val="5"/>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固定利率，贷款期内利率保持不变。</w:t>
      </w:r>
    </w:p>
    <w:p>
      <w:pPr>
        <w:numPr>
          <w:ilvl w:val="2"/>
          <w:numId w:val="5"/>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浮动利率，调整后的贷款利率为利率调整日所适用的定价基础利率按照上述第</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_Ref473140374 \r \h  \* MERGEFORMAT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4</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款约定的方式进行浮动后所确定的利率，利率调整日如遇定价基础利率发布日，则利率调整时点为当日日终。调整方式包括以下三种：</w:t>
      </w:r>
    </w:p>
    <w:p>
      <w:pPr>
        <w:numPr>
          <w:ilvl w:val="2"/>
          <w:numId w:val="6"/>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对日调整，即自首次提款日起，按照本合同第二十条约定的周期调整利率，利率调整日为首次提款日在调整当月的对应日，调整当月没有首次提款日对应日的，则调整当月最后一日为利率调整日。</w:t>
      </w:r>
    </w:p>
    <w:p>
      <w:pPr>
        <w:numPr>
          <w:ilvl w:val="2"/>
          <w:numId w:val="6"/>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固定日调整，即利率调整日为每年固定日。</w:t>
      </w:r>
    </w:p>
    <w:p>
      <w:pPr>
        <w:numPr>
          <w:ilvl w:val="2"/>
          <w:numId w:val="6"/>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立即调整，即自首次提款日起，定价基础利率调整日为本贷款利率的调整日。</w:t>
      </w:r>
    </w:p>
    <w:p>
      <w:pPr>
        <w:pStyle w:val="33"/>
        <w:numPr>
          <w:ilvl w:val="1"/>
          <w:numId w:val="3"/>
        </w:numPr>
        <w:adjustRightInd w:val="0"/>
        <w:spacing w:line="380" w:lineRule="exact"/>
        <w:ind w:left="0" w:firstLine="420"/>
        <w:contextualSpacing/>
        <w:rPr>
          <w:color w:val="000000" w:themeColor="text1"/>
          <w:szCs w:val="21"/>
          <w14:textFill>
            <w14:solidFill>
              <w14:schemeClr w14:val="tx1"/>
            </w14:solidFill>
          </w14:textFill>
        </w:rPr>
      </w:pPr>
      <w:bookmarkStart w:id="2" w:name="_Ref472267738"/>
      <w:r>
        <w:rPr>
          <w:rFonts w:hint="eastAsia"/>
          <w:color w:val="000000" w:themeColor="text1"/>
          <w:szCs w:val="21"/>
          <w14:textFill>
            <w14:solidFill>
              <w14:schemeClr w14:val="tx1"/>
            </w14:solidFill>
          </w14:textFill>
        </w:rPr>
        <w:t>定价基础利率确定方式</w:t>
      </w:r>
    </w:p>
    <w:p>
      <w:pPr>
        <w:pStyle w:val="26"/>
        <w:spacing w:line="380" w:lineRule="exact"/>
        <w:contextualSpacing/>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本合同项下贷款所适用的定价基础利率确定方式详见本合同</w:t>
      </w:r>
      <w:r>
        <w:rPr>
          <w:rFonts w:eastAsia="宋体"/>
          <w:color w:val="000000" w:themeColor="text1"/>
          <w:sz w:val="21"/>
          <w:szCs w:val="21"/>
          <w14:textFill>
            <w14:solidFill>
              <w14:schemeClr w14:val="tx1"/>
            </w14:solidFill>
          </w14:textFill>
        </w:rPr>
        <w:fldChar w:fldCharType="begin"/>
      </w:r>
      <w:r>
        <w:rPr>
          <w:rFonts w:eastAsia="宋体"/>
          <w:color w:val="000000" w:themeColor="text1"/>
          <w:sz w:val="21"/>
          <w:szCs w:val="21"/>
          <w14:textFill>
            <w14:solidFill>
              <w14:schemeClr w14:val="tx1"/>
            </w14:solidFill>
          </w14:textFill>
        </w:rPr>
        <w:instrText xml:space="preserve"> REF _Ref470034903 \r \h  \* MERGEFORMAT </w:instrText>
      </w:r>
      <w:r>
        <w:rPr>
          <w:rFonts w:eastAsia="宋体"/>
          <w:color w:val="000000" w:themeColor="text1"/>
          <w:sz w:val="21"/>
          <w:szCs w:val="21"/>
          <w14:textFill>
            <w14:solidFill>
              <w14:schemeClr w14:val="tx1"/>
            </w14:solidFill>
          </w14:textFill>
        </w:rPr>
        <w:fldChar w:fldCharType="separate"/>
      </w:r>
      <w:r>
        <w:rPr>
          <w:rFonts w:hint="eastAsia" w:eastAsia="宋体"/>
          <w:color w:val="000000" w:themeColor="text1"/>
          <w:sz w:val="21"/>
          <w:szCs w:val="21"/>
          <w14:textFill>
            <w14:solidFill>
              <w14:schemeClr w14:val="tx1"/>
            </w14:solidFill>
          </w14:textFill>
        </w:rPr>
        <w:t>第二十条</w:t>
      </w:r>
      <w:r>
        <w:rPr>
          <w:rFonts w:eastAsia="宋体"/>
          <w:color w:val="000000" w:themeColor="text1"/>
          <w:sz w:val="21"/>
          <w:szCs w:val="21"/>
          <w14:textFill>
            <w14:solidFill>
              <w14:schemeClr w14:val="tx1"/>
            </w14:solidFill>
          </w14:textFill>
        </w:rPr>
        <w:fldChar w:fldCharType="end"/>
      </w:r>
      <w:r>
        <w:rPr>
          <w:rFonts w:hint="eastAsia" w:eastAsia="宋体"/>
          <w:color w:val="000000" w:themeColor="text1"/>
          <w:sz w:val="21"/>
          <w:szCs w:val="21"/>
          <w14:textFill>
            <w14:solidFill>
              <w14:schemeClr w14:val="tx1"/>
            </w14:solidFill>
          </w14:textFill>
        </w:rPr>
        <w:t>约定。</w:t>
      </w:r>
    </w:p>
    <w:bookmarkEnd w:id="2"/>
    <w:p>
      <w:pPr>
        <w:pStyle w:val="33"/>
        <w:numPr>
          <w:ilvl w:val="1"/>
          <w:numId w:val="3"/>
        </w:numPr>
        <w:adjustRightInd w:val="0"/>
        <w:spacing w:line="380" w:lineRule="exact"/>
        <w:ind w:left="0" w:firstLine="422"/>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如遇国家取消定价基础利率、市场不再公布定价基础利率或者目前的贷款利率不能满足乙方筹措资金的成本，乙方有权根据同期的国家利率政策，按照公平诚信的原则，并参照行业惯例、利率状况等因素，重新确定贷款利率后通知甲方。甲方有异议的，应与乙方协商。自乙方发出通知之日起五个工作日内协商不成的，乙方有权宣告本合同项下贷款提前到期，甲方应立即清偿剩余贷款本息。</w:t>
      </w:r>
    </w:p>
    <w:p>
      <w:pPr>
        <w:pStyle w:val="33"/>
        <w:numPr>
          <w:ilvl w:val="1"/>
          <w:numId w:val="3"/>
        </w:numPr>
        <w:adjustRightInd w:val="0"/>
        <w:spacing w:line="380" w:lineRule="exact"/>
        <w:ind w:left="0" w:firstLine="422"/>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若贷款期间出现利率调整或提前还款等情况，贷款本息按照本合同约定自动进行相应调整；罚息、复利计收方式或计收标准按照本合同约定、中国人民银行及乙方有关规定进行相应的调整，乙方无需征得甲方或担保人（如有）的同意。</w:t>
      </w:r>
    </w:p>
    <w:p>
      <w:pPr>
        <w:pStyle w:val="33"/>
        <w:numPr>
          <w:ilvl w:val="1"/>
          <w:numId w:val="3"/>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贴息是指由甲乙双方以外的第三方在贴息期限内为甲方分担本合同下部分或全部贷款利息的行为。第三方支付贴息后，任何情形下甲方均不得要求返还贴息。甲乙双方进一步明确，如本合同采用第三方贴息的，甲方仍应确保本合同约定全部利息得以向乙方清偿，即，如承诺进行贴息的第三方未在承诺的期限内向乙方足额支付贴息的，乙方有权要求甲方另行按贴息金额支付贷款利息，确保乙方实际收取的利息不低于本合同约定的全部贷款利息。</w:t>
      </w:r>
    </w:p>
    <w:p>
      <w:pPr>
        <w:pStyle w:val="33"/>
        <w:numPr>
          <w:ilvl w:val="1"/>
          <w:numId w:val="3"/>
        </w:numPr>
        <w:adjustRightInd w:val="0"/>
        <w:spacing w:line="380" w:lineRule="exact"/>
        <w:ind w:left="0" w:firstLine="422"/>
        <w:contextualSpacing/>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若贷款期间出现利率优惠活动，包括利率折扣、利息优惠券补贴等情况，贷款执行利率按照利率优惠的活动方案相应阶段性调整，具体活动方案以乙方通过网上银行、网站、其他电子渠道或营业网点等适当方式公告的内容为准。</w:t>
      </w:r>
    </w:p>
    <w:p>
      <w:pPr>
        <w:numPr>
          <w:ilvl w:val="0"/>
          <w:numId w:val="1"/>
        </w:numPr>
        <w:tabs>
          <w:tab w:val="left" w:pos="1134"/>
        </w:tabs>
        <w:adjustRightInd w:val="0"/>
        <w:spacing w:line="380" w:lineRule="exact"/>
        <w:ind w:left="0" w:firstLine="420" w:firstLineChars="200"/>
        <w:contextualSpacing/>
        <w:rPr>
          <w:b/>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贷款发放和支付</w:t>
      </w:r>
    </w:p>
    <w:p>
      <w:pPr>
        <w:pStyle w:val="33"/>
        <w:numPr>
          <w:ilvl w:val="1"/>
          <w:numId w:val="7"/>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除非乙方豁免如下一项或几项条件，乙方发放本合同项下贷款的前提是以下条件得到全部满足：</w:t>
      </w:r>
    </w:p>
    <w:p>
      <w:pPr>
        <w:pStyle w:val="33"/>
        <w:numPr>
          <w:ilvl w:val="2"/>
          <w:numId w:val="8"/>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甲方已向乙方提供购房合同正本及已足额支付首付款的付款凭证等有关资料和文件；</w:t>
      </w:r>
    </w:p>
    <w:p>
      <w:pPr>
        <w:numPr>
          <w:ilvl w:val="2"/>
          <w:numId w:val="8"/>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本合同已经各方签署生效，且甲方、丙方没有发生违反本合同所约定的情形；</w:t>
      </w:r>
    </w:p>
    <w:p>
      <w:pPr>
        <w:numPr>
          <w:ilvl w:val="2"/>
          <w:numId w:val="8"/>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甲方履行了乙方要求的申请贷款和担保手续，本合同项下担保方式已生效且持续有效，未发生或将要发生乙方认为不利于其债权、担保权的变化；</w:t>
      </w:r>
    </w:p>
    <w:p>
      <w:pPr>
        <w:numPr>
          <w:ilvl w:val="2"/>
          <w:numId w:val="8"/>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甲方履行及签署了乙方发放贷款要求的其他手续及相关文件，并经乙方审查同意；</w:t>
      </w:r>
    </w:p>
    <w:p>
      <w:pPr>
        <w:numPr>
          <w:ilvl w:val="2"/>
          <w:numId w:val="8"/>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乙方认为必要的其他条件。</w:t>
      </w:r>
    </w:p>
    <w:p>
      <w:pPr>
        <w:numPr>
          <w:ilvl w:val="1"/>
          <w:numId w:val="7"/>
        </w:numPr>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本合同项下贷款采用受托支付方式，即乙方经审查同意发放贷款后，应根据甲方的提款申请和支付委托，将贷款资金支付至甲方指定且乙方认可的符合本合同约定用途的支付对象账户，账户信息</w:t>
      </w:r>
      <w:r>
        <w:rPr>
          <w:rFonts w:hint="eastAsia"/>
          <w:color w:val="000000" w:themeColor="text1"/>
          <w:szCs w:val="21"/>
          <w14:textFill>
            <w14:solidFill>
              <w14:schemeClr w14:val="tx1"/>
            </w14:solidFill>
          </w14:textFill>
        </w:rPr>
        <w:t>详</w:t>
      </w:r>
      <w:r>
        <w:rPr>
          <w:rFonts w:hint="eastAsia"/>
          <w:color w:val="000000" w:themeColor="text1"/>
          <w:kern w:val="0"/>
          <w:szCs w:val="21"/>
          <w14:textFill>
            <w14:solidFill>
              <w14:schemeClr w14:val="tx1"/>
            </w14:solidFill>
          </w14:textFill>
        </w:rPr>
        <w:t>见本合同</w:t>
      </w:r>
      <w:r>
        <w:rPr>
          <w:color w:val="000000" w:themeColor="text1"/>
          <w:kern w:val="0"/>
          <w:szCs w:val="21"/>
          <w14:textFill>
            <w14:solidFill>
              <w14:schemeClr w14:val="tx1"/>
            </w14:solidFill>
          </w14:textFill>
        </w:rPr>
        <w:fldChar w:fldCharType="begin"/>
      </w:r>
      <w:r>
        <w:rPr>
          <w:color w:val="000000" w:themeColor="text1"/>
          <w:kern w:val="0"/>
          <w:szCs w:val="21"/>
          <w14:textFill>
            <w14:solidFill>
              <w14:schemeClr w14:val="tx1"/>
            </w14:solidFill>
          </w14:textFill>
        </w:rPr>
        <w:instrText xml:space="preserve"> REF _Ref470034903 \r \h  \* MERGEFORMAT </w:instrText>
      </w:r>
      <w:r>
        <w:rPr>
          <w:color w:val="000000" w:themeColor="text1"/>
          <w:kern w:val="0"/>
          <w:szCs w:val="21"/>
          <w14:textFill>
            <w14:solidFill>
              <w14:schemeClr w14:val="tx1"/>
            </w14:solidFill>
          </w14:textFill>
        </w:rPr>
        <w:fldChar w:fldCharType="separate"/>
      </w:r>
      <w:r>
        <w:rPr>
          <w:rFonts w:hint="eastAsia"/>
          <w:color w:val="000000" w:themeColor="text1"/>
          <w:kern w:val="0"/>
          <w:szCs w:val="21"/>
          <w14:textFill>
            <w14:solidFill>
              <w14:schemeClr w14:val="tx1"/>
            </w14:solidFill>
          </w14:textFill>
        </w:rPr>
        <w:t>第二十条</w:t>
      </w:r>
      <w:r>
        <w:rPr>
          <w:color w:val="000000" w:themeColor="text1"/>
          <w:kern w:val="0"/>
          <w:szCs w:val="21"/>
          <w14:textFill>
            <w14:solidFill>
              <w14:schemeClr w14:val="tx1"/>
            </w14:solidFill>
          </w14:textFill>
        </w:rPr>
        <w:fldChar w:fldCharType="end"/>
      </w:r>
      <w:r>
        <w:rPr>
          <w:rFonts w:hint="eastAsia"/>
          <w:color w:val="000000" w:themeColor="text1"/>
          <w:kern w:val="0"/>
          <w:szCs w:val="21"/>
          <w14:textFill>
            <w14:solidFill>
              <w14:schemeClr w14:val="tx1"/>
            </w14:solidFill>
          </w14:textFill>
        </w:rPr>
        <w:t>约定且未经甲乙双方同意不得变更。</w:t>
      </w:r>
    </w:p>
    <w:p>
      <w:pPr>
        <w:numPr>
          <w:ilvl w:val="1"/>
          <w:numId w:val="7"/>
        </w:numPr>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贷款资金从乙方账户划出即视为乙方的贷款发放义务履行完毕，贷款划出日即为实际贷款发放日，乙方自此日起开始计收利息。</w:t>
      </w:r>
    </w:p>
    <w:p>
      <w:pPr>
        <w:numPr>
          <w:ilvl w:val="0"/>
          <w:numId w:val="1"/>
        </w:numPr>
        <w:tabs>
          <w:tab w:val="left" w:pos="1134"/>
        </w:tabs>
        <w:adjustRightInd w:val="0"/>
        <w:spacing w:line="380" w:lineRule="exact"/>
        <w:ind w:left="0" w:firstLine="422" w:firstLineChars="200"/>
        <w:contextualSpacing/>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贷款偿还</w:t>
      </w:r>
    </w:p>
    <w:p>
      <w:pPr>
        <w:pStyle w:val="33"/>
        <w:numPr>
          <w:ilvl w:val="1"/>
          <w:numId w:val="9"/>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甲方在本合同项下贷款的还款方式详见本合同</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_Ref470034903 \r \h  \* MERGEFORMAT </w:instrText>
      </w:r>
      <w:r>
        <w:rPr>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第二十条</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约定，包括但不限于如下还款方式：</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到期一次还本付息法，即贷款到期日一次性偿还贷款本金并支付所有利息。</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drawing>
          <wp:anchor distT="0" distB="0" distL="114300" distR="114300" simplePos="0" relativeHeight="251659264" behindDoc="0" locked="0" layoutInCell="1" allowOverlap="1">
            <wp:simplePos x="0" y="0"/>
            <wp:positionH relativeFrom="margin">
              <wp:posOffset>668655</wp:posOffset>
            </wp:positionH>
            <wp:positionV relativeFrom="paragraph">
              <wp:posOffset>516255</wp:posOffset>
            </wp:positionV>
            <wp:extent cx="3307080" cy="542925"/>
            <wp:effectExtent l="0" t="0" r="7620" b="0"/>
            <wp:wrapTopAndBottom/>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307080" cy="542925"/>
                    </a:xfrm>
                    <a:prstGeom prst="rect">
                      <a:avLst/>
                    </a:prstGeom>
                    <a:noFill/>
                    <a:ln w="9525">
                      <a:noFill/>
                    </a:ln>
                  </pic:spPr>
                </pic:pic>
              </a:graphicData>
            </a:graphic>
          </wp:anchor>
        </w:drawing>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按月等额本息还款法，即贷款期限内每月以相等的额度偿还贷款本息，借款到期时利随本清，计算公式为：</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按月等额本金还款法，即贷款期限内每月以相等的额度偿还贷款本金，贷款利息随本金逐月递减并逐月结清，借款到期时利随本清，计算公式为：</w:t>
      </w:r>
    </w:p>
    <w:p>
      <w:pPr>
        <w:tabs>
          <w:tab w:val="left" w:pos="993"/>
        </w:tabs>
        <w:adjustRightInd w:val="0"/>
        <w:spacing w:line="380" w:lineRule="exact"/>
        <w:ind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drawing>
          <wp:anchor distT="0" distB="0" distL="114300" distR="114300" simplePos="0" relativeHeight="251660288" behindDoc="0" locked="0" layoutInCell="1" allowOverlap="1">
            <wp:simplePos x="0" y="0"/>
            <wp:positionH relativeFrom="column">
              <wp:posOffset>505460</wp:posOffset>
            </wp:positionH>
            <wp:positionV relativeFrom="paragraph">
              <wp:posOffset>130810</wp:posOffset>
            </wp:positionV>
            <wp:extent cx="3930650" cy="618490"/>
            <wp:effectExtent l="0" t="0" r="0" b="0"/>
            <wp:wrapSquare wrapText="bothSides"/>
            <wp:docPr id="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930650" cy="618490"/>
                    </a:xfrm>
                    <a:prstGeom prst="rect">
                      <a:avLst/>
                    </a:prstGeom>
                    <a:noFill/>
                    <a:ln w="9525">
                      <a:noFill/>
                    </a:ln>
                  </pic:spPr>
                </pic:pic>
              </a:graphicData>
            </a:graphic>
          </wp:anchor>
        </w:drawing>
      </w:r>
    </w:p>
    <w:p>
      <w:pPr>
        <w:tabs>
          <w:tab w:val="left" w:pos="993"/>
        </w:tabs>
        <w:adjustRightInd w:val="0"/>
        <w:spacing w:line="380" w:lineRule="exact"/>
        <w:ind w:firstLine="420" w:firstLineChars="200"/>
        <w:contextualSpacing/>
        <w:textAlignment w:val="baseline"/>
        <w:rPr>
          <w:color w:val="000000" w:themeColor="text1"/>
          <w:szCs w:val="21"/>
          <w14:textFill>
            <w14:solidFill>
              <w14:schemeClr w14:val="tx1"/>
            </w14:solidFill>
          </w14:textFill>
        </w:rPr>
      </w:pPr>
    </w:p>
    <w:p>
      <w:pPr>
        <w:tabs>
          <w:tab w:val="left" w:pos="993"/>
        </w:tabs>
        <w:adjustRightInd w:val="0"/>
        <w:spacing w:line="380" w:lineRule="exact"/>
        <w:ind w:firstLine="420" w:firstLineChars="200"/>
        <w:contextualSpacing/>
        <w:textAlignment w:val="baseline"/>
        <w:rPr>
          <w:color w:val="000000" w:themeColor="text1"/>
          <w:szCs w:val="21"/>
          <w14:textFill>
            <w14:solidFill>
              <w14:schemeClr w14:val="tx1"/>
            </w14:solidFill>
          </w14:textFill>
        </w:rPr>
      </w:pPr>
    </w:p>
    <w:p>
      <w:pPr>
        <w:tabs>
          <w:tab w:val="left" w:pos="993"/>
        </w:tabs>
        <w:adjustRightInd w:val="0"/>
        <w:spacing w:line="380" w:lineRule="exact"/>
        <w:ind w:firstLine="420" w:firstLineChars="200"/>
        <w:contextualSpacing/>
        <w:textAlignment w:val="baseline"/>
        <w:rPr>
          <w:color w:val="000000" w:themeColor="text1"/>
          <w:szCs w:val="21"/>
          <w14:textFill>
            <w14:solidFill>
              <w14:schemeClr w14:val="tx1"/>
            </w14:solidFill>
          </w14:textFill>
        </w:rPr>
      </w:pP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按月付息到期一次还本付息法，即每月偿还贷款利息，到期一次性偿还贷款本金及当期利息，借款到期时利随本清。</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每三个月付息到期一次还本付息法，即以三个月为一期，每期偿还贷款利息，到期一次性偿还贷款本金及当期利息，借款到期时利随本清。</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“单双周供”</w:t>
      </w:r>
      <w:r>
        <w:rPr>
          <w:rFonts w:hint="eastAsia"/>
          <w:color w:val="000000" w:themeColor="text1"/>
          <w:szCs w:val="21"/>
          <w14:textFill>
            <w14:solidFill>
              <w14:schemeClr w14:val="tx1"/>
            </w14:solidFill>
          </w14:textFill>
        </w:rPr>
        <w:t>等额本息还款法，即还款周期为</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日或</w:t>
      </w:r>
      <w:r>
        <w:rPr>
          <w:color w:val="000000" w:themeColor="text1"/>
          <w:szCs w:val="21"/>
          <w14:textFill>
            <w14:solidFill>
              <w14:schemeClr w14:val="tx1"/>
            </w14:solidFill>
          </w14:textFill>
        </w:rPr>
        <w:t>14</w:t>
      </w:r>
      <w:r>
        <w:rPr>
          <w:rFonts w:hint="eastAsia"/>
          <w:color w:val="000000" w:themeColor="text1"/>
          <w:szCs w:val="21"/>
          <w14:textFill>
            <w14:solidFill>
              <w14:schemeClr w14:val="tx1"/>
            </w14:solidFill>
          </w14:textFill>
        </w:rPr>
        <w:t>日的等额本息还款法，借款到期时利随本清。</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“单双周供”</w:t>
      </w:r>
      <w:r>
        <w:rPr>
          <w:rFonts w:hint="eastAsia"/>
          <w:color w:val="000000" w:themeColor="text1"/>
          <w:szCs w:val="21"/>
          <w14:textFill>
            <w14:solidFill>
              <w14:schemeClr w14:val="tx1"/>
            </w14:solidFill>
          </w14:textFill>
        </w:rPr>
        <w:t>等额本金还款法，即还款周期为</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日或</w:t>
      </w:r>
      <w:r>
        <w:rPr>
          <w:color w:val="000000" w:themeColor="text1"/>
          <w:szCs w:val="21"/>
          <w14:textFill>
            <w14:solidFill>
              <w14:schemeClr w14:val="tx1"/>
            </w14:solidFill>
          </w14:textFill>
        </w:rPr>
        <w:t>14</w:t>
      </w:r>
      <w:r>
        <w:rPr>
          <w:rFonts w:hint="eastAsia"/>
          <w:color w:val="000000" w:themeColor="text1"/>
          <w:szCs w:val="21"/>
          <w14:textFill>
            <w14:solidFill>
              <w14:schemeClr w14:val="tx1"/>
            </w14:solidFill>
          </w14:textFill>
        </w:rPr>
        <w:t>日的等额本金还款法，借款到期时利随本清。</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宽限期等额还款法，即在宽限期内不偿还本金，按月偿还利息；宽限期结束后采用按月等额本息或按月等额本金还款方式，每期归还本息，借款到期时利随本清。</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按月付息、等比例按年还本法，即每月偿还贷款利息，本金以年为周期分期归还。还款规则如下：</w:t>
      </w:r>
      <w:r>
        <w:rPr>
          <w:rFonts w:hint="eastAsia" w:ascii="宋体" w:hAnsi="宋体"/>
          <w:color w:val="000000" w:themeColor="text1"/>
          <w:szCs w:val="21"/>
          <w14:textFill>
            <w14:solidFill>
              <w14:schemeClr w14:val="tx1"/>
            </w14:solidFill>
          </w14:textFill>
        </w:rPr>
        <w:t>①</w:t>
      </w:r>
      <w:r>
        <w:rPr>
          <w:rFonts w:hint="eastAsia"/>
          <w:color w:val="000000" w:themeColor="text1"/>
          <w:szCs w:val="21"/>
          <w14:textFill>
            <w14:solidFill>
              <w14:schemeClr w14:val="tx1"/>
            </w14:solidFill>
          </w14:textFill>
        </w:rPr>
        <w:t>每月偿还利息的日期为本合同第二十条约定的还款日；</w:t>
      </w:r>
      <w:r>
        <w:rPr>
          <w:rFonts w:hint="eastAsia" w:ascii="宋体" w:hAnsi="宋体"/>
          <w:color w:val="000000" w:themeColor="text1"/>
          <w:szCs w:val="21"/>
          <w14:textFill>
            <w14:solidFill>
              <w14:schemeClr w14:val="tx1"/>
            </w14:solidFill>
          </w14:textFill>
        </w:rPr>
        <w:t>②</w:t>
      </w:r>
      <w:r>
        <w:rPr>
          <w:rFonts w:hint="eastAsia"/>
          <w:color w:val="000000" w:themeColor="text1"/>
          <w:szCs w:val="21"/>
          <w14:textFill>
            <w14:solidFill>
              <w14:schemeClr w14:val="tx1"/>
            </w14:solidFill>
          </w14:textFill>
        </w:rPr>
        <w:t>首次还本日期为贷款发放月在次年的对月，该月的还款日为首次还本日；</w:t>
      </w:r>
      <w:r>
        <w:rPr>
          <w:rFonts w:hint="eastAsia" w:ascii="宋体" w:hAnsi="宋体"/>
          <w:color w:val="000000" w:themeColor="text1"/>
          <w:szCs w:val="21"/>
          <w14:textFill>
            <w14:solidFill>
              <w14:schemeClr w14:val="tx1"/>
            </w14:solidFill>
          </w14:textFill>
        </w:rPr>
        <w:t>③</w:t>
      </w:r>
      <w:r>
        <w:rPr>
          <w:rFonts w:hint="eastAsia"/>
          <w:color w:val="000000" w:themeColor="text1"/>
          <w:szCs w:val="21"/>
          <w14:textFill>
            <w14:solidFill>
              <w14:schemeClr w14:val="tx1"/>
            </w14:solidFill>
          </w14:textFill>
        </w:rPr>
        <w:t>后续每年还本日期均为首次还本日在当年的对日，但最后一期的还本日为贷款到日期；</w:t>
      </w:r>
      <w:r>
        <w:rPr>
          <w:rFonts w:hint="eastAsia" w:ascii="宋体" w:hAnsi="宋体"/>
          <w:color w:val="000000" w:themeColor="text1"/>
          <w:szCs w:val="21"/>
          <w14:textFill>
            <w14:solidFill>
              <w14:schemeClr w14:val="tx1"/>
            </w14:solidFill>
          </w14:textFill>
        </w:rPr>
        <w:t>④</w:t>
      </w:r>
      <w:r>
        <w:rPr>
          <w:rFonts w:hint="eastAsia"/>
          <w:color w:val="000000" w:themeColor="text1"/>
          <w:szCs w:val="21"/>
          <w14:textFill>
            <w14:solidFill>
              <w14:schemeClr w14:val="tx1"/>
            </w14:solidFill>
          </w14:textFill>
        </w:rPr>
        <w:t>每年还本金额</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贷款总金额</w:t>
      </w:r>
      <w:r>
        <w:rPr>
          <w:color w:val="000000" w:themeColor="text1"/>
          <w:szCs w:val="21"/>
          <w14:textFill>
            <w14:solidFill>
              <w14:schemeClr w14:val="tx1"/>
            </w14:solidFill>
          </w14:textFill>
        </w:rPr>
        <w:t>*12/N</w:t>
      </w:r>
      <w:r>
        <w:rPr>
          <w:rFonts w:hint="eastAsia"/>
          <w:color w:val="000000" w:themeColor="text1"/>
          <w:szCs w:val="21"/>
          <w14:textFill>
            <w14:solidFill>
              <w14:schemeClr w14:val="tx1"/>
            </w14:solidFill>
          </w14:textFill>
        </w:rPr>
        <w:t>，但如最后一期不足</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年时，最后一期还本金额</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贷款总金额</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最后一期月数</w:t>
      </w:r>
      <w:r>
        <w:rPr>
          <w:color w:val="000000" w:themeColor="text1"/>
          <w:szCs w:val="21"/>
          <w14:textFill>
            <w14:solidFill>
              <w14:schemeClr w14:val="tx1"/>
            </w14:solidFill>
          </w14:textFill>
        </w:rPr>
        <w:t>/N(N</w:t>
      </w:r>
      <w:r>
        <w:rPr>
          <w:rFonts w:hint="eastAsia"/>
          <w:color w:val="000000" w:themeColor="text1"/>
          <w:szCs w:val="21"/>
          <w14:textFill>
            <w14:solidFill>
              <w14:schemeClr w14:val="tx1"/>
            </w14:solidFill>
          </w14:textFill>
        </w:rPr>
        <w:t>为贷款总月数，当贷款期限不为整月时，不足一个月的部分不予计算</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，借款到期时利随本清。</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按月付息、特定比例按年还本法，即每月偿还贷款利息，每年偿还本金金额不得低于贷款总金额的</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，最后一年偿还本金不得高于贷款总金额的</w:t>
      </w:r>
      <w:r>
        <w:rPr>
          <w:color w:val="000000" w:themeColor="text1"/>
          <w:szCs w:val="21"/>
          <w14:textFill>
            <w14:solidFill>
              <w14:schemeClr w14:val="tx1"/>
            </w14:solidFill>
          </w14:textFill>
        </w:rPr>
        <w:t>50%</w:t>
      </w:r>
      <w:r>
        <w:rPr>
          <w:rFonts w:hint="eastAsia"/>
          <w:color w:val="000000" w:themeColor="text1"/>
          <w:szCs w:val="21"/>
          <w14:textFill>
            <w14:solidFill>
              <w14:schemeClr w14:val="tx1"/>
            </w14:solidFill>
          </w14:textFill>
        </w:rPr>
        <w:t>，还本日期规则如下：</w:t>
      </w:r>
      <w:r>
        <w:rPr>
          <w:rFonts w:hint="eastAsia" w:ascii="宋体" w:hAnsi="宋体"/>
          <w:color w:val="000000" w:themeColor="text1"/>
          <w:szCs w:val="21"/>
          <w14:textFill>
            <w14:solidFill>
              <w14:schemeClr w14:val="tx1"/>
            </w14:solidFill>
          </w14:textFill>
        </w:rPr>
        <w:t>①</w:t>
      </w:r>
      <w:r>
        <w:rPr>
          <w:rFonts w:hint="eastAsia"/>
          <w:color w:val="000000" w:themeColor="text1"/>
          <w:szCs w:val="21"/>
          <w14:textFill>
            <w14:solidFill>
              <w14:schemeClr w14:val="tx1"/>
            </w14:solidFill>
          </w14:textFill>
        </w:rPr>
        <w:t>每月偿还利息的日期为本合同第二十条约定的还款日；</w:t>
      </w:r>
      <w:r>
        <w:rPr>
          <w:rFonts w:hint="eastAsia" w:ascii="宋体" w:hAnsi="宋体"/>
          <w:color w:val="000000" w:themeColor="text1"/>
          <w:szCs w:val="21"/>
          <w14:textFill>
            <w14:solidFill>
              <w14:schemeClr w14:val="tx1"/>
            </w14:solidFill>
          </w14:textFill>
        </w:rPr>
        <w:t>②</w:t>
      </w:r>
      <w:r>
        <w:rPr>
          <w:rFonts w:hint="eastAsia"/>
          <w:color w:val="000000" w:themeColor="text1"/>
          <w:szCs w:val="21"/>
          <w14:textFill>
            <w14:solidFill>
              <w14:schemeClr w14:val="tx1"/>
            </w14:solidFill>
          </w14:textFill>
        </w:rPr>
        <w:t>首次还本日期为贷款发放月在次年的对月，该月的还款日为首次还本日；</w:t>
      </w:r>
      <w:r>
        <w:rPr>
          <w:rFonts w:hint="eastAsia" w:ascii="宋体" w:hAnsi="宋体"/>
          <w:color w:val="000000" w:themeColor="text1"/>
          <w:szCs w:val="21"/>
          <w14:textFill>
            <w14:solidFill>
              <w14:schemeClr w14:val="tx1"/>
            </w14:solidFill>
          </w14:textFill>
        </w:rPr>
        <w:t>③</w:t>
      </w:r>
      <w:r>
        <w:rPr>
          <w:rFonts w:hint="eastAsia"/>
          <w:color w:val="000000" w:themeColor="text1"/>
          <w:szCs w:val="21"/>
          <w14:textFill>
            <w14:solidFill>
              <w14:schemeClr w14:val="tx1"/>
            </w14:solidFill>
          </w14:textFill>
        </w:rPr>
        <w:t>后续每年还本日期均为首次还本日在当年的对日，但最后一期的还本日为贷款到日期。</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气球贷等额本息</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等额本金还款法，即按月偿还部分贷款本息，期末一次性偿还剩余贷款本息相结合的还款方式，根据“期供计算期”（计算还款本金或本息的约定期数，非实际还款期数）计算每期月供，贷款最后一期偿还剩余所有本息；“期供计算期”最长不得超过二十年，且不得短于贷款期限；“期供计算方式”仅可使用“等额本息”或“等额本金”。</w:t>
      </w:r>
    </w:p>
    <w:p>
      <w:pPr>
        <w:numPr>
          <w:ilvl w:val="2"/>
          <w:numId w:val="10"/>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其他还款方式，以乙方相关业务规定为准。</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采用上述</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至</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种还款方式的，于每期固定日偿还贷款本金及</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或利息。各方确认，还款当月没有还款日对应日的，则以当月最后一日为还款日。无论甲方选择上述第几种还款方式，利息均按照本合同约定计算。</w:t>
      </w:r>
    </w:p>
    <w:p>
      <w:pPr>
        <w:numPr>
          <w:ilvl w:val="1"/>
          <w:numId w:val="9"/>
        </w:numPr>
        <w:adjustRightInd w:val="0"/>
        <w:spacing w:line="380" w:lineRule="exact"/>
        <w:ind w:left="0" w:firstLine="420" w:firstLineChars="200"/>
        <w:contextualSpacing/>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本合同项下贷款利息的计算公式为：贷款利息=贷款本金*贷款日利率*计息天数；计息天数的确定方式详见本合同第二十条约定，包括如下方式：</w:t>
      </w:r>
    </w:p>
    <w:p>
      <w:pPr>
        <w:numPr>
          <w:ilvl w:val="-1"/>
          <w:numId w:val="0"/>
        </w:numPr>
        <w:adjustRightInd w:val="0"/>
        <w:spacing w:line="380" w:lineRule="exact"/>
        <w:ind w:left="0" w:leftChars="0" w:firstLine="420" w:firstLineChars="200"/>
        <w:contextualSpacing/>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（1）每个自然月的计息天数均为30日，如该自然月的实际天数超过30日或不足30日的，仍然按照30日计算。</w:t>
      </w:r>
    </w:p>
    <w:p>
      <w:pPr>
        <w:numPr>
          <w:ilvl w:val="-1"/>
          <w:numId w:val="0"/>
        </w:numPr>
        <w:adjustRightInd w:val="0"/>
        <w:spacing w:line="380" w:lineRule="exact"/>
        <w:ind w:left="420" w:leftChars="200" w:firstLine="0" w:firstLineChars="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（2）按照每个自然月的实际天数计算。</w:t>
      </w:r>
    </w:p>
    <w:p>
      <w:pPr>
        <w:numPr>
          <w:ilvl w:val="1"/>
          <w:numId w:val="9"/>
        </w:numPr>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每期还款日前，乙方有权通过甲方预留的手机号码向甲方发出短信还款提醒通知。若因通讯故障等原因造成短信未能送达或因预留手机号码错误等因素造成甲方未能及时收到短信通知的，乙方不承担责任。甲方不得以未收到贷款还款提醒短信为由拒绝还款。贷款发放后，甲方需及时登录手机银行等电子渠道查询贷款还款计划并按期还款。</w:t>
      </w:r>
    </w:p>
    <w:p>
      <w:pPr>
        <w:numPr>
          <w:ilvl w:val="1"/>
          <w:numId w:val="9"/>
        </w:numPr>
        <w:adjustRightInd w:val="0"/>
        <w:spacing w:line="380" w:lineRule="exact"/>
        <w:ind w:left="0" w:firstLine="420" w:firstLineChars="200"/>
        <w:contextualSpacing/>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若因甲方自身原因（包括但不限于挂失、密码输入错误等情况）导致扣款账户被乙方采取临时性冻结措施从而导致甲方贷款到期时或提前还款时乙方无法正常扣收，或者甲方的扣款账户被国家有权机关采取强制措施而导致乙方无法正常扣收，或者存在其他影响乙方扣收操作正常进行的非乙方过错的情况，由此产生的一切损失由甲方自行承担。</w:t>
      </w:r>
    </w:p>
    <w:p>
      <w:pPr>
        <w:pStyle w:val="33"/>
        <w:numPr>
          <w:ilvl w:val="1"/>
          <w:numId w:val="9"/>
        </w:numPr>
        <w:adjustRightInd w:val="0"/>
        <w:spacing w:line="380" w:lineRule="exact"/>
        <w:ind w:left="0" w:firstLine="422"/>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甲方应当于本合同约定的每期还款日（详见本合同</w:t>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REF _Ref470034903 \r \h  \* MERGEFORMAT </w:instrText>
      </w:r>
      <w:r>
        <w:rPr>
          <w:b/>
          <w:color w:val="000000" w:themeColor="text1"/>
          <w:szCs w:val="21"/>
          <w14:textFill>
            <w14:solidFill>
              <w14:schemeClr w14:val="tx1"/>
            </w14:solidFill>
          </w14:textFill>
        </w:rPr>
        <w:fldChar w:fldCharType="separate"/>
      </w:r>
      <w:r>
        <w:rPr>
          <w:rFonts w:hint="eastAsia"/>
          <w:b/>
          <w:color w:val="000000" w:themeColor="text1"/>
          <w:szCs w:val="21"/>
          <w14:textFill>
            <w14:solidFill>
              <w14:schemeClr w14:val="tx1"/>
            </w14:solidFill>
          </w14:textFill>
        </w:rPr>
        <w:t>第二十条</w: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约定）的</w:t>
      </w:r>
      <w:r>
        <w:rPr>
          <w:b/>
          <w:color w:val="000000" w:themeColor="text1"/>
          <w:szCs w:val="21"/>
          <w14:textFill>
            <w14:solidFill>
              <w14:schemeClr w14:val="tx1"/>
            </w14:solidFill>
          </w14:textFill>
        </w:rPr>
        <w:t>17</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00</w:t>
      </w:r>
      <w:r>
        <w:rPr>
          <w:rFonts w:hint="eastAsia"/>
          <w:b/>
          <w:color w:val="000000" w:themeColor="text1"/>
          <w:szCs w:val="21"/>
          <w14:textFill>
            <w14:solidFill>
              <w14:schemeClr w14:val="tx1"/>
            </w14:solidFill>
          </w14:textFill>
        </w:rPr>
        <w:t>（北京时间）前，将当期应偿还的贷款本息及其他款项足额存入在乙方开立的还款账户（账户名称及账号详见本合同</w:t>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REF _Ref470034903 \r \h  \* MERGEFORMAT </w:instrText>
      </w:r>
      <w:r>
        <w:rPr>
          <w:b/>
          <w:color w:val="000000" w:themeColor="text1"/>
          <w:szCs w:val="21"/>
          <w14:textFill>
            <w14:solidFill>
              <w14:schemeClr w14:val="tx1"/>
            </w14:solidFill>
          </w14:textFill>
        </w:rPr>
        <w:fldChar w:fldCharType="separate"/>
      </w:r>
      <w:r>
        <w:rPr>
          <w:rFonts w:hint="eastAsia"/>
          <w:b/>
          <w:color w:val="000000" w:themeColor="text1"/>
          <w:szCs w:val="21"/>
          <w14:textFill>
            <w14:solidFill>
              <w14:schemeClr w14:val="tx1"/>
            </w14:solidFill>
          </w14:textFill>
        </w:rPr>
        <w:t>第二十条</w: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约定），并不可撤销地授权乙方于当期还款日直接从该账户划收应收款项，甲方有义务在乙方最终扣划前保持该账户内资金足以偿付本期应付款项。还款账户被有权机关冻结时，甲方应及时提供其他账户作为新的还款账户或到乙方规定的营业柜台办理还款手续。</w:t>
      </w:r>
    </w:p>
    <w:p>
      <w:pPr>
        <w:pStyle w:val="33"/>
        <w:numPr>
          <w:ilvl w:val="1"/>
          <w:numId w:val="9"/>
        </w:numPr>
        <w:adjustRightInd w:val="0"/>
        <w:spacing w:line="380" w:lineRule="exact"/>
        <w:ind w:left="0" w:firstLine="422"/>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甲方违反本合同约定逾期归还贷款的，乙方有权按照中国人民银行的规定对逾期贷款计收罚息，逾期贷款罚息利率在该类贷款届时执行的利率基础上上浮一定百分比或</w:t>
      </w:r>
      <w:r>
        <w:rPr>
          <w:b/>
          <w:color w:val="000000" w:themeColor="text1"/>
          <w:szCs w:val="21"/>
          <w14:textFill>
            <w14:solidFill>
              <w14:schemeClr w14:val="tx1"/>
            </w14:solidFill>
          </w14:textFill>
        </w:rPr>
        <w:t>BPs</w:t>
      </w:r>
      <w:r>
        <w:rPr>
          <w:rFonts w:hint="eastAsia"/>
          <w:b/>
          <w:color w:val="000000" w:themeColor="text1"/>
          <w:szCs w:val="21"/>
          <w14:textFill>
            <w14:solidFill>
              <w14:schemeClr w14:val="tx1"/>
            </w14:solidFill>
          </w14:textFill>
        </w:rPr>
        <w:t>（逾期贷款罚息利率详见本合同</w:t>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REF _Ref470034903 \r \h  \* MERGEFORMAT </w:instrText>
      </w:r>
      <w:r>
        <w:rPr>
          <w:b/>
          <w:color w:val="000000" w:themeColor="text1"/>
          <w:szCs w:val="21"/>
          <w14:textFill>
            <w14:solidFill>
              <w14:schemeClr w14:val="tx1"/>
            </w14:solidFill>
          </w14:textFill>
        </w:rPr>
        <w:fldChar w:fldCharType="separate"/>
      </w:r>
      <w:r>
        <w:rPr>
          <w:rFonts w:hint="eastAsia"/>
          <w:b/>
          <w:color w:val="000000" w:themeColor="text1"/>
          <w:szCs w:val="21"/>
          <w14:textFill>
            <w14:solidFill>
              <w14:schemeClr w14:val="tx1"/>
            </w14:solidFill>
          </w14:textFill>
        </w:rPr>
        <w:t>第二十条</w: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约定）；甲方未按合同约定用途使用贷款，乙方有权按中国人民银行的规定对甲方挪用贷款计收罚息，挪用贷款罚息利率在该类贷款届时执行的利率基础上上浮一定百分比或</w:t>
      </w:r>
      <w:r>
        <w:rPr>
          <w:b/>
          <w:color w:val="000000" w:themeColor="text1"/>
          <w:szCs w:val="21"/>
          <w14:textFill>
            <w14:solidFill>
              <w14:schemeClr w14:val="tx1"/>
            </w14:solidFill>
          </w14:textFill>
        </w:rPr>
        <w:t>BPs</w:t>
      </w:r>
      <w:r>
        <w:rPr>
          <w:rFonts w:hint="eastAsia"/>
          <w:b/>
          <w:color w:val="000000" w:themeColor="text1"/>
          <w:szCs w:val="21"/>
          <w14:textFill>
            <w14:solidFill>
              <w14:schemeClr w14:val="tx1"/>
            </w14:solidFill>
          </w14:textFill>
        </w:rPr>
        <w:t>（挪用贷款罚息利率详见本合同</w:t>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REF _Ref470034903 \r \h  \* MERGEFORMAT </w:instrText>
      </w:r>
      <w:r>
        <w:rPr>
          <w:b/>
          <w:color w:val="000000" w:themeColor="text1"/>
          <w:szCs w:val="21"/>
          <w14:textFill>
            <w14:solidFill>
              <w14:schemeClr w14:val="tx1"/>
            </w14:solidFill>
          </w14:textFill>
        </w:rPr>
        <w:fldChar w:fldCharType="separate"/>
      </w:r>
      <w:r>
        <w:rPr>
          <w:rFonts w:hint="eastAsia"/>
          <w:b/>
          <w:color w:val="000000" w:themeColor="text1"/>
          <w:szCs w:val="21"/>
          <w14:textFill>
            <w14:solidFill>
              <w14:schemeClr w14:val="tx1"/>
            </w14:solidFill>
          </w14:textFill>
        </w:rPr>
        <w:t>第二十条</w: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约定）。</w:t>
      </w:r>
    </w:p>
    <w:p>
      <w:pPr>
        <w:adjustRightInd w:val="0"/>
        <w:spacing w:line="380" w:lineRule="exact"/>
        <w:ind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对逾期或未按合同约定用途使用的贷款，从逾期或未按本合同约定用途使用贷款之日起，按罚息利率计收罚息，直至本息清偿完毕为止。对于既逾期又未按本合同约定用途使用贷款的，择罚息利率较重者计收罚息，不予并罚。对不能按时支付的利息以及罚息，均按逾期贷款罚息利率计收复利。</w:t>
      </w:r>
    </w:p>
    <w:p>
      <w:pPr>
        <w:pStyle w:val="33"/>
        <w:numPr>
          <w:ilvl w:val="1"/>
          <w:numId w:val="9"/>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如甲方未能按期归还本合同项下任何一笔贷款本息或费用的，</w:t>
      </w:r>
      <w:r>
        <w:rPr>
          <w:rFonts w:hint="eastAsia"/>
          <w:b/>
          <w:color w:val="000000" w:themeColor="text1"/>
          <w:szCs w:val="21"/>
          <w14:textFill>
            <w14:solidFill>
              <w14:schemeClr w14:val="tx1"/>
            </w14:solidFill>
          </w14:textFill>
        </w:rPr>
        <w:t>甲方授权乙方无需通知即可直接冻结并从甲方在中信银行股份有限公司任何营业机构开立的任何账户中扣收相应的金额，甲方应予配合。</w:t>
      </w:r>
      <w:r>
        <w:rPr>
          <w:rFonts w:hint="eastAsia"/>
          <w:color w:val="000000" w:themeColor="text1"/>
          <w:szCs w:val="21"/>
          <w14:textFill>
            <w14:solidFill>
              <w14:schemeClr w14:val="tx1"/>
            </w14:solidFill>
          </w14:textFill>
        </w:rPr>
        <w:t>乙方在甲方账户中扣收款项时，账户中的币种与贷款币种不同的，按扣收当日乙方公布的牌价折算</w:t>
      </w:r>
      <w:r>
        <w:rPr>
          <w:rFonts w:hint="eastAsia"/>
          <w:b/>
          <w:color w:val="000000" w:themeColor="text1"/>
          <w:szCs w:val="21"/>
          <w14:textFill>
            <w14:solidFill>
              <w14:schemeClr w14:val="tx1"/>
            </w14:solidFill>
          </w14:textFill>
        </w:rPr>
        <w:t>，汇率等风险由甲方承担。</w:t>
      </w:r>
      <w:r>
        <w:rPr>
          <w:rFonts w:hint="eastAsia"/>
          <w:color w:val="000000" w:themeColor="text1"/>
          <w:szCs w:val="21"/>
          <w14:textFill>
            <w14:solidFill>
              <w14:schemeClr w14:val="tx1"/>
            </w14:solidFill>
          </w14:textFill>
        </w:rPr>
        <w:t>如该等账户余额不足以清偿乙方全部贷款本息的，乙方仍享有向甲方追偿的权利。</w:t>
      </w:r>
    </w:p>
    <w:p>
      <w:pPr>
        <w:pStyle w:val="33"/>
        <w:numPr>
          <w:ilvl w:val="1"/>
          <w:numId w:val="9"/>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如乙方在同一还款日、甲方的同一还款账户中收到甲方归还的多笔贷款本息，乙方有权决定多笔贷款之间的清偿顺序及比例。</w:t>
      </w:r>
    </w:p>
    <w:p>
      <w:pPr>
        <w:pStyle w:val="33"/>
        <w:numPr>
          <w:ilvl w:val="1"/>
          <w:numId w:val="9"/>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乙方为实现债权和担保权而支付的所有费用（包括但不限于诉讼费、仲裁费、差旅费、律师费、财产保全费、公证认证费、翻译费、评估拍卖费等），均由甲方负担。</w:t>
      </w:r>
      <w:r>
        <w:rPr>
          <w:rFonts w:hint="eastAsia"/>
          <w:b/>
          <w:bCs/>
          <w:color w:val="000000" w:themeColor="text1"/>
          <w:szCs w:val="21"/>
          <w14:textFill>
            <w14:solidFill>
              <w14:schemeClr w14:val="tx1"/>
            </w14:solidFill>
          </w14:textFill>
        </w:rPr>
        <w:t>乙方有权对垫付的资金自垫付之日起按本合同约定的贷款利率向甲方收取利息。</w:t>
      </w:r>
    </w:p>
    <w:p>
      <w:pPr>
        <w:pStyle w:val="33"/>
        <w:numPr>
          <w:ilvl w:val="1"/>
          <w:numId w:val="9"/>
        </w:numPr>
        <w:adjustRightInd w:val="0"/>
        <w:spacing w:line="380" w:lineRule="exact"/>
        <w:ind w:left="0" w:firstLine="420"/>
        <w:contextualSpacing/>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就每笔贷款的偿还，甲、乙双方同意遵循先还息后还本的原则，乙方按照</w:t>
      </w:r>
      <w:r>
        <w:rPr>
          <w:rFonts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费用（指由乙方先行垫付的实现债权和担保权的各项费用，包括但不限于诉讼费、仲裁费、律师费、差旅费、评估费、拍卖或变卖费、过户费、保全费、公告费、执行费）</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违约金（含补偿金、赔偿金）</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逾期利息（含罚息、复利）</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逾期本金</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当期利息</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当期本金</w:t>
      </w:r>
      <w:r>
        <w:rPr>
          <w:rFonts w:asciiTheme="minorEastAsia" w:hAnsiTheme="minorEastAsia" w:eastAsiaTheme="minorEastAsia"/>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的顺序扣划甲方偿还的款项。</w:t>
      </w:r>
      <w:r>
        <w:rPr>
          <w:rFonts w:hint="eastAsia"/>
          <w:b/>
          <w:color w:val="000000" w:themeColor="text1"/>
          <w:szCs w:val="21"/>
          <w14:textFill>
            <w14:solidFill>
              <w14:schemeClr w14:val="tx1"/>
            </w14:solidFill>
          </w14:textFill>
        </w:rPr>
        <w:t>如果甲方还款账户中的款项不足以支付本合同项下的到期应付款项，乙方有权决定费用、利息（包括罚息、复利）、本金的清偿顺序及比例，同时乙方有权随时从还款账户中划扣甲方应付款项。</w:t>
      </w:r>
    </w:p>
    <w:p>
      <w:pPr>
        <w:numPr>
          <w:ilvl w:val="0"/>
          <w:numId w:val="1"/>
        </w:numPr>
        <w:tabs>
          <w:tab w:val="left" w:pos="1134"/>
        </w:tabs>
        <w:adjustRightInd w:val="0"/>
        <w:spacing w:line="380" w:lineRule="exact"/>
        <w:ind w:left="0" w:firstLine="422" w:firstLineChars="200"/>
        <w:contextualSpacing/>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提前还款及合同变更</w:t>
      </w:r>
    </w:p>
    <w:p>
      <w:pPr>
        <w:pStyle w:val="33"/>
        <w:numPr>
          <w:ilvl w:val="1"/>
          <w:numId w:val="11"/>
        </w:numPr>
        <w:adjustRightInd w:val="0"/>
        <w:spacing w:line="380" w:lineRule="exact"/>
        <w:ind w:left="0" w:firstLine="420"/>
        <w:contextualSpacing/>
        <w:rPr>
          <w:b/>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可采取柜面提前还款、自助提前还款两种提前还款方式，提前还款日前已计收的贷款利息不作调整。甲方的提前还款资金到账时间以乙方扣款交易时间为准，每一笔贷款的归还均以乙方系统记录作为依据，甲方应及时查询还款交易是否成功。若由于甲方的过错（包括但不限于未按相关渠道提示操作或未及时查询还款交易是否成功等原因）导致贷款未能及时归还，甲方应自行承担由此引起的损失。</w:t>
      </w:r>
      <w:r>
        <w:rPr>
          <w:rFonts w:hint="eastAsia"/>
          <w:b/>
          <w:bCs/>
          <w:color w:val="000000" w:themeColor="text1"/>
          <w:szCs w:val="21"/>
          <w14:textFill>
            <w14:solidFill>
              <w14:schemeClr w14:val="tx1"/>
            </w14:solidFill>
          </w14:textFill>
        </w:rPr>
        <w:t>本合同项下提前还款及提前还款违约金详见本合同第二十条具体约定。</w:t>
      </w:r>
    </w:p>
    <w:p>
      <w:pPr>
        <w:pStyle w:val="33"/>
        <w:numPr>
          <w:ilvl w:val="0"/>
          <w:numId w:val="12"/>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柜面提前还款</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甲方如欲在乙方营业网点柜面提前还款，应至少提前</w:t>
      </w:r>
      <w:permStart w:id="20" w:edGrp="everyone"/>
      <w:r>
        <w:rPr>
          <w:color w:val="000000" w:themeColor="text1"/>
          <w:szCs w:val="21"/>
          <w14:textFill>
            <w14:solidFill>
              <w14:schemeClr w14:val="tx1"/>
            </w14:solidFill>
          </w14:textFill>
        </w:rPr>
        <w:t>5</w:t>
      </w:r>
      <w:permEnd w:id="20"/>
      <w:r>
        <w:rPr>
          <w:rFonts w:hint="eastAsia"/>
          <w:color w:val="000000" w:themeColor="text1"/>
          <w:szCs w:val="21"/>
          <w14:textFill>
            <w14:solidFill>
              <w14:schemeClr w14:val="tx1"/>
            </w14:solidFill>
          </w14:textFill>
        </w:rPr>
        <w:t>个工作日通过乙方营业网点柜面向乙方提交不可撤销的提前还款申请书，经乙方审核同意后方可提前还款。乙方经审核确认甲方未有拖欠贷款本息并已还清当期本息，并同意甲方提前还款申请的，甲方方可提前还款，甲方提前还款申请经乙方审核同意后即为不可撤销。</w:t>
      </w:r>
    </w:p>
    <w:p>
      <w:pPr>
        <w:pStyle w:val="33"/>
        <w:numPr>
          <w:ilvl w:val="0"/>
          <w:numId w:val="12"/>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自助提前还款</w:t>
      </w:r>
    </w:p>
    <w:p>
      <w:pPr>
        <w:numPr>
          <w:ilvl w:val="2"/>
          <w:numId w:val="13"/>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甲方可通过乙方个人贷款线上服务平台申请提前偿还贷款，甲方需根据系统的提示输入提前还款的金额，经乙方审核无误后，扣收提前归还本息及相应的提前还款违约金（如有）。甲方的自助提前还款账户为本合同第二十条约定的还款账户。</w:t>
      </w:r>
    </w:p>
    <w:p>
      <w:pPr>
        <w:numPr>
          <w:ilvl w:val="2"/>
          <w:numId w:val="13"/>
        </w:numPr>
        <w:tabs>
          <w:tab w:val="left" w:pos="709"/>
        </w:tabs>
        <w:adjustRightInd w:val="0"/>
        <w:spacing w:line="380" w:lineRule="exact"/>
        <w:ind w:left="0" w:firstLine="420" w:firstLineChars="200"/>
        <w:contextualSpacing/>
        <w:textAlignment w:val="baseline"/>
        <w:rPr>
          <w:color w:val="000000" w:themeColor="text1"/>
          <w:kern w:val="0"/>
          <w:szCs w:val="21"/>
          <w14:textFill>
            <w14:solidFill>
              <w14:schemeClr w14:val="tx1"/>
            </w14:solidFill>
          </w14:textFill>
        </w:rPr>
      </w:pPr>
      <w:r>
        <w:rPr>
          <w:rFonts w:ascii="宋体" w:hAnsi="宋体" w:cs="仿宋"/>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如遇乙方系统阶段性维护</w:t>
      </w:r>
      <w:r>
        <w:rPr>
          <w:rFonts w:ascii="宋体" w:hAnsi="宋体" w:cs="仿宋"/>
          <w:color w:val="000000" w:themeColor="text1"/>
          <w:kern w:val="0"/>
          <w:szCs w:val="21"/>
          <w14:textFill>
            <w14:solidFill>
              <w14:schemeClr w14:val="tx1"/>
            </w14:solidFill>
          </w14:textFill>
        </w:rPr>
        <w:t>、升级等可预测情形，乙方将通过</w:t>
      </w:r>
      <w:r>
        <w:rPr>
          <w:rFonts w:hint="eastAsia" w:ascii="宋体" w:hAnsi="宋体" w:cs="仿宋"/>
          <w:color w:val="000000" w:themeColor="text1"/>
          <w:kern w:val="0"/>
          <w:szCs w:val="21"/>
          <w14:textFill>
            <w14:solidFill>
              <w14:schemeClr w14:val="tx1"/>
            </w14:solidFill>
          </w14:textFill>
        </w:rPr>
        <w:t>个人贷款线上服务平台提前通知甲方。</w:t>
      </w:r>
    </w:p>
    <w:p>
      <w:pPr>
        <w:numPr>
          <w:ilvl w:val="1"/>
          <w:numId w:val="11"/>
        </w:numPr>
        <w:adjustRightInd w:val="0"/>
        <w:spacing w:line="380" w:lineRule="exact"/>
        <w:ind w:left="0" w:firstLine="420" w:firstLineChars="200"/>
        <w:contextualSpacing/>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甲方选择提前还款的，对提前归还的贷款本金，从前一还款日至提前还款日按日计收利息。甲方提前归还部分贷款的，提前还款后的每月还款金额和贷款期限根据剩余贷款本金和剩余贷款期限重新确定，但贷款利率不因提前还款而发生变化。</w:t>
      </w:r>
    </w:p>
    <w:p>
      <w:pPr>
        <w:numPr>
          <w:ilvl w:val="1"/>
          <w:numId w:val="11"/>
        </w:numPr>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如甲方在乙方尚有多笔贷款未清偿，甲方如欲提前还款的，按照贷款发放时间顺序按照先还息后还本的原则进行还款，同时乙方有权决定提前清偿的各类贷款的还款顺序。</w:t>
      </w:r>
    </w:p>
    <w:p>
      <w:pPr>
        <w:numPr>
          <w:ilvl w:val="1"/>
          <w:numId w:val="11"/>
        </w:numPr>
        <w:adjustRightInd w:val="0"/>
        <w:spacing w:line="380" w:lineRule="exact"/>
        <w:ind w:left="0" w:firstLine="420" w:firstLineChars="200"/>
        <w:contextualSpacing/>
        <w:rPr>
          <w:color w:val="000000" w:themeColor="text1"/>
          <w:szCs w:val="21"/>
          <w14:textFill>
            <w14:solidFill>
              <w14:schemeClr w14:val="tx1"/>
            </w14:solidFill>
          </w14:textFill>
        </w:rPr>
      </w:pPr>
      <w:bookmarkStart w:id="3" w:name="_Hlk117948178"/>
      <w:bookmarkStart w:id="4" w:name="_Hlk117869309"/>
      <w:r>
        <w:rPr>
          <w:rFonts w:hint="eastAsia"/>
          <w:color w:val="000000" w:themeColor="text1"/>
          <w:szCs w:val="21"/>
          <w14:textFill>
            <w14:solidFill>
              <w14:schemeClr w14:val="tx1"/>
            </w14:solidFill>
          </w14:textFill>
        </w:rPr>
        <w:t>甲方如欲修改约定的还款方式、尾款比例等合同要素，应至少提前</w:t>
      </w:r>
      <w:permStart w:id="21" w:edGrp="everyone"/>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w:t>
      </w:r>
      <w:permEnd w:id="21"/>
      <w:r>
        <w:rPr>
          <w:rFonts w:hint="eastAsia"/>
          <w:color w:val="000000" w:themeColor="text1"/>
          <w:szCs w:val="21"/>
          <w14:textFill>
            <w14:solidFill>
              <w14:schemeClr w14:val="tx1"/>
            </w14:solidFill>
          </w14:textFill>
        </w:rPr>
        <w:t>个工作日向乙方提出申请，经乙方审核同意后方可变更。</w:t>
      </w:r>
    </w:p>
    <w:p>
      <w:pPr>
        <w:numPr>
          <w:ilvl w:val="1"/>
          <w:numId w:val="11"/>
        </w:numPr>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甲方如欲延长借款期限，需正常还款</w:t>
      </w:r>
      <w:permStart w:id="22" w:edGrp="everyone"/>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个月（含第</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月）】</w:t>
      </w:r>
      <w:permEnd w:id="22"/>
      <w:r>
        <w:rPr>
          <w:rFonts w:hint="eastAsia"/>
          <w:color w:val="000000" w:themeColor="text1"/>
          <w:szCs w:val="21"/>
          <w14:textFill>
            <w14:solidFill>
              <w14:schemeClr w14:val="tx1"/>
            </w14:solidFill>
          </w14:textFill>
        </w:rPr>
        <w:t>之后，同时至少在借款期限届满前</w:t>
      </w:r>
      <w:permStart w:id="23" w:edGrp="everyone"/>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15</w:t>
      </w:r>
      <w:r>
        <w:rPr>
          <w:rFonts w:hint="eastAsia"/>
          <w:color w:val="000000" w:themeColor="text1"/>
          <w:szCs w:val="21"/>
          <w14:textFill>
            <w14:solidFill>
              <w14:schemeClr w14:val="tx1"/>
            </w14:solidFill>
          </w14:textFill>
        </w:rPr>
        <w:t>】</w:t>
      </w:r>
      <w:permEnd w:id="23"/>
      <w:r>
        <w:rPr>
          <w:rFonts w:hint="eastAsia"/>
          <w:color w:val="000000" w:themeColor="text1"/>
          <w:szCs w:val="21"/>
          <w14:textFill>
            <w14:solidFill>
              <w14:schemeClr w14:val="tx1"/>
            </w14:solidFill>
          </w14:textFill>
        </w:rPr>
        <w:t>个工作日向乙方提出申请，经乙方审核同意后方可办理展期（展期是指延长合同期限），展期的具体安排另行签署协议约定。</w:t>
      </w:r>
      <w:bookmarkEnd w:id="3"/>
    </w:p>
    <w:bookmarkEnd w:id="4"/>
    <w:p>
      <w:pPr>
        <w:numPr>
          <w:ilvl w:val="0"/>
          <w:numId w:val="1"/>
        </w:numPr>
        <w:tabs>
          <w:tab w:val="left" w:pos="1134"/>
        </w:tabs>
        <w:adjustRightInd w:val="0"/>
        <w:spacing w:line="380" w:lineRule="exact"/>
        <w:ind w:left="0" w:firstLine="420" w:firstLineChars="200"/>
        <w:contextualSpacing/>
        <w:rPr>
          <w:b/>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贷款担保</w:t>
      </w:r>
    </w:p>
    <w:p>
      <w:pPr>
        <w:pStyle w:val="33"/>
        <w:numPr>
          <w:ilvl w:val="1"/>
          <w:numId w:val="14"/>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本合同项下贷款的担保方式分为：</w:t>
      </w:r>
    </w:p>
    <w:p>
      <w:pPr>
        <w:pStyle w:val="33"/>
        <w:numPr>
          <w:ilvl w:val="1"/>
          <w:numId w:val="15"/>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抵押加阶段性保证</w:t>
      </w:r>
    </w:p>
    <w:p>
      <w:pPr>
        <w:tabs>
          <w:tab w:val="left" w:pos="993"/>
        </w:tabs>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即甲方同意将以本合同项下贷款资金所购房屋（以下简称</w:t>
      </w:r>
      <w:r>
        <w:rPr>
          <w:rFonts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抵押物</w:t>
      </w:r>
      <w:r>
        <w:rPr>
          <w:rFonts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）为乙方因向甲方提供本合同项下贷款而产生的债权提供抵押担保；及丙方同意对自本合同项下贷款发放之日起至甲方取得抵押物的《房屋所有权证》并办妥以乙方为抵押权人的他项权证期间（以下简称</w:t>
      </w:r>
      <w:r>
        <w:rPr>
          <w:rFonts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担保阶段</w:t>
      </w:r>
      <w:r>
        <w:rPr>
          <w:rFonts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），甲方在本贷款项下对乙方的全部应付款项，向乙方提供连带责任保证担保。</w:t>
      </w:r>
    </w:p>
    <w:p>
      <w:pPr>
        <w:pStyle w:val="33"/>
        <w:numPr>
          <w:ilvl w:val="1"/>
          <w:numId w:val="15"/>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抵押无阶段性保证</w:t>
      </w:r>
    </w:p>
    <w:p>
      <w:pPr>
        <w:pStyle w:val="9"/>
        <w:snapToGrid/>
        <w:spacing w:line="380" w:lineRule="exact"/>
        <w:ind w:firstLine="420"/>
        <w:contextualSpacing/>
        <w:rPr>
          <w:rFonts w:ascii="Times New Roman" w:eastAsia="宋体"/>
          <w:color w:val="000000" w:themeColor="text1"/>
          <w:sz w:val="21"/>
          <w:szCs w:val="21"/>
          <w14:textFill>
            <w14:solidFill>
              <w14:schemeClr w14:val="tx1"/>
            </w14:solidFill>
          </w14:textFill>
        </w:rPr>
      </w:pPr>
      <w:r>
        <w:rPr>
          <w:rFonts w:hint="eastAsia" w:ascii="Times New Roman" w:eastAsia="宋体"/>
          <w:color w:val="000000" w:themeColor="text1"/>
          <w:sz w:val="21"/>
          <w:szCs w:val="21"/>
          <w14:textFill>
            <w14:solidFill>
              <w14:schemeClr w14:val="tx1"/>
            </w14:solidFill>
          </w14:textFill>
        </w:rPr>
        <w:t>即甲方同意将以本合同项下抵押物，为乙方因向甲方提供本合同项下贷款而产生的债权提供抵押担保。</w:t>
      </w:r>
    </w:p>
    <w:p>
      <w:pPr>
        <w:pStyle w:val="33"/>
        <w:numPr>
          <w:ilvl w:val="1"/>
          <w:numId w:val="15"/>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其他担保方式</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本合同项下贷款的其他担保方式详见本合同</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_Ref470034903 \r \h  \* MERGEFORMAT </w:instrText>
      </w:r>
      <w:r>
        <w:rPr>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第二十条</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约定。</w:t>
      </w:r>
    </w:p>
    <w:p>
      <w:pPr>
        <w:pStyle w:val="33"/>
        <w:numPr>
          <w:ilvl w:val="1"/>
          <w:numId w:val="14"/>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本合同项下贷款的担保方式详见本合同</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_Ref470034903 \r \h  \* MERGEFORMAT </w:instrText>
      </w:r>
      <w:r>
        <w:rPr>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第二十条</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约定。</w:t>
      </w:r>
    </w:p>
    <w:p>
      <w:pPr>
        <w:pStyle w:val="33"/>
        <w:numPr>
          <w:ilvl w:val="1"/>
          <w:numId w:val="14"/>
        </w:numPr>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关于抵押、保证担保的具体约定</w:t>
      </w:r>
    </w:p>
    <w:p>
      <w:pPr>
        <w:pStyle w:val="33"/>
        <w:numPr>
          <w:ilvl w:val="2"/>
          <w:numId w:val="16"/>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担保范围</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项下抵押和保证担保的担保范围均包括本合同项下的贷款本金、利息、罚息、复利、违约金、赔偿金、补偿金、迟延履行期间的债务利息、迟延履行金及实现相应债权、担保权利的费用（包括但不限于诉讼费、仲裁费、律师费、差旅费、评估费、过户费、保全费、公告费、执行费、保全保险费等）和其他所有应付费用。</w:t>
      </w:r>
    </w:p>
    <w:p>
      <w:pPr>
        <w:pStyle w:val="33"/>
        <w:numPr>
          <w:ilvl w:val="2"/>
          <w:numId w:val="16"/>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保证期间</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如本合同项下担保方式为抵押加阶段性保证的，保证担保的保证期间为担保阶段届满之日起三年。如乙方宣布本合同项下贷款提前到期的，保证期间为乙方宣布的该债务履行期限届满之日起三年。</w:t>
      </w:r>
    </w:p>
    <w:p>
      <w:pPr>
        <w:pStyle w:val="33"/>
        <w:numPr>
          <w:ilvl w:val="2"/>
          <w:numId w:val="16"/>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债务履行期限</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履行债务的期限依本合同的约定。如本合同约定甲方分期清偿债务，则每一笔债务到期之日均为该部分债务的履行期限届满之日；如发生法律、法规、规章规定或依本合同约定或依甲方、乙方协商一致债务提前到期的，则提前到期日为债务的履行期限届满之日。</w:t>
      </w:r>
    </w:p>
    <w:p>
      <w:pPr>
        <w:pStyle w:val="33"/>
        <w:numPr>
          <w:ilvl w:val="2"/>
          <w:numId w:val="16"/>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抵押物及抵押权行使期间</w:t>
      </w:r>
    </w:p>
    <w:p>
      <w:pPr>
        <w:numPr>
          <w:ilvl w:val="2"/>
          <w:numId w:val="17"/>
        </w:numPr>
        <w:tabs>
          <w:tab w:val="left" w:pos="709"/>
        </w:tabs>
        <w:adjustRightInd w:val="0"/>
        <w:spacing w:line="380" w:lineRule="exact"/>
        <w:ind w:left="0" w:firstLine="420" w:firstLineChars="200"/>
        <w:contextualSpacing/>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本合同中的抵押物是指甲方向乙方贷款所购买的房屋，详见本合同附件《个人抵押房产清单》。</w:t>
      </w:r>
    </w:p>
    <w:p>
      <w:pPr>
        <w:numPr>
          <w:ilvl w:val="2"/>
          <w:numId w:val="17"/>
        </w:numPr>
        <w:tabs>
          <w:tab w:val="left" w:pos="709"/>
        </w:tabs>
        <w:adjustRightInd w:val="0"/>
        <w:spacing w:line="380" w:lineRule="exact"/>
        <w:ind w:left="0" w:firstLine="420" w:firstLineChars="200"/>
        <w:contextualSpacing/>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乙方依法律、法规的规定及本合同约定享有抵押权，该抵押权效力及于抵押物的从物、从权利、附属物、添附物、天然及法定孳息、抵押物的代位物以及抵押物毁损、灭失或被征收而产生的保险金、赔偿金、补偿金等。</w:t>
      </w:r>
    </w:p>
    <w:p>
      <w:pPr>
        <w:numPr>
          <w:ilvl w:val="2"/>
          <w:numId w:val="17"/>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抵押物需要进行评估的，由具有相应资质且经乙方认可的评估机构评估，其评估价值详见本合同附件《个人抵押房产清单》约定。</w:t>
      </w:r>
      <w:r>
        <w:rPr>
          <w:rFonts w:hint="eastAsia"/>
          <w:b/>
          <w:color w:val="000000" w:themeColor="text1"/>
          <w:szCs w:val="21"/>
          <w14:textFill>
            <w14:solidFill>
              <w14:schemeClr w14:val="tx1"/>
            </w14:solidFill>
          </w14:textFill>
        </w:rPr>
        <w:t>本合同所述之抵押物评估价值不作为乙方根据本合同约定处置抵押物时的估价依据，也不构成对乙方行使抵押权的任何限制。</w:t>
      </w:r>
      <w:r>
        <w:rPr>
          <w:rFonts w:hint="eastAsia"/>
          <w:color w:val="000000" w:themeColor="text1"/>
          <w:szCs w:val="21"/>
          <w14:textFill>
            <w14:solidFill>
              <w14:schemeClr w14:val="tx1"/>
            </w14:solidFill>
          </w14:textFill>
        </w:rPr>
        <w:t>在本合同有效期内，如由于任何原因致使抵押物价值下降，甲方有义务采取乙方认可的补救措施以达到或恢复前述抵押物价值。</w:t>
      </w:r>
    </w:p>
    <w:p>
      <w:pPr>
        <w:numPr>
          <w:ilvl w:val="2"/>
          <w:numId w:val="17"/>
        </w:numPr>
        <w:tabs>
          <w:tab w:val="left" w:pos="709"/>
        </w:tabs>
        <w:adjustRightInd w:val="0"/>
        <w:spacing w:line="380" w:lineRule="exact"/>
        <w:ind w:left="0" w:firstLine="420" w:firstLineChars="200"/>
        <w:contextualSpacing/>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乙方因任何原因放弃其享有的其他担保权利（不论该担保是由甲方提供还是由第三人提供）、变更前述担保权利的顺位或内容，造成乙方在上述担保权利项下的优先受偿权丧失或减少时，甲方承诺在本合同项下对乙方承担的抵押担保责任不因之而免除或减少。</w:t>
      </w:r>
    </w:p>
    <w:p>
      <w:pPr>
        <w:numPr>
          <w:ilvl w:val="2"/>
          <w:numId w:val="17"/>
        </w:numPr>
        <w:tabs>
          <w:tab w:val="left" w:pos="709"/>
        </w:tabs>
        <w:adjustRightInd w:val="0"/>
        <w:spacing w:line="380" w:lineRule="exact"/>
        <w:ind w:left="0" w:firstLine="420" w:firstLineChars="200"/>
        <w:contextualSpacing/>
        <w:textAlignment w:val="baseline"/>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抵押物的权属证明和相关资料经甲乙双方共同确认后由乙方保管，但法律法规另有规定或甲乙双方另有约定的除外。</w:t>
      </w:r>
    </w:p>
    <w:p>
      <w:pPr>
        <w:numPr>
          <w:ilvl w:val="2"/>
          <w:numId w:val="17"/>
        </w:numPr>
        <w:tabs>
          <w:tab w:val="left" w:pos="709"/>
        </w:tabs>
        <w:adjustRightInd w:val="0"/>
        <w:spacing w:line="380" w:lineRule="exact"/>
        <w:ind w:left="0" w:firstLine="420" w:firstLineChars="200"/>
        <w:contextualSpacing/>
        <w:textAlignment w:val="baseline"/>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抵押权应当在本合同项下乙方享有的各笔债权的诉讼时效期间内行使。</w:t>
      </w:r>
    </w:p>
    <w:p>
      <w:pPr>
        <w:pStyle w:val="33"/>
        <w:numPr>
          <w:ilvl w:val="2"/>
          <w:numId w:val="16"/>
        </w:numPr>
        <w:tabs>
          <w:tab w:val="left" w:pos="993"/>
        </w:tabs>
        <w:adjustRightInd w:val="0"/>
        <w:spacing w:line="380" w:lineRule="exact"/>
        <w:ind w:left="0" w:firstLine="420"/>
        <w:contextualSpacing/>
        <w:rPr>
          <w:color w:val="000000" w:themeColor="text1"/>
          <w:szCs w:val="21"/>
          <w14:textFill>
            <w14:solidFill>
              <w14:schemeClr w14:val="tx1"/>
            </w14:solidFill>
          </w14:textFill>
        </w:rPr>
      </w:pPr>
      <w:bookmarkStart w:id="5" w:name="_Ref471680655"/>
      <w:r>
        <w:rPr>
          <w:rFonts w:hint="eastAsia"/>
          <w:color w:val="000000" w:themeColor="text1"/>
          <w:szCs w:val="21"/>
          <w14:textFill>
            <w14:solidFill>
              <w14:schemeClr w14:val="tx1"/>
            </w14:solidFill>
          </w14:textFill>
        </w:rPr>
        <w:t>抵押物的保管</w:t>
      </w:r>
      <w:bookmarkEnd w:id="5"/>
    </w:p>
    <w:p>
      <w:pPr>
        <w:numPr>
          <w:ilvl w:val="2"/>
          <w:numId w:val="18"/>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在本合同有效期内，甲方应以适当和有效的方式妥善保管抵押物，保持抵押物的完整和良好状态，并合法、适当地占有、使用、管理和经营抵押物，依法负责缴纳相应的税费。甲方应接受乙方对抵押物状况的随时检查。</w:t>
      </w:r>
    </w:p>
    <w:p>
      <w:pPr>
        <w:numPr>
          <w:ilvl w:val="2"/>
          <w:numId w:val="18"/>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除本合同第</w:t>
      </w:r>
      <w:r>
        <w:rPr>
          <w:color w:val="000000" w:themeColor="text1"/>
          <w:szCs w:val="21"/>
          <w14:textFill>
            <w14:solidFill>
              <w14:schemeClr w14:val="tx1"/>
            </w14:solidFill>
          </w14:textFill>
        </w:rPr>
        <w:t>10.17</w:t>
      </w:r>
      <w:r>
        <w:rPr>
          <w:rFonts w:hint="eastAsia"/>
          <w:color w:val="000000" w:themeColor="text1"/>
          <w:szCs w:val="21"/>
          <w14:textFill>
            <w14:solidFill>
              <w14:schemeClr w14:val="tx1"/>
            </w14:solidFill>
          </w14:textFill>
        </w:rPr>
        <w:t>款外，在本合同有效期内，抵押物如</w:t>
      </w:r>
      <w:bookmarkStart w:id="6" w:name="_Ref470118647"/>
      <w:r>
        <w:rPr>
          <w:rFonts w:hint="eastAsia"/>
          <w:color w:val="000000" w:themeColor="text1"/>
          <w:szCs w:val="21"/>
          <w14:textFill>
            <w14:solidFill>
              <w14:schemeClr w14:val="tx1"/>
            </w14:solidFill>
          </w14:textFill>
        </w:rPr>
        <w:t>有价值减少的可能，甲方应及时通知乙方，并按乙方的要求恢复抵押物的价值，或者提供与减少价值相当的、乙方认可的其他担保。否则，乙方有权提前行使抵押权，甲方应就抵押物价值减少部分承担赔偿责任。</w:t>
      </w:r>
      <w:bookmarkEnd w:id="6"/>
    </w:p>
    <w:p>
      <w:pPr>
        <w:pStyle w:val="33"/>
        <w:numPr>
          <w:ilvl w:val="2"/>
          <w:numId w:val="16"/>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抵押物的保险</w:t>
      </w:r>
    </w:p>
    <w:p>
      <w:pPr>
        <w:pStyle w:val="27"/>
        <w:adjustRightInd w:val="0"/>
        <w:spacing w:line="380" w:lineRule="exact"/>
        <w:ind w:firstLine="420" w:firstLineChars="200"/>
        <w:contextualSpacing/>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本合同的抵押物保险办理方式详见本合同第二十条约定。以下条款适用于需办理保险的情形：</w:t>
      </w:r>
    </w:p>
    <w:p>
      <w:pPr>
        <w:numPr>
          <w:ilvl w:val="2"/>
          <w:numId w:val="19"/>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保险单中不应有任何限制乙方权益的条款。为保障贷款安全，贷款未结清前，不得退保且经乙方同意方可变更保险的优先受偿人（第一受益人）。抵押物保险单和续保单由乙方保管。</w:t>
      </w:r>
    </w:p>
    <w:p>
      <w:pPr>
        <w:numPr>
          <w:ilvl w:val="2"/>
          <w:numId w:val="19"/>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如甲方没有按本条前款约定办理保险或支付保险费，乙方有权办理抵押物投保手续。</w:t>
      </w:r>
    </w:p>
    <w:p>
      <w:pPr>
        <w:numPr>
          <w:ilvl w:val="2"/>
          <w:numId w:val="19"/>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在本合同有效期内，如发生抵押物灭失、毁损等情形，乙方就该抵押物的保险金、赔偿金或者补偿金等优先受偿。</w:t>
      </w:r>
    </w:p>
    <w:p>
      <w:pPr>
        <w:numPr>
          <w:ilvl w:val="2"/>
          <w:numId w:val="19"/>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在本合同有效期内，如甲方未按本合同约定办理抵押物保险或续保，抵押物凡发生可归属于抵押物保险范围内的损失的，或者抵押物因第三方的行为发生灭失、毁损，甲方未从第三方取得损害赔偿金的或者甲方已办理了抵押物保险，但出险原因为保险合同规定的保险公司免责事由的，均适用本合同第</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_Ref473141651 \r \h  \* MERGEFORMAT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12.</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13</w:t>
      </w:r>
      <w:r>
        <w:rPr>
          <w:rFonts w:hint="eastAsia"/>
          <w:color w:val="000000" w:themeColor="text1"/>
          <w:szCs w:val="21"/>
          <w14:textFill>
            <w14:solidFill>
              <w14:schemeClr w14:val="tx1"/>
            </w14:solidFill>
          </w14:textFill>
        </w:rPr>
        <w:t>款的约定。</w:t>
      </w:r>
    </w:p>
    <w:p>
      <w:pPr>
        <w:numPr>
          <w:ilvl w:val="2"/>
          <w:numId w:val="19"/>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就抵押物取得的保险赔偿金，乙方有权选择下列方法进行处理，甲方应协助办理有关手续：</w:t>
      </w:r>
    </w:p>
    <w:p>
      <w:pPr>
        <w:pStyle w:val="26"/>
        <w:spacing w:line="380" w:lineRule="exact"/>
        <w:contextualSpacing/>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①用于修复抵押物，以恢复抵押物价值；</w:t>
      </w:r>
    </w:p>
    <w:p>
      <w:pPr>
        <w:pStyle w:val="26"/>
        <w:spacing w:line="380" w:lineRule="exact"/>
        <w:contextualSpacing/>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②清偿或提前清偿本合同项下债务本息及相关费用；</w:t>
      </w:r>
    </w:p>
    <w:p>
      <w:pPr>
        <w:pStyle w:val="26"/>
        <w:spacing w:line="380" w:lineRule="exact"/>
        <w:contextualSpacing/>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③转为定期存款，存单用于质押或直接存入甲方在乙方处开立的保证金账户，继续为本合同项下债务提供质押担保；</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④甲方提供符合乙方要求的新的担保后，由甲方自由处分。</w:t>
      </w:r>
    </w:p>
    <w:p>
      <w:pPr>
        <w:pStyle w:val="33"/>
        <w:numPr>
          <w:ilvl w:val="2"/>
          <w:numId w:val="16"/>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抵押登记</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除本合同另有约定外，甲方或其授权代理人应按照本合同</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_Ref470034903 \r \h  \* MERGEFORMAT </w:instrText>
      </w:r>
      <w:r>
        <w:rPr>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第二十条</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的约定，及时到抵押物法定的登记管理部门办理抵押登记手续，并在抵押登记手续办妥后三日内将房屋他项权证等证明文件的正本交乙方保管。</w:t>
      </w:r>
    </w:p>
    <w:p>
      <w:pPr>
        <w:adjustRightInd w:val="0"/>
        <w:spacing w:line="380" w:lineRule="exact"/>
        <w:ind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如果甲方在规定时间内，因自身原因未及时办妥预告登记、房产所有权证或抵押登记手续，甲方除应按照本协议的约定承担违约责任外，乙方还可以对甲方加收违约金或有权宣布贷款提前到期，违约金的计算标准以贷款本金为基础并按照本合同第二十条约定的逾期贷款罚息利率执行，自办理期届满的次日起收取，至不动产登记证明</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他项权证办妥日止（以不动产登记证明</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他项权证载明日期为准）。</w:t>
      </w:r>
    </w:p>
    <w:p>
      <w:pPr>
        <w:numPr>
          <w:ilvl w:val="0"/>
          <w:numId w:val="1"/>
        </w:numPr>
        <w:tabs>
          <w:tab w:val="left" w:pos="1134"/>
        </w:tabs>
        <w:adjustRightInd w:val="0"/>
        <w:spacing w:line="380" w:lineRule="exact"/>
        <w:ind w:left="0" w:firstLine="422" w:firstLineChars="200"/>
        <w:contextualSpacing/>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甲方的声明和保证</w:t>
      </w:r>
    </w:p>
    <w:p>
      <w:pPr>
        <w:pStyle w:val="27"/>
        <w:numPr>
          <w:ilvl w:val="1"/>
          <w:numId w:val="20"/>
        </w:numPr>
        <w:tabs>
          <w:tab w:val="left" w:pos="851"/>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是依据中华人民共和国法律具有签订和履行本合同所必须的民事权利能力和行为能力的自然人，能独立承担民事责任，且其信用记录符合乙方要求，无犯罪记录、符合法律法规规定的关于借款人应当具备的全部条件。</w:t>
      </w:r>
    </w:p>
    <w:p>
      <w:pPr>
        <w:pStyle w:val="27"/>
        <w:numPr>
          <w:ilvl w:val="1"/>
          <w:numId w:val="20"/>
        </w:numPr>
        <w:tabs>
          <w:tab w:val="left" w:pos="851"/>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甲方承诺已按乙方要求如实披露其婚姻状况。</w:t>
      </w:r>
    </w:p>
    <w:p>
      <w:pPr>
        <w:pStyle w:val="27"/>
        <w:numPr>
          <w:ilvl w:val="1"/>
          <w:numId w:val="20"/>
        </w:numPr>
        <w:tabs>
          <w:tab w:val="left" w:pos="851"/>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具有充分的权利和授权签订和履行本合同，本合同的签订及履行不会违反其所适用的任何法律法规规定及判决、裁定、授权及对其有约束力的任何协议、合同和其他法律文件，不会对任意第三人构成违约或侵权。</w:t>
      </w:r>
    </w:p>
    <w:p>
      <w:pPr>
        <w:pStyle w:val="27"/>
        <w:numPr>
          <w:ilvl w:val="1"/>
          <w:numId w:val="20"/>
        </w:numPr>
        <w:tabs>
          <w:tab w:val="left" w:pos="851"/>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甲方完全出自真实意愿签署和履行本合同，并承诺将以最大的诚实信用原则履行本合同。甲方自愿按照本合同约定以抵押物提供抵押担保，甲方签署并履行本合同已经征得其配偶及其他财产共有人同意。</w:t>
      </w:r>
    </w:p>
    <w:p>
      <w:pPr>
        <w:pStyle w:val="27"/>
        <w:numPr>
          <w:ilvl w:val="1"/>
          <w:numId w:val="20"/>
        </w:numPr>
        <w:tabs>
          <w:tab w:val="left" w:pos="851"/>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提供的一切资料、信息均是合法、真实、准确、完整的。除已向乙方书面披露的情形以外，甲方没有任何可能影响本合同履行的其他任何重大负债（包括或有负债）、违约行为、诉讼、仲裁事项或其他影响其资产的重大事宜未向乙方披露。</w:t>
      </w:r>
    </w:p>
    <w:p>
      <w:pPr>
        <w:pStyle w:val="27"/>
        <w:numPr>
          <w:ilvl w:val="1"/>
          <w:numId w:val="20"/>
        </w:numPr>
        <w:tabs>
          <w:tab w:val="left" w:pos="851"/>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甲方承诺在本合同签署后，如经乙方核实，甲方不符合贷款发放条件而未予放款时，甲方无异议。</w:t>
      </w:r>
    </w:p>
    <w:p>
      <w:pPr>
        <w:pStyle w:val="27"/>
        <w:numPr>
          <w:ilvl w:val="1"/>
          <w:numId w:val="20"/>
        </w:numPr>
        <w:tabs>
          <w:tab w:val="left" w:pos="851"/>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甲方以抵押物设立本抵押不会受到任何限制或禁止，不会造成任何不合法的情形。</w:t>
      </w:r>
    </w:p>
    <w:p>
      <w:pPr>
        <w:pStyle w:val="27"/>
        <w:numPr>
          <w:ilvl w:val="1"/>
          <w:numId w:val="20"/>
        </w:numPr>
        <w:tabs>
          <w:tab w:val="left" w:pos="851"/>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对本合同项下的抵押物拥有完全的、有效的、合法的所有权或处分权，需依法取得权属证明的抵押物已依法获发全部权属证明文件，本合同签署前，除甲方已向乙方披露外，甲方承诺该抵押物不存在其他任何争议或任何权属瑕疵，未向任何第三方提供质押、抵押或其他担保，未设立居住权、租赁权等其他任何形式的权利负担，未被依法查封、扣押、监管、抵押或者被采取其他强制性措施。如抵押物上存在其他共同共有人或按份共有人，则甲方应向乙方真实、准确、完整地披露关于共有的所有事实情况，并按照乙方要求获得该共有人所有的必要的同意和批准。本合同签署后，</w:t>
      </w:r>
      <w:bookmarkStart w:id="7" w:name="_Hlk50613423"/>
      <w:r>
        <w:rPr>
          <w:rFonts w:hint="eastAsia"/>
          <w:color w:val="000000" w:themeColor="text1"/>
          <w:szCs w:val="21"/>
          <w14:textFill>
            <w14:solidFill>
              <w14:schemeClr w14:val="tx1"/>
            </w14:solidFill>
          </w14:textFill>
        </w:rPr>
        <w:t>未经乙方书面同意，甲方不得变更抵押物共有性质和状态（包括但不限于共同共有转为按份共有、按份共有转为共同共有、按份共有份额发生变化）。</w:t>
      </w:r>
      <w:bookmarkEnd w:id="7"/>
    </w:p>
    <w:p>
      <w:pPr>
        <w:pStyle w:val="27"/>
        <w:numPr>
          <w:ilvl w:val="1"/>
          <w:numId w:val="20"/>
        </w:numPr>
        <w:tabs>
          <w:tab w:val="left" w:pos="851"/>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甲方承诺：当甲方不履行到期债务或发生约定的实现抵押权的情形时，无论乙方对本合同项下的债权是否拥有其他担保（包括但不限于甲方和</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或第三人提供的物的担保、保证、保函、备用信用证等其他具有担保功能的担保方式）或增信方式，乙方均有权直接要求甲方在其担保范围内承担担保责任，无需事先行使其他担保权利（包括但不限于先行处置甲方和</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或第三人提供的物的担保）；如本合同的担保范围包含多笔债权的，乙方有权决定债权之间的清偿顺序及比例。</w:t>
      </w:r>
    </w:p>
    <w:p>
      <w:pPr>
        <w:pStyle w:val="27"/>
        <w:numPr>
          <w:ilvl w:val="1"/>
          <w:numId w:val="20"/>
        </w:numPr>
        <w:tabs>
          <w:tab w:val="left" w:pos="851"/>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甲方提供的抵押物并非甲方及其所扶养家属所必需的居住房屋。</w:t>
      </w:r>
    </w:p>
    <w:p>
      <w:pPr>
        <w:pStyle w:val="27"/>
        <w:numPr>
          <w:ilvl w:val="1"/>
          <w:numId w:val="20"/>
        </w:numPr>
        <w:tabs>
          <w:tab w:val="left" w:pos="851"/>
        </w:tabs>
        <w:adjustRightInd w:val="0"/>
        <w:spacing w:line="380" w:lineRule="exact"/>
        <w:ind w:left="0" w:firstLine="422" w:firstLineChars="200"/>
        <w:contextualSpacing/>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甲方与乙方签订本合同时</w:t>
      </w:r>
      <w:r>
        <w:rPr>
          <w:rFonts w:hint="eastAsia"/>
          <w:color w:val="000000" w:themeColor="text1"/>
          <w:szCs w:val="21"/>
          <w14:textFill>
            <w14:solidFill>
              <w14:schemeClr w14:val="tx1"/>
            </w14:solidFill>
          </w14:textFill>
        </w:rPr>
        <w:t>，未向乙方隐瞒任何已经或将要对第三人负担的债务，亦未向乙方隐瞒任何对外担保事实。</w:t>
      </w:r>
    </w:p>
    <w:p>
      <w:pPr>
        <w:pStyle w:val="27"/>
        <w:numPr>
          <w:ilvl w:val="1"/>
          <w:numId w:val="20"/>
        </w:numPr>
        <w:tabs>
          <w:tab w:val="left" w:pos="851"/>
        </w:tabs>
        <w:adjustRightInd w:val="0"/>
        <w:spacing w:line="380" w:lineRule="exact"/>
        <w:ind w:left="0" w:firstLine="422" w:firstLineChars="200"/>
        <w:contextualSpacing/>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同意乙方将其信贷信息提供给金融信用信息基础数据库，授权并同意乙方为本合同之目的向金融信用信息基础数据库查询、下载、复制、打印、使用其征信信息，并用于与本合同相关的授信申请与审批、用信、授信后管理、信贷服务或其他监管机构允许的用途；如甲方未按照合同约定偿还借款本息，由此产生的不良信用后果由甲方自行承担。</w:t>
      </w:r>
    </w:p>
    <w:p>
      <w:pPr>
        <w:adjustRightInd w:val="0"/>
        <w:spacing w:line="380" w:lineRule="exact"/>
        <w:ind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甲方同意乙方可以按照有关授权文件的授权向其他合法机构查询甲方的相关必要信息。</w:t>
      </w:r>
    </w:p>
    <w:p>
      <w:pPr>
        <w:pStyle w:val="27"/>
        <w:numPr>
          <w:ilvl w:val="1"/>
          <w:numId w:val="20"/>
        </w:numPr>
        <w:tabs>
          <w:tab w:val="left" w:pos="851"/>
        </w:tabs>
        <w:adjustRightInd w:val="0"/>
        <w:spacing w:line="380" w:lineRule="exact"/>
        <w:ind w:left="0" w:firstLine="422" w:firstLineChars="200"/>
        <w:contextualSpacing/>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甲方授权乙方有权查询、下载、复制、打印、使用甲方账户信息及资信、经济状况，包括但不限于交易流水、对账单，用于乙方审查审批、贷后管理或办理必要的公证手续使用，及作为资料</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证据材料向监管机关、司法机关、仲裁机构提交。</w:t>
      </w:r>
    </w:p>
    <w:p>
      <w:pPr>
        <w:pStyle w:val="27"/>
        <w:numPr>
          <w:ilvl w:val="1"/>
          <w:numId w:val="20"/>
        </w:numPr>
        <w:tabs>
          <w:tab w:val="left" w:pos="851"/>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应遵守中华人民共和国反洗钱法律法规，不参与涉嫌洗钱、恐怖融资、扩散融资等违法犯罪活动；主动配合乙方客户身份识别与尽职调查，提供真实、准确、完整客户资料，遵守乙方反洗钱与反恐怖融资相关管理规定。对具备合理理由怀疑涉嫌洗钱、恐怖融资的客户，乙方将按照中国人民银行反洗钱监管规定采取必要管控措施。</w:t>
      </w:r>
    </w:p>
    <w:p>
      <w:pPr>
        <w:numPr>
          <w:ilvl w:val="0"/>
          <w:numId w:val="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甲方的权利和义务</w:t>
      </w:r>
    </w:p>
    <w:p>
      <w:pPr>
        <w:pStyle w:val="33"/>
        <w:numPr>
          <w:ilvl w:val="1"/>
          <w:numId w:val="21"/>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有权要求乙方按本合同约定提供贷款。</w:t>
      </w:r>
    </w:p>
    <w:p>
      <w:pPr>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有权按本合同约定使用贷款。</w:t>
      </w:r>
    </w:p>
    <w:p>
      <w:pPr>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有权要求乙方对甲方所提供的财产、账户等个人资料情况保密，但法律法规另有规定或甲方、乙方另有约定的除外。</w:t>
      </w:r>
    </w:p>
    <w:p>
      <w:pPr>
        <w:numPr>
          <w:ilvl w:val="1"/>
          <w:numId w:val="21"/>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应按乙方要求如实提供文件资料，并配合乙方的调查、审查和检查以及乙方贷款发放后的管理工作，接受乙方对其贷款使用情况和有关个人财务活动及抵押物保管、使用情况的监督。</w:t>
      </w:r>
      <w:r>
        <w:rPr>
          <w:rFonts w:hint="eastAsia"/>
          <w:b/>
          <w:bCs/>
          <w:color w:val="000000" w:themeColor="text1"/>
          <w:szCs w:val="21"/>
          <w14:textFill>
            <w14:solidFill>
              <w14:schemeClr w14:val="tx1"/>
            </w14:solidFill>
          </w14:textFill>
        </w:rPr>
        <w:t>甲方知悉并同意乙方为开展上述调查、审查和检查以及贷后管理工作，有权查询其在乙方保存的包括但不限于本合同业务项下的个人信息及金融交易信息（包括账务信息）并作为乙方对其个人财务分析的依据</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参考。</w:t>
      </w:r>
    </w:p>
    <w:p>
      <w:pPr>
        <w:numPr>
          <w:ilvl w:val="1"/>
          <w:numId w:val="21"/>
        </w:numPr>
        <w:tabs>
          <w:tab w:val="left" w:pos="993"/>
        </w:tabs>
        <w:adjustRightInd w:val="0"/>
        <w:spacing w:line="380" w:lineRule="exact"/>
        <w:ind w:left="0" w:firstLine="420" w:firstLineChars="200"/>
        <w:contextualSpacing/>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应定期或随时应乙方要求，向乙方提供真实反映甲方财务状况或收入情况的文件或证明。</w:t>
      </w:r>
    </w:p>
    <w:p>
      <w:pPr>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应按本合同的约定用途使用贷款。同时，应妥善保管贷款用途相关证明材料，配合乙方贷后对资金用途的核查工作。</w:t>
      </w:r>
    </w:p>
    <w:p>
      <w:pPr>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应按本合同、</w:t>
      </w:r>
      <w:r>
        <w:rPr>
          <w:rFonts w:hint="eastAsia" w:ascii="宋体" w:hAnsi="宋体"/>
          <w:color w:val="000000" w:themeColor="text1"/>
          <w:szCs w:val="21"/>
          <w14:textFill>
            <w14:solidFill>
              <w14:schemeClr w14:val="tx1"/>
            </w14:solidFill>
          </w14:textFill>
        </w:rPr>
        <w:t>还款计划表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借款凭证（</w:t>
      </w:r>
      <w:r>
        <w:rPr>
          <w:rFonts w:hint="eastAsia"/>
          <w:color w:val="000000" w:themeColor="text1"/>
          <w:szCs w:val="21"/>
          <w14:textFill>
            <w14:solidFill>
              <w14:schemeClr w14:val="tx1"/>
            </w14:solidFill>
          </w14:textFill>
        </w:rPr>
        <w:t>借据</w:t>
      </w:r>
      <w:r>
        <w:rPr>
          <w:rFonts w:hint="eastAsia"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及相应凭证的约定按时足额偿还贷款本金、利息和相关费用。</w:t>
      </w:r>
    </w:p>
    <w:p>
      <w:pPr>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乙方要求甲方对记载贷款发生记录情况的对账单签署签收回执的，甲方有义务予以配合。</w:t>
      </w:r>
    </w:p>
    <w:p>
      <w:pPr>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未经乙方书面同意，不得擅自将本合同项下义务转让给第三人。</w:t>
      </w:r>
    </w:p>
    <w:p>
      <w:pPr>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本合同有效期内，若甲方发生对本合同项下贷款或对乙方抵押权产生或可能产生不利影响的情况，包括但不限于甲方或甲方配偶国籍变更、姓名变更、住所地变更、联系方式变更、婚姻情况变动、失业、伤残、重大疾病、财务状况恶化或涉及任何诉讼、仲裁、刑事、民事、行政处罚及经济纠纷，或发生死亡、被宣告死亡、失踪、被宣告失踪、丧失民事行为能力等情形时，甲方或其继承人、代理人等主体应在前述情形发生或可能发生之日起三日内书面通知乙方，并根据乙方要求提前清偿全部贷款本息或落实担保措施。</w:t>
      </w:r>
    </w:p>
    <w:p>
      <w:pPr>
        <w:numPr>
          <w:ilvl w:val="1"/>
          <w:numId w:val="21"/>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甲方知悉并同意，在本合同项下贷款存续期间，乙方有权将本合同项下债权及对应的担保权利转让给第三方，在乙方转让债权及担保权利时，甲方有义务配合办理相应的债权与担保权利转让及登记手续（如有）。</w:t>
      </w:r>
    </w:p>
    <w:p>
      <w:pPr>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甲方不得以其与任何第三方就本合同项下贷款所购房屋发生的任何纠纷为由拒绝履行其还款义务。</w:t>
      </w:r>
    </w:p>
    <w:p>
      <w:pPr>
        <w:pStyle w:val="27"/>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本合同有效期内，未经乙方的事先书面同意，甲方不得转让、出租、再行抵押、赠与、托管、重大改装增补、设立居住权或以其他方式处分抵押物的全部或部分。如乙方同意甲方处分抵押物，甲方同意乙方有权选择下列方式处理处分抵押物之所得款项，并协助办理有关手续：</w:t>
      </w:r>
    </w:p>
    <w:p>
      <w:pPr>
        <w:numPr>
          <w:ilvl w:val="0"/>
          <w:numId w:val="22"/>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清偿或提前清偿本合同项下债务本息及相关费用。</w:t>
      </w:r>
    </w:p>
    <w:p>
      <w:pPr>
        <w:numPr>
          <w:ilvl w:val="0"/>
          <w:numId w:val="22"/>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转为定期存款，存单用于质押或直接存入甲方在乙方处开立的保证金账户，继续为本合同项下债务提供质押担保。</w:t>
      </w:r>
    </w:p>
    <w:p>
      <w:pPr>
        <w:numPr>
          <w:ilvl w:val="0"/>
          <w:numId w:val="22"/>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向乙方指定的第三人提存。</w:t>
      </w:r>
    </w:p>
    <w:p>
      <w:pPr>
        <w:numPr>
          <w:ilvl w:val="0"/>
          <w:numId w:val="22"/>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甲方提供符合乙方要求且经乙方认可的新的担保后，可将处分原抵押物所得价款自由处分。</w:t>
      </w:r>
    </w:p>
    <w:p>
      <w:pPr>
        <w:pStyle w:val="27"/>
        <w:numPr>
          <w:ilvl w:val="1"/>
          <w:numId w:val="21"/>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本合同有效期内，甲方应定期向乙方书面报告抵押物状态（包括但不限于抵押物是否已毁损、查封、扣押、转让、拍卖、改扩建等情况）。如抵押物发生被查封、被政府征收、征用或者被采取其他强制性措施、权属发生争议、价值减少、受到或可能受到来自任何第三方的侵害、安全或完好状态受到或可能受到不利影响等情况时，甲方应立即书面通知乙方并根据乙方要求提供乙方认可的其他担保，因此导致乙方的损失，甲方应承担赔偿责任。</w:t>
      </w:r>
    </w:p>
    <w:p>
      <w:pPr>
        <w:pStyle w:val="27"/>
        <w:numPr>
          <w:ilvl w:val="1"/>
          <w:numId w:val="21"/>
        </w:numPr>
        <w:tabs>
          <w:tab w:val="left" w:pos="993"/>
        </w:tabs>
        <w:adjustRightInd w:val="0"/>
        <w:spacing w:line="380" w:lineRule="exact"/>
        <w:ind w:left="0" w:firstLine="420" w:firstLineChars="200"/>
        <w:contextualSpacing/>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如甲方已将抵押物出租的，在签署本合同前甲方应将设立抵押事宜书面告知承租人，并向乙方提供甲方与承租人签署的书面协议及</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或有关出租情况书面说明，包括但不限于抵押物的承租人、承租期限、租金支付安排，并留有承租人联系方式。</w:t>
      </w:r>
      <w:r>
        <w:rPr>
          <w:rFonts w:hint="eastAsia"/>
          <w:b/>
          <w:color w:val="000000" w:themeColor="text1"/>
          <w:szCs w:val="21"/>
          <w14:textFill>
            <w14:solidFill>
              <w14:schemeClr w14:val="tx1"/>
            </w14:solidFill>
          </w14:textFill>
        </w:rPr>
        <w:t>甲方承诺，在本合同项下债务结清前，抵押物的出租合同因任何原因解除、终止的，未经乙方书面同意，甲方不得续租或再行出租。</w:t>
      </w:r>
    </w:p>
    <w:p>
      <w:pPr>
        <w:pStyle w:val="27"/>
        <w:numPr>
          <w:ilvl w:val="1"/>
          <w:numId w:val="21"/>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bookmarkStart w:id="8" w:name="_Ref471680540"/>
      <w:r>
        <w:rPr>
          <w:rFonts w:hint="eastAsia"/>
          <w:b/>
          <w:color w:val="000000" w:themeColor="text1"/>
          <w:szCs w:val="21"/>
          <w14:textFill>
            <w14:solidFill>
              <w14:schemeClr w14:val="tx1"/>
            </w14:solidFill>
          </w14:textFill>
        </w:rPr>
        <w:t>在本合同有效期间内，如根据相关法律规定，抵押物的住宅建设用地使用权期限届满的，甲方应及时办理续期手续并缴纳续期费用。甲方未履行相关续期手续的，乙方有权代甲方履行，甲方应承担乙方垫付的续期费用及相关费用。</w:t>
      </w:r>
    </w:p>
    <w:p>
      <w:pPr>
        <w:pStyle w:val="27"/>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在本合同有效期间内，如甲方获知抵押房屋将被拆迁的信息，应及时书面通知乙方，如甲方未及时履行告知义务，应承担因此产生的违约责任。甲方同意，乙方有权选择下列方式处理该等拆迁房屋：</w:t>
      </w:r>
      <w:bookmarkEnd w:id="8"/>
    </w:p>
    <w:p>
      <w:pPr>
        <w:pStyle w:val="33"/>
        <w:numPr>
          <w:ilvl w:val="2"/>
          <w:numId w:val="23"/>
        </w:numPr>
        <w:tabs>
          <w:tab w:val="left" w:pos="993"/>
        </w:tabs>
        <w:adjustRightInd w:val="0"/>
        <w:spacing w:line="380" w:lineRule="exact"/>
        <w:ind w:left="0" w:firstLine="420"/>
        <w:contextualSpacing/>
        <w:rPr>
          <w:color w:val="000000" w:themeColor="text1"/>
          <w:szCs w:val="21"/>
          <w14:textFill>
            <w14:solidFill>
              <w14:schemeClr w14:val="tx1"/>
            </w14:solidFill>
          </w14:textFill>
        </w:rPr>
      </w:pPr>
      <w:bookmarkStart w:id="9" w:name="_Ref470040802"/>
      <w:r>
        <w:rPr>
          <w:rFonts w:hint="eastAsia"/>
          <w:color w:val="000000" w:themeColor="text1"/>
          <w:szCs w:val="21"/>
          <w14:textFill>
            <w14:solidFill>
              <w14:schemeClr w14:val="tx1"/>
            </w14:solidFill>
          </w14:textFill>
        </w:rPr>
        <w:t>如该等抵押物拆迁以产权调换方式予以补偿，乙方有权要求：</w:t>
      </w:r>
    </w:p>
    <w:p>
      <w:pPr>
        <w:numPr>
          <w:ilvl w:val="0"/>
          <w:numId w:val="24"/>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甲方应就新获得的房屋重新设置抵押并签订新的抵押协议，在原有抵押物被拆迁但新设定抵押的房屋未办妥抵押登记之前，甲方应提供新的乙方认可的担保；或</w:t>
      </w:r>
    </w:p>
    <w:p>
      <w:pPr>
        <w:numPr>
          <w:ilvl w:val="0"/>
          <w:numId w:val="24"/>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甲方提供乙方认可的其他担保。</w:t>
      </w:r>
    </w:p>
    <w:p>
      <w:pPr>
        <w:pStyle w:val="33"/>
        <w:numPr>
          <w:ilvl w:val="2"/>
          <w:numId w:val="23"/>
        </w:numPr>
        <w:tabs>
          <w:tab w:val="left" w:pos="993"/>
        </w:tabs>
        <w:adjustRightInd w:val="0"/>
        <w:spacing w:line="380" w:lineRule="exact"/>
        <w:ind w:left="0" w:firstLine="422"/>
        <w:contextualSpacing/>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如该等抵押物拆迁以补偿款方式予以补偿，乙方有权要求：</w:t>
      </w:r>
    </w:p>
    <w:p>
      <w:pPr>
        <w:numPr>
          <w:ilvl w:val="0"/>
          <w:numId w:val="25"/>
        </w:numPr>
        <w:tabs>
          <w:tab w:val="left" w:pos="709"/>
        </w:tabs>
        <w:adjustRightInd w:val="0"/>
        <w:spacing w:line="380" w:lineRule="exact"/>
        <w:ind w:left="0" w:firstLine="422" w:firstLineChars="200"/>
        <w:contextualSpacing/>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甲方将抵押物拆迁补偿款用于清偿或提前清偿本合同项下债务本息及相关费用；或</w:t>
      </w:r>
    </w:p>
    <w:p>
      <w:pPr>
        <w:numPr>
          <w:ilvl w:val="0"/>
          <w:numId w:val="25"/>
        </w:numPr>
        <w:tabs>
          <w:tab w:val="left" w:pos="709"/>
        </w:tabs>
        <w:adjustRightInd w:val="0"/>
        <w:spacing w:line="380" w:lineRule="exact"/>
        <w:ind w:left="0" w:firstLine="422" w:firstLineChars="200"/>
        <w:contextualSpacing/>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甲方将抵押物拆迁补偿款存入乙方指定的保证金专户作为本合同项下债务的质押担保；或</w:t>
      </w:r>
    </w:p>
    <w:p>
      <w:pPr>
        <w:numPr>
          <w:ilvl w:val="0"/>
          <w:numId w:val="25"/>
        </w:numPr>
        <w:tabs>
          <w:tab w:val="left" w:pos="709"/>
        </w:tabs>
        <w:adjustRightInd w:val="0"/>
        <w:spacing w:line="380" w:lineRule="exact"/>
        <w:ind w:left="0" w:firstLine="422" w:firstLineChars="200"/>
        <w:contextualSpacing/>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甲方将抵押物拆迁补偿款以定期存单方式质押予乙方作为本合同项下债务的质押担保；或</w:t>
      </w:r>
    </w:p>
    <w:p>
      <w:pPr>
        <w:numPr>
          <w:ilvl w:val="0"/>
          <w:numId w:val="25"/>
        </w:numPr>
        <w:tabs>
          <w:tab w:val="left" w:pos="709"/>
        </w:tabs>
        <w:adjustRightInd w:val="0"/>
        <w:spacing w:line="380" w:lineRule="exact"/>
        <w:ind w:left="0" w:firstLine="422" w:firstLineChars="200"/>
        <w:contextualSpacing/>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甲方提供乙方认可的其他担保。</w:t>
      </w:r>
    </w:p>
    <w:p>
      <w:pPr>
        <w:pStyle w:val="33"/>
        <w:numPr>
          <w:ilvl w:val="2"/>
          <w:numId w:val="23"/>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如该等抵押物拆迁未采用前述两种方式进行补偿或除前述约定外甲乙双方仍有未尽事宜，由双方协商确定相关后续事宜。</w:t>
      </w:r>
    </w:p>
    <w:bookmarkEnd w:id="9"/>
    <w:p>
      <w:pPr>
        <w:pStyle w:val="27"/>
        <w:numPr>
          <w:ilvl w:val="1"/>
          <w:numId w:val="21"/>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甲方有义务积极配合办理本合同项下贷款所购买房屋的所有权证和抵押登记手续。</w:t>
      </w:r>
    </w:p>
    <w:p>
      <w:pPr>
        <w:pStyle w:val="27"/>
        <w:numPr>
          <w:ilvl w:val="1"/>
          <w:numId w:val="21"/>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如因国家税收相关法律法规变化，导致在甲方作为抵押物所有权人持有抵押物期间，或抵押物的建设用地使用权续期时，或乙方按照本合同约定处置抵押物、实现抵押权时发生相应税收负担，并致使抵押物实际价值发生不利变动，则相应税费均应由甲方另行承担，并按照乙方要求进行支付。甲方未及时缴纳相关税费的，乙方有权代甲方缴纳，甲方应承担乙方垫付的税费。</w:t>
      </w:r>
    </w:p>
    <w:p>
      <w:pPr>
        <w:numPr>
          <w:ilvl w:val="0"/>
          <w:numId w:val="1"/>
        </w:numPr>
        <w:tabs>
          <w:tab w:val="left" w:pos="1276"/>
        </w:tabs>
        <w:adjustRightInd w:val="0"/>
        <w:spacing w:line="380" w:lineRule="exact"/>
        <w:ind w:left="0" w:firstLine="422" w:firstLineChars="200"/>
        <w:contextualSpacing/>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乙方的声明和保证</w:t>
      </w:r>
    </w:p>
    <w:p>
      <w:pPr>
        <w:pStyle w:val="27"/>
        <w:numPr>
          <w:ilvl w:val="1"/>
          <w:numId w:val="26"/>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乙方是一家依法设立并有效存续的商业银行，具有充分的权利和授权签订和履行本合同。</w:t>
      </w:r>
    </w:p>
    <w:p>
      <w:pPr>
        <w:pStyle w:val="27"/>
        <w:numPr>
          <w:ilvl w:val="1"/>
          <w:numId w:val="26"/>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乙方承诺将以最大的诚实信用原则履行本合同。</w:t>
      </w:r>
    </w:p>
    <w:p>
      <w:pPr>
        <w:numPr>
          <w:ilvl w:val="0"/>
          <w:numId w:val="1"/>
        </w:numPr>
        <w:tabs>
          <w:tab w:val="left" w:pos="993"/>
          <w:tab w:val="left" w:pos="1276"/>
        </w:tabs>
        <w:adjustRightInd w:val="0"/>
        <w:spacing w:line="380" w:lineRule="exact"/>
        <w:ind w:left="0" w:firstLine="422" w:firstLineChars="200"/>
        <w:contextualSpacing/>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乙方的权利和义务</w:t>
      </w:r>
    </w:p>
    <w:p>
      <w:pPr>
        <w:pStyle w:val="33"/>
        <w:numPr>
          <w:ilvl w:val="1"/>
          <w:numId w:val="27"/>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要求甲方按期偿还本合同项下全部贷款本息并支付相关费用。</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要求甲方、丙方提供与本合同项下贷款申请、使用及担保有关的资料。</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有权调查、了解甲方、丙方的资信状况和经济状况，</w:t>
      </w:r>
      <w:r>
        <w:rPr>
          <w:rFonts w:hint="eastAsia"/>
          <w:b/>
          <w:color w:val="000000" w:themeColor="text1"/>
          <w:szCs w:val="21"/>
          <w14:textFill>
            <w14:solidFill>
              <w14:schemeClr w14:val="tx1"/>
            </w14:solidFill>
          </w14:textFill>
        </w:rPr>
        <w:t>有权查询甲方、丙方在各个合法征信机构的征信资料和甲方、丙方在乙方及乙方合作方的信息资料，并有权向合法的征信机构和合作方提供甲方、丙方的资信资料，但法律法规另有规定的除外。</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乙方及其授权代理人有权对本合同项下甲方所购买的房产进行查询和核实。</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乙方有权通过账户分析、凭证查验或现场调查等方式，监督或检查甲方按本合同及配套受托支付等文件约定的贷款用途使用贷款的情况，并要求甲方提供与贷款资金使用有关的资料。</w:t>
      </w:r>
    </w:p>
    <w:p>
      <w:pPr>
        <w:numPr>
          <w:ilvl w:val="1"/>
          <w:numId w:val="27"/>
        </w:numPr>
        <w:tabs>
          <w:tab w:val="left" w:pos="993"/>
        </w:tabs>
        <w:adjustRightInd w:val="0"/>
        <w:spacing w:line="380" w:lineRule="exact"/>
        <w:ind w:left="0" w:firstLine="422" w:firstLineChars="200"/>
        <w:contextualSpacing/>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乙方有权根据宏观经济情况、市场情况、甲方资信情况和授信担保条件的变化，以书面通知的形式对本合同项下贷款金额和贷款期限进行调整，并有权暂停或终止本合同项下贷款的发放。</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在担保阶段及保证期间，乙方有权对丙方的资金和财产状况进行监督，有权要求丙方如实提供其财务报表等资料。</w:t>
      </w:r>
    </w:p>
    <w:p>
      <w:pPr>
        <w:numPr>
          <w:ilvl w:val="1"/>
          <w:numId w:val="27"/>
        </w:numPr>
        <w:tabs>
          <w:tab w:val="left" w:pos="993"/>
        </w:tabs>
        <w:adjustRightInd w:val="0"/>
        <w:spacing w:line="380" w:lineRule="exact"/>
        <w:ind w:left="0" w:firstLine="422" w:firstLineChars="200"/>
        <w:contextualSpacing/>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乙方有权在甲方提款前对甲方个人信用等状况进行重新评估或审批。本合同项下贷款的支付方式不符合国家法律法规或乙方有关贷款支付的规定，或乙方规定的各项放款条件未完全满足前，或贷款审批未通过的，乙方有权暂停或终止发放贷款。</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乙方有权按本合同约定收取贷款本息、罚息、复利及违约金，并有权按约定行使担保权利。</w:t>
      </w:r>
    </w:p>
    <w:p>
      <w:pPr>
        <w:numPr>
          <w:ilvl w:val="1"/>
          <w:numId w:val="27"/>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甲方、丙方未能履行本合同</w:t>
      </w:r>
      <w:r>
        <w:rPr>
          <w:rFonts w:hint="eastAsia" w:ascii="宋体" w:hAnsi="宋体"/>
          <w:b/>
          <w:bCs/>
          <w:color w:val="000000" w:themeColor="text1"/>
          <w:szCs w:val="21"/>
          <w14:textFill>
            <w14:solidFill>
              <w14:schemeClr w14:val="tx1"/>
            </w14:solidFill>
          </w14:textFill>
        </w:rPr>
        <w:t>和</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或各具体业务申请书</w:t>
      </w:r>
      <w:r>
        <w:rPr>
          <w:rFonts w:hint="eastAsia"/>
          <w:b/>
          <w:color w:val="000000" w:themeColor="text1"/>
          <w:szCs w:val="21"/>
          <w14:textFill>
            <w14:solidFill>
              <w14:schemeClr w14:val="tx1"/>
            </w14:solidFill>
          </w14:textFill>
        </w:rPr>
        <w:t>约定义务的，乙方有权停止提供本合同项下贷款，要求甲方提前归还已发放的贷款本息及相关费用。</w:t>
      </w:r>
    </w:p>
    <w:p>
      <w:pPr>
        <w:numPr>
          <w:ilvl w:val="1"/>
          <w:numId w:val="27"/>
        </w:numPr>
        <w:tabs>
          <w:tab w:val="left" w:pos="993"/>
        </w:tabs>
        <w:adjustRightInd w:val="0"/>
        <w:spacing w:line="380" w:lineRule="exact"/>
        <w:ind w:left="0" w:firstLine="422" w:firstLineChars="200"/>
        <w:contextualSpacing/>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乙方有权自行或委托第三方通过电话、信函、手机短信、电子邮件、面访、公告或司法渠道等方式向甲方本人及其配偶、担保人催缴欠款，但法律法规另有规定的除外。</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如甲方、丙方未能按照本合同的约定履行全部或部分债务的，乙方有权按照本合同的约定行使担保权。</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bookmarkStart w:id="10" w:name="_Ref473141651"/>
      <w:r>
        <w:rPr>
          <w:rFonts w:hint="eastAsia"/>
          <w:color w:val="000000" w:themeColor="text1"/>
          <w:szCs w:val="21"/>
          <w14:textFill>
            <w14:solidFill>
              <w14:schemeClr w14:val="tx1"/>
            </w14:solidFill>
          </w14:textFill>
        </w:rPr>
        <w:t>如抵押物价值减少或有价值减少的可能，乙方有权要求甲方提供相应的担保。如甲方不提供的，乙方有权处分抵押物，并将处分所得款项用于提前清偿所担保的债权、提存或者转为定期存款，存单用于质押或直接存入甲方在乙方处开立的保证金账户，继续为本合同项下债务提供质押担保。</w:t>
      </w:r>
      <w:bookmarkEnd w:id="10"/>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乙方可以合法筹集的来源于第三方的资金发放贷款。</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乙方无需取得甲方、丙方同意即有权转让其在本合同项下债权及对应的担保权利，并办理相应的转让及变更登记手续（如有）。</w:t>
      </w:r>
    </w:p>
    <w:p>
      <w:pPr>
        <w:numPr>
          <w:ilvl w:val="1"/>
          <w:numId w:val="27"/>
        </w:numPr>
        <w:tabs>
          <w:tab w:val="left" w:pos="993"/>
        </w:tabs>
        <w:adjustRightInd w:val="0"/>
        <w:spacing w:line="380" w:lineRule="exact"/>
        <w:ind w:left="0" w:firstLine="422" w:firstLineChars="200"/>
        <w:contextualSpacing/>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在担保阶段，如甲方未能依照本合同约定按时偿还贷款本息或相关费用，乙方有权直接要求丙方承担担保责任并有权从丙方在中信银行股份有限公司任何营业机构开立的任何账户中直接扣划相应的款项。</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按本合同约定的条件在贷款额度内受理甲方的贷款申请并按本合同约定发放贷款。</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在甲方清偿了本合同项下的全部债务后，乙方应协助甲方到房屋登记管理部门办理抵押注销登记，并将乙方保管的属于甲方所有的抵押物权利证书、有效证明文件退还甲方。</w:t>
      </w:r>
    </w:p>
    <w:p>
      <w:pPr>
        <w:numPr>
          <w:ilvl w:val="1"/>
          <w:numId w:val="2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乙方应对甲方、丙方提供的有关资料、文件、信息保密，但本合同另有约定或依照法律、法规、规章或有权机关要求应当予以查询或者披露的除外。</w:t>
      </w:r>
      <w:bookmarkStart w:id="11" w:name="OLE_LINK2"/>
      <w:bookmarkEnd w:id="11"/>
    </w:p>
    <w:p>
      <w:pPr>
        <w:numPr>
          <w:ilvl w:val="1"/>
          <w:numId w:val="27"/>
        </w:numPr>
        <w:tabs>
          <w:tab w:val="left" w:pos="993"/>
        </w:tabs>
        <w:adjustRightInd w:val="0"/>
        <w:spacing w:line="380" w:lineRule="exact"/>
        <w:ind w:left="0" w:firstLine="422" w:firstLineChars="200"/>
        <w:contextualSpacing/>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乙方系统因临时维护、突发故障等不可预测原因暂停自助设备使用时，无须提前通知甲方。但如遇乙方系统阶段性维护、升级等可预测情形，乙方须通过官方网站等渠道提前公告通知甲方。</w:t>
      </w:r>
    </w:p>
    <w:p>
      <w:pPr>
        <w:numPr>
          <w:ilvl w:val="0"/>
          <w:numId w:val="1"/>
        </w:numPr>
        <w:tabs>
          <w:tab w:val="left" w:pos="1276"/>
        </w:tabs>
        <w:adjustRightInd w:val="0"/>
        <w:spacing w:line="380" w:lineRule="exact"/>
        <w:ind w:left="0" w:firstLine="422" w:firstLineChars="200"/>
        <w:contextualSpacing/>
        <w:rPr>
          <w:b/>
          <w:color w:val="000000" w:themeColor="text1"/>
          <w:szCs w:val="21"/>
          <w14:textFill>
            <w14:solidFill>
              <w14:schemeClr w14:val="tx1"/>
            </w14:solidFill>
          </w14:textFill>
        </w:rPr>
      </w:pPr>
      <w:bookmarkStart w:id="12" w:name="_Ref471675788"/>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丙方的声明和保证</w:t>
      </w:r>
      <w:bookmarkEnd w:id="12"/>
    </w:p>
    <w:p>
      <w:pPr>
        <w:pStyle w:val="33"/>
        <w:numPr>
          <w:ilvl w:val="1"/>
          <w:numId w:val="28"/>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丙方是根据中华人民共和国法律依法成立的法人或非法人组织，具有签订和履行本合同所必须的民事权利能力和行为能力，能独立承担民事责任。丙方应确保实际情况与登记事项一致。</w:t>
      </w:r>
    </w:p>
    <w:p>
      <w:pPr>
        <w:numPr>
          <w:ilvl w:val="1"/>
          <w:numId w:val="28"/>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丙方承诺已按乙方要求如实披露其实际控制人（如有）婚姻状况。</w:t>
      </w:r>
    </w:p>
    <w:p>
      <w:pPr>
        <w:numPr>
          <w:ilvl w:val="1"/>
          <w:numId w:val="28"/>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丙方具有充分的权利和授权签订和履行本合同，本合同的签订及履行不会违反其所适用的任何法律法规规定及判决、裁定、授权、协议、义务等。</w:t>
      </w:r>
    </w:p>
    <w:p>
      <w:pPr>
        <w:numPr>
          <w:ilvl w:val="1"/>
          <w:numId w:val="28"/>
        </w:numPr>
        <w:tabs>
          <w:tab w:val="left" w:pos="993"/>
        </w:tabs>
        <w:adjustRightInd w:val="0"/>
        <w:spacing w:line="380" w:lineRule="exact"/>
        <w:ind w:left="0" w:firstLine="420" w:firstLineChars="200"/>
        <w:contextualSpacing/>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丙方完全出自真实意愿签署和履行本合同，并承诺将以最大的诚实信用原则履行本合同。</w:t>
      </w:r>
    </w:p>
    <w:p>
      <w:pPr>
        <w:numPr>
          <w:ilvl w:val="1"/>
          <w:numId w:val="28"/>
        </w:numPr>
        <w:tabs>
          <w:tab w:val="left" w:pos="993"/>
        </w:tabs>
        <w:adjustRightInd w:val="0"/>
        <w:spacing w:line="380" w:lineRule="exact"/>
        <w:ind w:left="0" w:firstLine="420" w:firstLineChars="200"/>
        <w:contextualSpacing/>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提供的一切资料、信息均是合法、真实、准确、完整的。除已向乙方书面披露的情形以外，丙方没有任何可能影响本合同履行的其他任何负债（包括或有负债）、违约行为、诉讼、仲裁事项或其他影响其资产的重大事宜未向乙方披露。</w:t>
      </w:r>
    </w:p>
    <w:p>
      <w:pPr>
        <w:numPr>
          <w:ilvl w:val="1"/>
          <w:numId w:val="28"/>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丙方承诺：当甲方不履行到期债务或发生约定的实现担保权的情形时，无论乙方对本合同项下的债权是否拥有其他担保（包括但不限于甲方和</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或第三人提供物的担保、保证、保函、备用信用证等其他具有担保功能的担保方式）或增信方式，乙方均有权直接要求丙方在其担保范围内承担担保责任，无需事先行使其他担保权利（包括但不限于先行处置甲方和</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或第三人提供的物的担保）；</w:t>
      </w:r>
      <w:r>
        <w:rPr>
          <w:rFonts w:hint="eastAsia"/>
          <w:b/>
          <w:color w:val="000000" w:themeColor="text1"/>
          <w:szCs w:val="21"/>
          <w14:textFill>
            <w14:solidFill>
              <w14:schemeClr w14:val="tx1"/>
            </w14:solidFill>
          </w14:textFill>
        </w:rPr>
        <w:t>如本合同的担保范围包含多笔债权的，乙方有权决定债权之间的清偿顺序及比例。</w:t>
      </w:r>
    </w:p>
    <w:p>
      <w:pPr>
        <w:numPr>
          <w:ilvl w:val="1"/>
          <w:numId w:val="28"/>
        </w:numPr>
        <w:tabs>
          <w:tab w:val="left" w:pos="993"/>
        </w:tabs>
        <w:adjustRightInd w:val="0"/>
        <w:spacing w:line="380" w:lineRule="exact"/>
        <w:ind w:left="0" w:firstLine="420" w:firstLineChars="200"/>
        <w:contextualSpacing/>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丙方设立本保证不会受到任何限制或禁止，不会造成任何不合法的情形。</w:t>
      </w:r>
    </w:p>
    <w:p>
      <w:pPr>
        <w:numPr>
          <w:ilvl w:val="1"/>
          <w:numId w:val="28"/>
        </w:numPr>
        <w:tabs>
          <w:tab w:val="left" w:pos="993"/>
        </w:tabs>
        <w:adjustRightInd w:val="0"/>
        <w:spacing w:line="380" w:lineRule="exact"/>
        <w:ind w:left="0" w:firstLine="420" w:firstLineChars="200"/>
        <w:contextualSpacing/>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丙方与乙方签订本合同时，未向乙方隐瞒任何已经或将要对第三人负担的债务，亦未向乙方隐瞒任何对外担保事实。</w:t>
      </w:r>
    </w:p>
    <w:p>
      <w:pPr>
        <w:numPr>
          <w:ilvl w:val="1"/>
          <w:numId w:val="28"/>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丙方同意乙方将其信贷信息提供给金融信用信息基础数据库，授权并同意乙方为本合同之目的向金融信用信息基础数据库查询、下载、复制、打印、使用其征信信息，并用于与本合同相关的授信申请与审批、用信、授信后管理、信贷服务或其他监管机构允许的用途；如丙方未按照合同约定承担担保责任，由此产生的不良信用后果由丙方自行承担。</w:t>
      </w:r>
    </w:p>
    <w:p>
      <w:pPr>
        <w:pStyle w:val="27"/>
        <w:tabs>
          <w:tab w:val="left" w:pos="993"/>
        </w:tabs>
        <w:adjustRightInd w:val="0"/>
        <w:spacing w:line="380" w:lineRule="exact"/>
        <w:ind w:firstLine="422" w:firstLineChars="200"/>
        <w:contextualSpacing/>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丙方同意乙方可以按照有关授权文件的授权向其他合法机构查询丙方的相关必要信息。</w:t>
      </w:r>
    </w:p>
    <w:p>
      <w:pPr>
        <w:numPr>
          <w:ilvl w:val="1"/>
          <w:numId w:val="28"/>
        </w:numPr>
        <w:tabs>
          <w:tab w:val="left" w:pos="993"/>
        </w:tabs>
        <w:adjustRightInd w:val="0"/>
        <w:spacing w:line="380" w:lineRule="exact"/>
        <w:ind w:left="0" w:firstLine="422" w:firstLineChars="200"/>
        <w:contextualSpacing/>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丙方授权乙方有权查询、下载、复制、打印、使用丙方账户信息及资信、经济状况，包括但不限于交易流水、对账单，用于乙方审查审批、贷后管理或办理必要的公证手续使用，及作为资料</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证据材料向监管机关、司法机关、仲裁机构提交。</w:t>
      </w:r>
    </w:p>
    <w:p>
      <w:pPr>
        <w:numPr>
          <w:ilvl w:val="1"/>
          <w:numId w:val="28"/>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应遵守中华人民共和国反洗钱法律法规，不参与涉嫌洗钱、恐怖融资、扩散融资等违法犯罪活动；主动配合乙方客户身份识别与尽职调查，提供真实、准确、完整客户资料，遵守乙方反洗钱与反恐怖融资相关管理规定。对具备合理理由怀疑涉嫌洗钱、恐怖融资的客户，乙方将按照中国人民银行反洗钱监管规定采取必要管控措施。</w:t>
      </w:r>
    </w:p>
    <w:p>
      <w:pPr>
        <w:numPr>
          <w:ilvl w:val="0"/>
          <w:numId w:val="1"/>
        </w:numPr>
        <w:tabs>
          <w:tab w:val="left" w:pos="1276"/>
        </w:tabs>
        <w:adjustRightInd w:val="0"/>
        <w:spacing w:line="380" w:lineRule="exact"/>
        <w:ind w:left="0" w:firstLine="420" w:firstLineChars="200"/>
        <w:contextualSpacing/>
        <w:rPr>
          <w:b/>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丙方的权利和义务</w:t>
      </w:r>
    </w:p>
    <w:p>
      <w:pPr>
        <w:pStyle w:val="33"/>
        <w:numPr>
          <w:ilvl w:val="1"/>
          <w:numId w:val="29"/>
        </w:numPr>
        <w:tabs>
          <w:tab w:val="left" w:pos="426"/>
          <w:tab w:val="left" w:pos="993"/>
        </w:tabs>
        <w:adjustRightInd w:val="0"/>
        <w:spacing w:line="380" w:lineRule="exact"/>
        <w:ind w:left="0" w:firstLine="420"/>
        <w:contextualSpacing/>
        <w:rPr>
          <w:color w:val="000000" w:themeColor="text1"/>
          <w:szCs w:val="21"/>
          <w14:textFill>
            <w14:solidFill>
              <w14:schemeClr w14:val="tx1"/>
            </w14:solidFill>
          </w14:textFill>
        </w:rPr>
      </w:pPr>
      <w:bookmarkStart w:id="13" w:name="_Ref471675569"/>
      <w:r>
        <w:rPr>
          <w:rFonts w:hint="eastAsia"/>
          <w:color w:val="000000" w:themeColor="text1"/>
          <w:szCs w:val="21"/>
          <w14:textFill>
            <w14:solidFill>
              <w14:schemeClr w14:val="tx1"/>
            </w14:solidFill>
          </w14:textFill>
        </w:rPr>
        <w:t>未经乙方书面同意，不得擅自将本合同项下义务转让给第三人。</w:t>
      </w:r>
    </w:p>
    <w:p>
      <w:pPr>
        <w:numPr>
          <w:ilvl w:val="1"/>
          <w:numId w:val="29"/>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有权要求乙方对丙方所提供的财产、账户等资料情况保密，但法律法规另有规定或乙方、丙方另有约定的除外。</w:t>
      </w:r>
    </w:p>
    <w:p>
      <w:pPr>
        <w:numPr>
          <w:ilvl w:val="1"/>
          <w:numId w:val="29"/>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bookmarkStart w:id="14" w:name="_Ref473152338"/>
      <w:r>
        <w:rPr>
          <w:rFonts w:hint="eastAsia"/>
          <w:color w:val="000000" w:themeColor="text1"/>
          <w:szCs w:val="21"/>
          <w14:textFill>
            <w14:solidFill>
              <w14:schemeClr w14:val="tx1"/>
            </w14:solidFill>
          </w14:textFill>
        </w:rPr>
        <w:t>在担保阶段及保证期间内，如丙方发生包括但不限于转股、改制、合并、分立、股份制改造、合资、合作、联营、承包、租赁、经营范围和注册资本变更等可能或足以影响其担保能力的情形时，应提前三十日书面通知乙方。</w:t>
      </w:r>
      <w:bookmarkEnd w:id="13"/>
      <w:bookmarkEnd w:id="14"/>
    </w:p>
    <w:p>
      <w:pPr>
        <w:numPr>
          <w:ilvl w:val="1"/>
          <w:numId w:val="29"/>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bookmarkStart w:id="15" w:name="_Ref471675574"/>
      <w:r>
        <w:rPr>
          <w:rFonts w:hint="eastAsia"/>
          <w:color w:val="000000" w:themeColor="text1"/>
          <w:szCs w:val="21"/>
          <w14:textFill>
            <w14:solidFill>
              <w14:schemeClr w14:val="tx1"/>
            </w14:solidFill>
          </w14:textFill>
        </w:rPr>
        <w:t>在担保阶段及保证期间内，如丙方出现包括但不限于停业、歇业、申请或被宣告破产、解散、被吊销营业执照、被撤销、财务状况恶化或涉及任何诉讼、仲裁、刑事、民事、行政处罚及经济纠纷等可能或足以影响其担保能力的情形时，应在前述情形发生或可能发生之日起三日内书面通知乙方。</w:t>
      </w:r>
      <w:bookmarkEnd w:id="15"/>
    </w:p>
    <w:p>
      <w:pPr>
        <w:numPr>
          <w:ilvl w:val="1"/>
          <w:numId w:val="29"/>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bookmarkStart w:id="16" w:name="_Ref471675579"/>
      <w:r>
        <w:rPr>
          <w:rFonts w:hint="eastAsia"/>
          <w:color w:val="000000" w:themeColor="text1"/>
          <w:szCs w:val="21"/>
          <w14:textFill>
            <w14:solidFill>
              <w14:schemeClr w14:val="tx1"/>
            </w14:solidFill>
          </w14:textFill>
        </w:rPr>
        <w:t>在担保阶段及保证期间内，如丙方的法定代表人、负责人、实际控制人或控股股东发生包括但不限于国籍变更、住所地变更、婚姻情况变动、失业、伤残、重大疾病、财务状况恶化或涉及任何诉讼、仲裁、刑事、民事、行政处罚及经济纠纷或发生死亡、被宣告死亡、失踪、被宣告失踪、丧失民事行为能力等可能或足以影响其担保能力的情形时，应在前述情形发生或可能发生之日起三日内书面通知乙方。</w:t>
      </w:r>
      <w:bookmarkEnd w:id="16"/>
    </w:p>
    <w:p>
      <w:pPr>
        <w:numPr>
          <w:ilvl w:val="1"/>
          <w:numId w:val="29"/>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应按乙方要求如实提供文件资料，并配合乙方的调查、审查和检查以及乙方贷款发放后的管理工作，接受乙方对其财务活动的监督。</w:t>
      </w:r>
    </w:p>
    <w:p>
      <w:pPr>
        <w:numPr>
          <w:ilvl w:val="1"/>
          <w:numId w:val="29"/>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丙方有义务积极办理本合同项下贷款所购房屋的房屋所有权证。</w:t>
      </w:r>
    </w:p>
    <w:p>
      <w:pPr>
        <w:numPr>
          <w:ilvl w:val="1"/>
          <w:numId w:val="29"/>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丙方承诺其声明和保证都是真实、有效、完整的。在本合同有效期内，丙方如出现本条第</w:t>
      </w:r>
      <w:r>
        <w:rPr>
          <w:color w:val="000000" w:themeColor="text1"/>
          <w:szCs w:val="21"/>
          <w14:textFill>
            <w14:solidFill>
              <w14:schemeClr w14:val="tx1"/>
            </w14:solidFill>
          </w14:textFill>
        </w:rPr>
        <w:t>14.3</w:t>
      </w:r>
      <w:r>
        <w:rPr>
          <w:rFonts w:hint="eastAsia"/>
          <w:color w:val="000000" w:themeColor="text1"/>
          <w:szCs w:val="21"/>
          <w14:textFill>
            <w14:solidFill>
              <w14:schemeClr w14:val="tx1"/>
            </w14:solidFill>
          </w14:textFill>
        </w:rPr>
        <w:t>款、第</w:t>
      </w:r>
      <w:r>
        <w:rPr>
          <w:color w:val="000000" w:themeColor="text1"/>
          <w:szCs w:val="21"/>
          <w14:textFill>
            <w14:solidFill>
              <w14:schemeClr w14:val="tx1"/>
            </w14:solidFill>
          </w14:textFill>
        </w:rPr>
        <w:t>14.4</w:t>
      </w:r>
      <w:r>
        <w:rPr>
          <w:rFonts w:hint="eastAsia"/>
          <w:color w:val="000000" w:themeColor="text1"/>
          <w:szCs w:val="21"/>
          <w14:textFill>
            <w14:solidFill>
              <w14:schemeClr w14:val="tx1"/>
            </w14:solidFill>
          </w14:textFill>
        </w:rPr>
        <w:t>款、第</w:t>
      </w:r>
      <w:r>
        <w:rPr>
          <w:color w:val="000000" w:themeColor="text1"/>
          <w:szCs w:val="21"/>
          <w14:textFill>
            <w14:solidFill>
              <w14:schemeClr w14:val="tx1"/>
            </w14:solidFill>
          </w14:textFill>
        </w:rPr>
        <w:t>14.5</w:t>
      </w:r>
      <w:r>
        <w:rPr>
          <w:rFonts w:hint="eastAsia"/>
          <w:color w:val="000000" w:themeColor="text1"/>
          <w:szCs w:val="21"/>
          <w14:textFill>
            <w14:solidFill>
              <w14:schemeClr w14:val="tx1"/>
            </w14:solidFill>
          </w14:textFill>
        </w:rPr>
        <w:t>款任意一款约定的情况或出现其违反本合同</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_Ref471675788 \r \h  \* MERGEFORMAT </w:instrText>
      </w:r>
      <w:r>
        <w:rPr>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第十三条</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约定的情形，丙方保证根据乙方要求妥善落实本合同项下全部担保责任，并提供落实担保责任的具体方案。</w:t>
      </w:r>
    </w:p>
    <w:p>
      <w:pPr>
        <w:numPr>
          <w:ilvl w:val="1"/>
          <w:numId w:val="29"/>
        </w:numPr>
        <w:tabs>
          <w:tab w:val="left" w:pos="426"/>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在担保阶段和保证期间内，丙方不得向第三方提供超出其自身负担能力的担保。</w:t>
      </w:r>
    </w:p>
    <w:p>
      <w:pPr>
        <w:numPr>
          <w:ilvl w:val="1"/>
          <w:numId w:val="29"/>
        </w:numPr>
        <w:tabs>
          <w:tab w:val="left" w:pos="426"/>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甲方与乙方协议变更本合同的，除贷款展期或增加债权金额外，无需另行征得丙方同意，丙方继续按照本合同约定对变更后的债权承担担保责任。</w:t>
      </w:r>
    </w:p>
    <w:p>
      <w:pPr>
        <w:tabs>
          <w:tab w:val="left" w:pos="993"/>
        </w:tabs>
        <w:adjustRightInd w:val="0"/>
        <w:spacing w:line="380" w:lineRule="exact"/>
        <w:ind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本合同贷款展期或增加债权金额未经丙方同意的，丙方继续按照本合同约定对变更前的债权承担担保责任。</w:t>
      </w:r>
    </w:p>
    <w:p>
      <w:pPr>
        <w:numPr>
          <w:ilvl w:val="1"/>
          <w:numId w:val="29"/>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丙方知悉并同意，乙方有权将本合同项下债权及对应的担保权利转让给第三方，在乙方转让债权及担保权利时，丙方有义务配合办理相应的担保权利转让及登记手续（如有）。同时，丙方同意债权转让后继续按照本合同的约定向债权受让方承担担保责任。</w:t>
      </w:r>
    </w:p>
    <w:p>
      <w:pPr>
        <w:numPr>
          <w:ilvl w:val="0"/>
          <w:numId w:val="1"/>
        </w:numPr>
        <w:tabs>
          <w:tab w:val="left" w:pos="1276"/>
        </w:tabs>
        <w:adjustRightInd w:val="0"/>
        <w:spacing w:line="380" w:lineRule="exact"/>
        <w:ind w:left="0" w:firstLine="422" w:firstLineChars="200"/>
        <w:contextualSpacing/>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违约责任</w:t>
      </w:r>
    </w:p>
    <w:p>
      <w:pPr>
        <w:pStyle w:val="33"/>
        <w:numPr>
          <w:ilvl w:val="0"/>
          <w:numId w:val="30"/>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发生下列情况之一，即视为已发生违约事件：</w:t>
      </w:r>
    </w:p>
    <w:p>
      <w:pPr>
        <w:pStyle w:val="33"/>
        <w:numPr>
          <w:ilvl w:val="2"/>
          <w:numId w:val="31"/>
        </w:numPr>
        <w:tabs>
          <w:tab w:val="left" w:pos="1134"/>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甲方或丙方不履行或不完全履行本合同约定的义务的。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甲方改变贷款用途，或者贷款资金使用出现异常的；以化整为零方式规避受托支付相关管理规定的。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甲方不接受或逃避乙方对其使用贷款资金情况或抵押物保管、使用情况的监督。</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甲方违反本合同约定，逾期或未按约定的金额归还贷款本息及相关费用的。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甲方或丙方向乙方提供的证明、资料等文件及在本合同中作出的声明和保证为不合法、不真实、不准确、不完整或故意使人误解的。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甲方或丙方拒绝配合乙方的调查、审查、检查及监督的。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甲方或丙方擅自将本合同项下义务转让给第三人的。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甲方低价、无偿转让财产；放弃债权担保；以明显不合理的高价受让他人财产或者为他人的债务提供担保；减免第三方债务；恶意延长第三方债务的履行期限；怠于行使债权或其他权利。</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甲方、丙方或其他担保人被追究刑事责任或依法受到其他强制措施或被有关机关采取限制其某项权利的措施，影响其履行本合同项下义务的。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或其他担保人在本合同贷款期限内无法联络，或发生死亡、被宣告死亡、失踪、被宣告失踪、丧失民事行为能力后无继承人、受遗赠人、财产代管人、监护人或者其继承人、受遗赠人、财产代管人、监护人拒绝履行本合同或其他担保合同的，或本合同项下任何担保财产发生本合同或其他担保合同约定的相关不利情形且甲方未提供符合乙方要求的新的担保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甲方、丙方或其他担保人出现重大负面新闻或重大负面信息、涉入重大诉讼或仲裁案件、重大资产被查封、冻结、扣押的。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甲方违反本合同规定，未及时依照法律规定办妥预告登记、房产所有权证或抵押登记手续。</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发生下列情形之一，乙方认为可能造成抵押权不成立或抵押物不足值，要求排除由此造成的不利影响或要求甲方增加、更换抵押物，甲方不配合的：</w:t>
      </w:r>
    </w:p>
    <w:p>
      <w:pPr>
        <w:numPr>
          <w:ilvl w:val="0"/>
          <w:numId w:val="32"/>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抵押物所有权或权属存在争议；</w:t>
      </w:r>
    </w:p>
    <w:p>
      <w:pPr>
        <w:numPr>
          <w:ilvl w:val="0"/>
          <w:numId w:val="32"/>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抵押物发生出租、被查封、被监管、被拆迁等情况；</w:t>
      </w:r>
    </w:p>
    <w:p>
      <w:pPr>
        <w:numPr>
          <w:ilvl w:val="0"/>
          <w:numId w:val="32"/>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未经乙方书面同意，擅自转让、出租、再抵押、设立居住权、变更共有方式</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份额或以其他任何不适当的方式处分抵押物，或其虽经乙方书面同意但处分抵押物所得不按乙方要求用于偿还甲方所欠乙方的债务；</w:t>
      </w:r>
    </w:p>
    <w:p>
      <w:pPr>
        <w:numPr>
          <w:ilvl w:val="0"/>
          <w:numId w:val="32"/>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甲方对抵押物未加妥善保管、使用、维护和维修，致抵押物价值明显贬损；或甲方、丙方的行为直接危及抵押物，导致抵押物价值减少的；或在抵押权存续期内不按乙方的要求对抵押物进行投保的；</w:t>
      </w:r>
    </w:p>
    <w:p>
      <w:pPr>
        <w:numPr>
          <w:ilvl w:val="0"/>
          <w:numId w:val="32"/>
        </w:numPr>
        <w:tabs>
          <w:tab w:val="left" w:pos="709"/>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甲方擅自撤销、中止、终止乙方要求投保的保险的。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甲方违反本合同第</w:t>
      </w:r>
      <w:r>
        <w:rPr>
          <w:color w:val="000000" w:themeColor="text1"/>
          <w:szCs w:val="21"/>
          <w14:textFill>
            <w14:solidFill>
              <w14:schemeClr w14:val="tx1"/>
            </w14:solidFill>
          </w14:textFill>
        </w:rPr>
        <w:t>10.16</w:t>
      </w:r>
      <w:r>
        <w:rPr>
          <w:rFonts w:hint="eastAsia"/>
          <w:color w:val="000000" w:themeColor="text1"/>
          <w:szCs w:val="21"/>
          <w14:textFill>
            <w14:solidFill>
              <w14:schemeClr w14:val="tx1"/>
            </w14:solidFill>
          </w14:textFill>
        </w:rPr>
        <w:t>款约定导致抵押物的住宅建设用地使用权期限届满后未能有效续期的，或甲方未偿还乙方垫付的续期相关费用的。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丙方提供虚假财务报告或者拒绝乙方对其财务状况进行监督、检查。</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丙方违反本合同保证条款或丧失保证能力，甲方未按乙方要求提供新的担保。</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甲方、丙方或其他担保人在与乙方或其他债权人签署的其他债务文件下出现违约的。</w:t>
      </w:r>
    </w:p>
    <w:p>
      <w:pPr>
        <w:numPr>
          <w:ilvl w:val="2"/>
          <w:numId w:val="31"/>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发生其他危及、损害乙方合法权益或乙方认为影响其贷款本息安全收回或影响乙方抵押权实现的情形。</w:t>
      </w:r>
    </w:p>
    <w:p>
      <w:pPr>
        <w:pStyle w:val="33"/>
        <w:numPr>
          <w:ilvl w:val="0"/>
          <w:numId w:val="30"/>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一旦发生本条约定的任一违约事件时，乙方有权分别或同时采取如下措施，甲方、丙方对此不表示任何异议：</w:t>
      </w:r>
    </w:p>
    <w:p>
      <w:pPr>
        <w:pStyle w:val="33"/>
        <w:numPr>
          <w:ilvl w:val="2"/>
          <w:numId w:val="33"/>
        </w:numPr>
        <w:tabs>
          <w:tab w:val="left" w:pos="1134"/>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要求甲方、丙方限期或立即纠正违约行为。</w:t>
      </w:r>
    </w:p>
    <w:p>
      <w:pPr>
        <w:numPr>
          <w:ilvl w:val="2"/>
          <w:numId w:val="33"/>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单方决定压降授信额度、下调贷款风险分类、调整贷款利率。</w:t>
      </w:r>
    </w:p>
    <w:p>
      <w:pPr>
        <w:numPr>
          <w:ilvl w:val="2"/>
          <w:numId w:val="33"/>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按中国人民银行的规定和本合同约定计收罚息和复利。</w:t>
      </w:r>
    </w:p>
    <w:p>
      <w:pPr>
        <w:numPr>
          <w:ilvl w:val="2"/>
          <w:numId w:val="33"/>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单方决定变更本合同</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_Ref470034903 \r \h  \* MERGEFORMAT </w:instrText>
      </w:r>
      <w:r>
        <w:rPr>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第二十条</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约定的还款方式，甲方应当自收到乙方通知之日起按变更后的方式进行还款。</w:t>
      </w:r>
    </w:p>
    <w:p>
      <w:pPr>
        <w:numPr>
          <w:ilvl w:val="2"/>
          <w:numId w:val="33"/>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暂停或终止发放贷款</w:t>
      </w:r>
      <w:r>
        <w:rPr>
          <w:rFonts w:hint="eastAsia"/>
          <w:color w:val="000000" w:themeColor="text1"/>
          <w:szCs w:val="21"/>
          <w:lang w:eastAsia="zh-CN"/>
          <w14:textFill>
            <w14:solidFill>
              <w14:schemeClr w14:val="tx1"/>
            </w14:solidFill>
          </w14:textFill>
        </w:rPr>
        <w:t>。</w:t>
      </w:r>
    </w:p>
    <w:p>
      <w:pPr>
        <w:numPr>
          <w:ilvl w:val="2"/>
          <w:numId w:val="33"/>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宣布本合同项下已发放贷款提前到期，要求甲方立即偿还全部贷款及相应利息。</w:t>
      </w:r>
    </w:p>
    <w:p>
      <w:pPr>
        <w:numPr>
          <w:ilvl w:val="2"/>
          <w:numId w:val="33"/>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依法律法规规定及本合同约定实现抵押权等担保权利。</w:t>
      </w:r>
    </w:p>
    <w:p>
      <w:pPr>
        <w:numPr>
          <w:ilvl w:val="2"/>
          <w:numId w:val="33"/>
        </w:numPr>
        <w:tabs>
          <w:tab w:val="left" w:pos="1134"/>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直接冻结并扣收甲方、丙方在中信银行股份有限公司任何营业机构处开立的任何账户中的存款，以清偿甲方在本合同项下的债务，或要求甲方、丙方将其账户上存款转为定期存单，作为清偿本合同项下全部债务本息的质押担保，并与乙方签订相应的质押合同、办理质押手续。</w:t>
      </w:r>
    </w:p>
    <w:p>
      <w:pPr>
        <w:numPr>
          <w:ilvl w:val="2"/>
          <w:numId w:val="33"/>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要求丙方履行保证责任。</w:t>
      </w:r>
    </w:p>
    <w:p>
      <w:pPr>
        <w:numPr>
          <w:ilvl w:val="2"/>
          <w:numId w:val="33"/>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行使根据法律法规等规定可获得的任何其他权利和救济措施。</w:t>
      </w:r>
    </w:p>
    <w:p>
      <w:pPr>
        <w:pStyle w:val="33"/>
        <w:numPr>
          <w:ilvl w:val="0"/>
          <w:numId w:val="30"/>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抵押权的实现方式</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根据本合同约定行使抵押权的，甲方同意乙方有权选择以下任何一种方式实现抵押权。如本合同项下的债权币种与抵押权实现时所得款项币种不同时，按乙方取得处分抵押物的款项之日乙方公布的牌价折算抵偿</w:t>
      </w:r>
      <w:r>
        <w:rPr>
          <w:rFonts w:hint="eastAsia"/>
          <w:b/>
          <w:bCs/>
          <w:color w:val="000000" w:themeColor="text1"/>
          <w:szCs w:val="21"/>
          <w14:textFill>
            <w14:solidFill>
              <w14:schemeClr w14:val="tx1"/>
            </w14:solidFill>
          </w14:textFill>
        </w:rPr>
        <w:t>，汇率等风险由甲方承担</w:t>
      </w:r>
      <w:r>
        <w:rPr>
          <w:rFonts w:hint="eastAsia"/>
          <w:color w:val="000000" w:themeColor="text1"/>
          <w:szCs w:val="21"/>
          <w14:textFill>
            <w14:solidFill>
              <w14:schemeClr w14:val="tx1"/>
            </w14:solidFill>
          </w14:textFill>
        </w:rPr>
        <w:t>：</w:t>
      </w:r>
    </w:p>
    <w:p>
      <w:pPr>
        <w:pStyle w:val="27"/>
        <w:numPr>
          <w:ilvl w:val="2"/>
          <w:numId w:val="34"/>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bookmarkStart w:id="17" w:name="_Ref473151326"/>
      <w:r>
        <w:rPr>
          <w:rFonts w:hint="eastAsia"/>
          <w:color w:val="000000" w:themeColor="text1"/>
          <w:szCs w:val="21"/>
          <w14:textFill>
            <w14:solidFill>
              <w14:schemeClr w14:val="tx1"/>
            </w14:solidFill>
          </w14:textFill>
        </w:rPr>
        <w:t>以抵押物折价方式实现抵押权。乙方可与甲方协议，按协议价格受偿；乙方也可以按照与甲方约定的具有相应资格的评估机构依法评估的价格折价受偿，且甲乙双方一致同意接受该评估价格。</w:t>
      </w:r>
      <w:bookmarkEnd w:id="17"/>
    </w:p>
    <w:p>
      <w:pPr>
        <w:pStyle w:val="27"/>
        <w:numPr>
          <w:ilvl w:val="2"/>
          <w:numId w:val="34"/>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以变卖抵押物方式实现抵押权。乙方可自行转让抵押物，也可以委托甲方或中介机构转让抵押物。变卖价格的确定，适用本合同第</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_Ref473151326 \r \h  \* MERGEFORMAT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15.3.1</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项的约定。</w:t>
      </w:r>
    </w:p>
    <w:p>
      <w:pPr>
        <w:pStyle w:val="27"/>
        <w:numPr>
          <w:ilvl w:val="2"/>
          <w:numId w:val="34"/>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以拍卖方式实现抵押权。乙方有权委托在中国境内注册的、具备相应资格的拍卖企业依法拍卖抵押物。乙方可按本合同</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_Ref470034903 \r \h  \* MERGEFORMAT </w:instrText>
      </w:r>
      <w:r>
        <w:rPr>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第二十条</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约定提出拍卖保留价，也可不提出拍卖保留价。如拍卖未成交，乙方有权委托该拍卖企业或其他拍卖企业再行拍卖或采用前述折价或者变卖方式实现抵押权。</w:t>
      </w:r>
    </w:p>
    <w:p>
      <w:pPr>
        <w:pStyle w:val="27"/>
        <w:numPr>
          <w:ilvl w:val="2"/>
          <w:numId w:val="34"/>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乙方依法不经诉讼程序直接请求人民法院拍卖、变卖抵押财产。</w:t>
      </w:r>
    </w:p>
    <w:p>
      <w:pPr>
        <w:pStyle w:val="33"/>
        <w:numPr>
          <w:ilvl w:val="0"/>
          <w:numId w:val="30"/>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依据本合同处分抵押物时，甲方不得设置任何障碍（包括来自任何第三方的干预），或采取任何可能妨碍或迟延乙方根据本合同处分抵押物的任何行动。甲方承诺按乙方的要求予以积极协助，以使乙方尽快实现其抵押权。如抵押物上存在其他按份共有人，则甲方应在抵押物转让条件确定后的</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日内，将抵押物转让条件通知其他共有人；甲方逾期未通知的，乙方有权代甲方履行前述通知义务，上述通知行为对甲方具有法律约束力。</w:t>
      </w:r>
    </w:p>
    <w:p>
      <w:pPr>
        <w:pStyle w:val="33"/>
        <w:numPr>
          <w:ilvl w:val="0"/>
          <w:numId w:val="30"/>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本合同项下担保权实现时所得的款项按下列顺序进行清偿：</w:t>
      </w:r>
    </w:p>
    <w:p>
      <w:pPr>
        <w:pStyle w:val="27"/>
        <w:numPr>
          <w:ilvl w:val="2"/>
          <w:numId w:val="35"/>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支付本合同约定的和有关法律规定的各项应付费用、违约金、损害赔偿金等；</w:t>
      </w:r>
    </w:p>
    <w:p>
      <w:pPr>
        <w:pStyle w:val="27"/>
        <w:numPr>
          <w:ilvl w:val="2"/>
          <w:numId w:val="35"/>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支付本合同项下应付罚息、复利；</w:t>
      </w:r>
    </w:p>
    <w:p>
      <w:pPr>
        <w:pStyle w:val="27"/>
        <w:numPr>
          <w:ilvl w:val="2"/>
          <w:numId w:val="35"/>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支付本合同项下应付利息；</w:t>
      </w:r>
    </w:p>
    <w:p>
      <w:pPr>
        <w:pStyle w:val="27"/>
        <w:numPr>
          <w:ilvl w:val="2"/>
          <w:numId w:val="35"/>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支付本合同项下应付本金。</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实现本合同项下担保权所得款项不足以偿还或支付同一顺序的全部款项的，乙方有权选择偿还款项的比例及顺序。</w:t>
      </w:r>
    </w:p>
    <w:p>
      <w:pPr>
        <w:pStyle w:val="33"/>
        <w:numPr>
          <w:ilvl w:val="0"/>
          <w:numId w:val="30"/>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如因甲方、丙方过错造成本合同无效，甲方、丙方应在原担保范围内赔偿乙方的全部损失。</w:t>
      </w:r>
    </w:p>
    <w:p>
      <w:pPr>
        <w:pStyle w:val="33"/>
        <w:numPr>
          <w:ilvl w:val="0"/>
          <w:numId w:val="30"/>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乙方出现下列任一情况造成甲方实际经济损失的，由乙方赔偿损失：</w:t>
      </w:r>
    </w:p>
    <w:p>
      <w:pPr>
        <w:numPr>
          <w:ilvl w:val="0"/>
          <w:numId w:val="36"/>
        </w:numPr>
        <w:tabs>
          <w:tab w:val="left" w:pos="709"/>
        </w:tabs>
        <w:adjustRightInd w:val="0"/>
        <w:spacing w:line="380" w:lineRule="exact"/>
        <w:ind w:left="0" w:firstLine="420" w:firstLineChars="200"/>
        <w:contextualSpacing/>
        <w:textAlignment w:val="baseline"/>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非不可抗力造成的系统故障及系统错误</w:t>
      </w:r>
      <w:r>
        <w:rPr>
          <w:rFonts w:hint="eastAsia" w:ascii="宋体" w:hAnsi="宋体"/>
          <w:color w:val="000000" w:themeColor="text1"/>
          <w:szCs w:val="21"/>
          <w14:textFill>
            <w14:solidFill>
              <w14:schemeClr w14:val="tx1"/>
            </w14:solidFill>
          </w14:textFill>
        </w:rPr>
        <w:t>。</w:t>
      </w:r>
    </w:p>
    <w:p>
      <w:pPr>
        <w:numPr>
          <w:ilvl w:val="0"/>
          <w:numId w:val="36"/>
        </w:numPr>
        <w:tabs>
          <w:tab w:val="left" w:pos="709"/>
          <w:tab w:val="left" w:pos="993"/>
        </w:tabs>
        <w:adjustRightInd w:val="0"/>
        <w:spacing w:line="380" w:lineRule="exact"/>
        <w:ind w:left="0"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乙方其他违约行为。</w:t>
      </w:r>
    </w:p>
    <w:p>
      <w:pPr>
        <w:numPr>
          <w:ilvl w:val="0"/>
          <w:numId w:val="1"/>
        </w:numPr>
        <w:tabs>
          <w:tab w:val="left" w:pos="1276"/>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 xml:space="preserve"> 公证、登记等办理及费用承担</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凡与本合同有关的公证、登记、鉴定、评估、保管、过户、提存等事项详见本合同第二十条约定。</w:t>
      </w:r>
    </w:p>
    <w:p>
      <w:pPr>
        <w:numPr>
          <w:ilvl w:val="0"/>
          <w:numId w:val="1"/>
        </w:numPr>
        <w:tabs>
          <w:tab w:val="left" w:pos="1276"/>
        </w:tabs>
        <w:adjustRightInd w:val="0"/>
        <w:spacing w:line="380" w:lineRule="exact"/>
        <w:ind w:left="0" w:firstLine="422" w:firstLineChars="200"/>
        <w:contextualSpacing/>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法律适用和纠纷的解决</w:t>
      </w:r>
    </w:p>
    <w:p>
      <w:pPr>
        <w:pStyle w:val="33"/>
        <w:numPr>
          <w:ilvl w:val="1"/>
          <w:numId w:val="37"/>
        </w:numPr>
        <w:tabs>
          <w:tab w:val="left" w:pos="993"/>
        </w:tabs>
        <w:adjustRightInd w:val="0"/>
        <w:spacing w:line="380" w:lineRule="exact"/>
        <w:ind w:left="0" w:firstLine="422"/>
        <w:contextualSpacing/>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本合同的订立、生效、履行、解释及争议的解决均适用中华人民共和国法律（为本合同之目的，不包括香港特别行政区、澳门特别行政区和台湾地区法律）</w:t>
      </w:r>
      <w:r>
        <w:rPr>
          <w:rFonts w:hint="eastAsia"/>
          <w:color w:val="000000" w:themeColor="text1"/>
          <w:szCs w:val="21"/>
          <w14:textFill>
            <w14:solidFill>
              <w14:schemeClr w14:val="tx1"/>
            </w14:solidFill>
          </w14:textFill>
        </w:rPr>
        <w:t>，各方的权益受中华人民共和国法律保障。</w:t>
      </w:r>
    </w:p>
    <w:p>
      <w:pPr>
        <w:numPr>
          <w:ilvl w:val="1"/>
          <w:numId w:val="37"/>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本合同的争议解决方式见本合同</w:t>
      </w:r>
      <w:r>
        <w:rPr>
          <w:b/>
          <w:color w:val="000000" w:themeColor="text1"/>
          <w:szCs w:val="21"/>
          <w14:textFill>
            <w14:solidFill>
              <w14:schemeClr w14:val="tx1"/>
            </w14:solidFill>
          </w14:textFill>
        </w:rPr>
        <w:fldChar w:fldCharType="begin"/>
      </w:r>
      <w:r>
        <w:rPr>
          <w:b/>
          <w:color w:val="000000" w:themeColor="text1"/>
          <w:szCs w:val="21"/>
          <w14:textFill>
            <w14:solidFill>
              <w14:schemeClr w14:val="tx1"/>
            </w14:solidFill>
          </w14:textFill>
        </w:rPr>
        <w:instrText xml:space="preserve"> REF _Ref470034903 \r \h  \* MERGEFORMAT </w:instrText>
      </w:r>
      <w:r>
        <w:rPr>
          <w:b/>
          <w:color w:val="000000" w:themeColor="text1"/>
          <w:szCs w:val="21"/>
          <w14:textFill>
            <w14:solidFill>
              <w14:schemeClr w14:val="tx1"/>
            </w14:solidFill>
          </w14:textFill>
        </w:rPr>
        <w:fldChar w:fldCharType="separate"/>
      </w:r>
      <w:r>
        <w:rPr>
          <w:rFonts w:hint="eastAsia"/>
          <w:b/>
          <w:color w:val="000000" w:themeColor="text1"/>
          <w:szCs w:val="21"/>
          <w14:textFill>
            <w14:solidFill>
              <w14:schemeClr w14:val="tx1"/>
            </w14:solidFill>
          </w14:textFill>
        </w:rPr>
        <w:t>第二十条</w:t>
      </w:r>
      <w:r>
        <w:rPr>
          <w:b/>
          <w:color w:val="000000" w:themeColor="text1"/>
          <w:szCs w:val="21"/>
          <w14:textFill>
            <w14:solidFill>
              <w14:schemeClr w14:val="tx1"/>
            </w14:solidFill>
          </w14:textFill>
        </w:rPr>
        <w:fldChar w:fldCharType="end"/>
      </w:r>
      <w:r>
        <w:rPr>
          <w:rFonts w:hint="eastAsia"/>
          <w:b/>
          <w:color w:val="000000" w:themeColor="text1"/>
          <w:szCs w:val="21"/>
          <w14:textFill>
            <w14:solidFill>
              <w14:schemeClr w14:val="tx1"/>
            </w14:solidFill>
          </w14:textFill>
        </w:rPr>
        <w:t>约定。</w:t>
      </w:r>
    </w:p>
    <w:p>
      <w:pPr>
        <w:numPr>
          <w:ilvl w:val="1"/>
          <w:numId w:val="37"/>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在争议解决过程中，除所涉争议条款外，本合同其他条款应继续履行。</w:t>
      </w:r>
    </w:p>
    <w:p>
      <w:pPr>
        <w:numPr>
          <w:ilvl w:val="0"/>
          <w:numId w:val="1"/>
        </w:numPr>
        <w:tabs>
          <w:tab w:val="left" w:pos="1276"/>
        </w:tabs>
        <w:adjustRightInd w:val="0"/>
        <w:spacing w:line="380" w:lineRule="exact"/>
        <w:ind w:left="0" w:firstLine="422" w:firstLineChars="200"/>
        <w:contextualSpacing/>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合同生效和终止</w:t>
      </w:r>
    </w:p>
    <w:p>
      <w:pPr>
        <w:pStyle w:val="33"/>
        <w:numPr>
          <w:ilvl w:val="1"/>
          <w:numId w:val="38"/>
        </w:numPr>
        <w:tabs>
          <w:tab w:val="left" w:pos="993"/>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本合同自甲方签字、乙方负责人或授权代理人签章（签字或加盖名章）并加盖公章</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合同专用章，且丙方（如有）法定代表人或授权代理人签章（签字或加盖名章）并加盖公章</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合同专用章之日起生效，至本合同项下贷款本息和相关费用全部清偿完毕后终止。</w:t>
      </w:r>
    </w:p>
    <w:p>
      <w:pPr>
        <w:numPr>
          <w:ilvl w:val="1"/>
          <w:numId w:val="38"/>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本合同生效后，除本合同另有约定的外，任何一方均不得擅自变更或解除本合同；如确需变更或解除本合同，应经各方协商一致，并另行签署书面协议。</w:t>
      </w:r>
    </w:p>
    <w:p>
      <w:pPr>
        <w:numPr>
          <w:ilvl w:val="0"/>
          <w:numId w:val="1"/>
        </w:numPr>
        <w:tabs>
          <w:tab w:val="left" w:pos="1276"/>
        </w:tabs>
        <w:adjustRightInd w:val="0"/>
        <w:spacing w:line="380" w:lineRule="exact"/>
        <w:ind w:left="0" w:firstLine="422" w:firstLineChars="200"/>
        <w:contextualSpacing/>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附则</w:t>
      </w:r>
    </w:p>
    <w:p>
      <w:pPr>
        <w:pStyle w:val="33"/>
        <w:numPr>
          <w:ilvl w:val="1"/>
          <w:numId w:val="39"/>
        </w:numPr>
        <w:tabs>
          <w:tab w:val="left" w:pos="993"/>
        </w:tabs>
        <w:adjustRightInd w:val="0"/>
        <w:spacing w:line="380" w:lineRule="exact"/>
        <w:ind w:left="0" w:firstLine="422"/>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与本合同相关的文件，包括但不限于甲方、丙方向乙方提交的申请贷款文件、资料、证明、借款凭证（借据）等，均为本合同的组成部分，</w:t>
      </w:r>
      <w:r>
        <w:rPr>
          <w:rFonts w:hint="eastAsia"/>
          <w:b/>
          <w:color w:val="000000" w:themeColor="text1"/>
          <w:szCs w:val="21"/>
          <w:lang w:val="zh-CN"/>
          <w14:textFill>
            <w14:solidFill>
              <w14:schemeClr w14:val="tx1"/>
            </w14:solidFill>
          </w14:textFill>
        </w:rPr>
        <w:t>与本合同具有同等法律效力</w:t>
      </w:r>
      <w:r>
        <w:rPr>
          <w:rFonts w:hint="eastAsia"/>
          <w:b/>
          <w:color w:val="000000" w:themeColor="text1"/>
          <w:szCs w:val="21"/>
          <w14:textFill>
            <w14:solidFill>
              <w14:schemeClr w14:val="tx1"/>
            </w14:solidFill>
          </w14:textFill>
        </w:rPr>
        <w:t>。借款凭证（借据）与本合同其他约定不一致时，以借款凭证（借据）的记载为准。</w:t>
      </w:r>
    </w:p>
    <w:p>
      <w:pPr>
        <w:numPr>
          <w:ilvl w:val="1"/>
          <w:numId w:val="39"/>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本合同签订后至相应贷款发放前的期间内，如甲方与用贷款所购买房屋的卖方就房屋的质量、购买条件、权属等事宜发生纠纷，甲方应立即书面通知乙方，乙方收到甲方通知或自行获悉上述纠纷后，有权中止本合同的履行，且乙方有权根据上述纠纷解决情况单方决定解除或继续履行本合同。贷款发放后，甲方与该房屋卖方就有关质量、条件、权属等事宜发生的任何纠纷均与乙方无关，本合同正常履行。</w:t>
      </w:r>
    </w:p>
    <w:p>
      <w:pPr>
        <w:numPr>
          <w:ilvl w:val="1"/>
          <w:numId w:val="39"/>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共同借款人承诺其将承担偿还本合同项下贷款本息和费用的连带责任。</w:t>
      </w:r>
    </w:p>
    <w:p>
      <w:pPr>
        <w:numPr>
          <w:ilvl w:val="1"/>
          <w:numId w:val="39"/>
        </w:numPr>
        <w:tabs>
          <w:tab w:val="left" w:pos="993"/>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通知与送达</w:t>
      </w:r>
    </w:p>
    <w:p>
      <w:pPr>
        <w:pStyle w:val="33"/>
        <w:numPr>
          <w:ilvl w:val="2"/>
          <w:numId w:val="40"/>
        </w:numPr>
        <w:tabs>
          <w:tab w:val="left" w:pos="1134"/>
        </w:tabs>
        <w:adjustRightInd w:val="0"/>
        <w:spacing w:line="380" w:lineRule="exact"/>
        <w:ind w:left="0" w:firstLine="42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各方就本合同中涉及各类通知、函件、附件、协议等文件以及就本合同发生纠纷时相关文件和法律文书送达时的送达地址（含联系方式，下同）为本合同</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REF _Ref470034903 \r \h  \* MERGEFORMAT </w:instrText>
      </w:r>
      <w:r>
        <w:rPr>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第二十条</w:t>
      </w:r>
      <w:r>
        <w:rPr>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所约定的送达地址。</w:t>
      </w:r>
    </w:p>
    <w:p>
      <w:pPr>
        <w:numPr>
          <w:ilvl w:val="2"/>
          <w:numId w:val="40"/>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本合同第二十条中各方确认的送达地址如发生变更的，应当在发生变更之日起三日内通过书面方式通知其他方，</w:t>
      </w:r>
      <w:r>
        <w:rPr>
          <w:rFonts w:hint="eastAsia"/>
          <w:b/>
          <w:color w:val="000000" w:themeColor="text1"/>
          <w:szCs w:val="21"/>
          <w14:textFill>
            <w14:solidFill>
              <w14:schemeClr w14:val="tx1"/>
            </w14:solidFill>
          </w14:textFill>
        </w:rPr>
        <w:t>但各方同意并认可，中信银行及其分支机构通过中信银行网上银行、手机银行、官方网站等渠道展示与本合同相关的提示、公告、通知、联系地址及邮政编码变更等信息的，该等信息一经展示（如展示信息载明生效日期的，以该载明日期为准）即视为已通知</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送达其他方。</w:t>
      </w:r>
      <w:r>
        <w:rPr>
          <w:rFonts w:hint="eastAsia"/>
          <w:color w:val="000000" w:themeColor="text1"/>
          <w:szCs w:val="21"/>
          <w14:textFill>
            <w14:solidFill>
              <w14:schemeClr w14:val="tx1"/>
            </w14:solidFill>
          </w14:textFill>
        </w:rPr>
        <w:t>在涉及仲裁及民事诉讼、执行程序时，任何一方送达地址发生变更的，应当在发生变更当日通过书面方式告知仲裁机构、法院。</w:t>
      </w:r>
      <w:r>
        <w:rPr>
          <w:rFonts w:hint="eastAsia"/>
          <w:b/>
          <w:color w:val="000000" w:themeColor="text1"/>
          <w:szCs w:val="21"/>
          <w14:textFill>
            <w14:solidFill>
              <w14:schemeClr w14:val="tx1"/>
            </w14:solidFill>
          </w14:textFill>
        </w:rPr>
        <w:t>任何一方未按前述方式履行通知、告知义务的，该方所确认的送达地址仍视为有效送达地址</w:t>
      </w:r>
      <w:r>
        <w:rPr>
          <w:rFonts w:hint="eastAsia"/>
          <w:color w:val="000000" w:themeColor="text1"/>
          <w:szCs w:val="21"/>
          <w14:textFill>
            <w14:solidFill>
              <w14:schemeClr w14:val="tx1"/>
            </w14:solidFill>
          </w14:textFill>
        </w:rPr>
        <w:t>。</w:t>
      </w:r>
    </w:p>
    <w:p>
      <w:pPr>
        <w:numPr>
          <w:ilvl w:val="2"/>
          <w:numId w:val="40"/>
        </w:numPr>
        <w:tabs>
          <w:tab w:val="left" w:pos="1134"/>
        </w:tabs>
        <w:adjustRightInd w:val="0"/>
        <w:spacing w:line="380" w:lineRule="exact"/>
        <w:ind w:left="0"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各方在本合同第二十条确认的送达地址适用范围包括各方在履行本合同过程中的各类通知、函件、附件、协议等文件以及就本合同发生纠纷时相关文件和法律文书向各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各方的送达。</w:t>
      </w:r>
      <w:r>
        <w:rPr>
          <w:rFonts w:hint="eastAsia"/>
          <w:b/>
          <w:color w:val="000000" w:themeColor="text1"/>
          <w:szCs w:val="21"/>
          <w14:textFill>
            <w14:solidFill>
              <w14:schemeClr w14:val="tx1"/>
            </w14:solidFill>
          </w14:textFill>
        </w:rPr>
        <w:t>除第</w:t>
      </w:r>
      <w:r>
        <w:rPr>
          <w:b/>
          <w:color w:val="000000" w:themeColor="text1"/>
          <w:szCs w:val="21"/>
          <w14:textFill>
            <w14:solidFill>
              <w14:schemeClr w14:val="tx1"/>
            </w14:solidFill>
          </w14:textFill>
        </w:rPr>
        <w:t>19.4.2</w:t>
      </w:r>
      <w:r>
        <w:rPr>
          <w:rFonts w:hint="eastAsia"/>
          <w:b/>
          <w:color w:val="000000" w:themeColor="text1"/>
          <w:szCs w:val="21"/>
          <w14:textFill>
            <w14:solidFill>
              <w14:schemeClr w14:val="tx1"/>
            </w14:solidFill>
          </w14:textFill>
        </w:rPr>
        <w:t>款另有约定外，一方按照送达地址发送上述文件，即应视作在下列日期被送达：</w:t>
      </w:r>
    </w:p>
    <w:p>
      <w:pPr>
        <w:pStyle w:val="27"/>
        <w:tabs>
          <w:tab w:val="left" w:pos="1134"/>
        </w:tabs>
        <w:adjustRightInd w:val="0"/>
        <w:spacing w:line="380" w:lineRule="exact"/>
        <w:ind w:firstLine="422" w:firstLineChars="200"/>
        <w:contextualSpacing/>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1</w:t>
      </w:r>
      <w:r>
        <w:rPr>
          <w:rFonts w:hint="eastAsia"/>
          <w:b/>
          <w:color w:val="000000" w:themeColor="text1"/>
          <w:szCs w:val="21"/>
          <w14:textFill>
            <w14:solidFill>
              <w14:schemeClr w14:val="tx1"/>
            </w14:solidFill>
          </w14:textFill>
        </w:rPr>
        <w:t>）邮递（包括特快专递、平信邮寄、挂号邮寄），以投递之日后的第三日视为送达日；</w:t>
      </w:r>
    </w:p>
    <w:p>
      <w:pPr>
        <w:pStyle w:val="27"/>
        <w:tabs>
          <w:tab w:val="left" w:pos="1134"/>
        </w:tabs>
        <w:adjustRightInd w:val="0"/>
        <w:spacing w:line="380" w:lineRule="exact"/>
        <w:ind w:firstLine="422" w:firstLineChars="200"/>
        <w:contextualSpacing/>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2</w:t>
      </w:r>
      <w:r>
        <w:rPr>
          <w:rFonts w:hint="eastAsia"/>
          <w:b/>
          <w:color w:val="000000" w:themeColor="text1"/>
          <w:szCs w:val="21"/>
          <w14:textFill>
            <w14:solidFill>
              <w14:schemeClr w14:val="tx1"/>
            </w14:solidFill>
          </w14:textFill>
        </w:rPr>
        <w:t>）电话、传真、电子邮箱、微信或其他电子通讯方式，以发送之日视为送达日；</w:t>
      </w:r>
    </w:p>
    <w:p>
      <w:pPr>
        <w:pStyle w:val="27"/>
        <w:tabs>
          <w:tab w:val="left" w:pos="1134"/>
        </w:tabs>
        <w:adjustRightInd w:val="0"/>
        <w:spacing w:line="380" w:lineRule="exact"/>
        <w:ind w:firstLine="422" w:firstLineChars="200"/>
        <w:contextualSpacing/>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）专人送达，以收件人签收之日视为送达日；收件人拒收或无人接收的，送达人可采取拍照、录像方式记录送达过程，并将文书留置，亦视为送达；</w:t>
      </w:r>
    </w:p>
    <w:p>
      <w:pPr>
        <w:pStyle w:val="27"/>
        <w:tabs>
          <w:tab w:val="left" w:pos="1134"/>
        </w:tabs>
        <w:adjustRightInd w:val="0"/>
        <w:spacing w:line="380" w:lineRule="exact"/>
        <w:ind w:firstLine="422" w:firstLineChars="200"/>
        <w:contextualSpacing/>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4</w:t>
      </w:r>
      <w:r>
        <w:rPr>
          <w:rFonts w:hint="eastAsia"/>
          <w:b/>
          <w:color w:val="000000" w:themeColor="text1"/>
          <w:szCs w:val="21"/>
          <w14:textFill>
            <w14:solidFill>
              <w14:schemeClr w14:val="tx1"/>
            </w14:solidFill>
          </w14:textFill>
        </w:rPr>
        <w:t>）同时采用上述几种方式的，以其中最快达到对方者为准。</w:t>
      </w:r>
    </w:p>
    <w:p>
      <w:pPr>
        <w:tabs>
          <w:tab w:val="left" w:pos="993"/>
        </w:tabs>
        <w:adjustRightInd w:val="0"/>
        <w:spacing w:line="380" w:lineRule="exact"/>
        <w:ind w:firstLine="422" w:firstLineChars="200"/>
        <w:contextualSpacing/>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因任何一方提供或者确认的送达地址不准确、送达地址变更后未及时依程序通知或告知其他方、法院、仲裁机关或公证机关的，或任何一方或其指定的接收人拒绝签收等原因，导致法律文书、执行文书、仲裁裁决或公证机关执行证书等各项法律文书或有关文件无法送达、未及时送达或未能被该方实际接收的，其他方、法院、仲裁机关或公证机关按照上述有效送达规则进行送达即视为有效送达，该方将自行承担由此可能产生的一切法律后果。各方同意法院、仲裁机关或公证机关可以采取一种或多种送达方式送达法律文书，送达时间以上述送达方式中最先到达的为准。</w:t>
      </w:r>
    </w:p>
    <w:p>
      <w:pPr>
        <w:numPr>
          <w:ilvl w:val="2"/>
          <w:numId w:val="40"/>
        </w:numPr>
        <w:tabs>
          <w:tab w:val="left" w:pos="1134"/>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本条约定内容为本合同各方均明确同意的特别条款，效力独立于本合同其他条款。不论本合同其他条款因为任何原因被法院、仲裁机关或其他有权机关认定为无效或者被撤销，本条约定内容均为有效。如本条约定与本合同中其他条款约定冲突的，应以本条约定为准。</w:t>
      </w:r>
    </w:p>
    <w:p>
      <w:pPr>
        <w:numPr>
          <w:ilvl w:val="1"/>
          <w:numId w:val="39"/>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乙方已采取文字加粗、加黑、突出显示等合理方式提请甲方、丙方注意本合同项下免除或限制其责任的条款，并按甲方、丙方要求对有关条款予以充分说明；甲方和丙方已阅读本合同所有条款，对本合同条款的含义及相应的法律后果已全部通晓并充分理解，同意遵守本合同条款。甲方、乙方和丙方对本合同所有条款内容的理解不存在异议。</w:t>
      </w:r>
    </w:p>
    <w:p>
      <w:pPr>
        <w:numPr>
          <w:ilvl w:val="1"/>
          <w:numId w:val="39"/>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甲方配偶在本合同签字的，则视同为甲方配偶同意本合同全部内容，并自愿与甲方共同承担本合同约定之责任。</w:t>
      </w:r>
    </w:p>
    <w:p>
      <w:pPr>
        <w:numPr>
          <w:ilvl w:val="1"/>
          <w:numId w:val="39"/>
        </w:numPr>
        <w:tabs>
          <w:tab w:val="left" w:pos="993"/>
        </w:tabs>
        <w:adjustRightInd w:val="0"/>
        <w:spacing w:line="380" w:lineRule="exact"/>
        <w:ind w:left="0" w:firstLine="422" w:firstLineChars="200"/>
        <w:contextualSpacing/>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在本合同有效期内，甲方、丙方对本合同有任何疑问的，可通过第二十条约定的途径咨询。</w:t>
      </w:r>
    </w:p>
    <w:p>
      <w:pPr>
        <w:numPr>
          <w:ilvl w:val="0"/>
          <w:numId w:val="1"/>
        </w:numPr>
        <w:tabs>
          <w:tab w:val="left" w:pos="1276"/>
        </w:tabs>
        <w:adjustRightInd w:val="0"/>
        <w:spacing w:line="380" w:lineRule="exact"/>
        <w:ind w:left="0" w:firstLine="420" w:firstLineChars="200"/>
        <w:contextualSpacing/>
        <w:rPr>
          <w:b/>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bookmarkStart w:id="18" w:name="_Ref470034903"/>
      <w:r>
        <w:rPr>
          <w:rFonts w:hint="eastAsia"/>
          <w:b/>
          <w:color w:val="000000" w:themeColor="text1"/>
          <w:szCs w:val="21"/>
          <w14:textFill>
            <w14:solidFill>
              <w14:schemeClr w14:val="tx1"/>
            </w14:solidFill>
          </w14:textFill>
        </w:rPr>
        <w:t>具体约定</w:t>
      </w:r>
      <w:bookmarkEnd w:id="18"/>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84"/>
        <w:gridCol w:w="992"/>
        <w:gridCol w:w="680"/>
        <w:gridCol w:w="709"/>
        <w:gridCol w:w="170"/>
        <w:gridCol w:w="680"/>
        <w:gridCol w:w="1571"/>
        <w:gridCol w:w="556"/>
        <w:gridCol w:w="661"/>
        <w:gridCol w:w="23"/>
        <w:gridCol w:w="6"/>
        <w:gridCol w:w="13"/>
        <w:gridCol w:w="169"/>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restart"/>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w:t>
            </w:r>
          </w:p>
          <w:p>
            <w:pPr>
              <w:snapToGrid w:val="0"/>
              <w:spacing w:line="380" w:lineRule="exact"/>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（借款人</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共同借款人）</w:t>
            </w:r>
          </w:p>
        </w:tc>
        <w:tc>
          <w:tcPr>
            <w:tcW w:w="992" w:type="dxa"/>
            <w:vMerge w:val="restart"/>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借款人</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抵押人</w:t>
            </w: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姓名</w:t>
            </w:r>
          </w:p>
        </w:tc>
        <w:tc>
          <w:tcPr>
            <w:tcW w:w="2421" w:type="dxa"/>
            <w:gridSpan w:val="3"/>
          </w:tcPr>
          <w:p>
            <w:pPr>
              <w:snapToGrid w:val="0"/>
              <w:spacing w:line="380" w:lineRule="exact"/>
              <w:rPr>
                <w:color w:val="000000" w:themeColor="text1"/>
                <w:szCs w:val="21"/>
                <w14:textFill>
                  <w14:solidFill>
                    <w14:schemeClr w14:val="tx1"/>
                  </w14:solidFill>
                </w14:textFill>
              </w:rPr>
            </w:pPr>
            <w:permStart w:id="24" w:edGrp="everyone"/>
            <w:r>
              <w:rPr>
                <w:rFonts w:hint="eastAsia"/>
                <w:color w:val="000000" w:themeColor="text1"/>
                <w:szCs w:val="21"/>
                <w14:textFill>
                  <w14:solidFill>
                    <w14:schemeClr w14:val="tx1"/>
                  </w14:solidFill>
                </w14:textFill>
              </w:rPr>
              <w:t>【】</w:t>
            </w:r>
            <w:permEnd w:id="24"/>
          </w:p>
        </w:tc>
        <w:tc>
          <w:tcPr>
            <w:tcW w:w="124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证件类型</w:t>
            </w:r>
          </w:p>
        </w:tc>
        <w:tc>
          <w:tcPr>
            <w:tcW w:w="2293" w:type="dxa"/>
            <w:gridSpan w:val="4"/>
          </w:tcPr>
          <w:p>
            <w:pPr>
              <w:snapToGrid w:val="0"/>
              <w:spacing w:line="380" w:lineRule="exact"/>
              <w:rPr>
                <w:color w:val="000000" w:themeColor="text1"/>
                <w:szCs w:val="21"/>
                <w14:textFill>
                  <w14:solidFill>
                    <w14:schemeClr w14:val="tx1"/>
                  </w14:solidFill>
                </w14:textFill>
              </w:rPr>
            </w:pPr>
            <w:permStart w:id="25" w:edGrp="everyone"/>
            <w:r>
              <w:rPr>
                <w:rFonts w:hint="eastAsia"/>
                <w:color w:val="000000" w:themeColor="text1"/>
                <w:szCs w:val="21"/>
                <w14:textFill>
                  <w14:solidFill>
                    <w14:schemeClr w14:val="tx1"/>
                  </w14:solidFill>
                </w14:textFill>
              </w:rPr>
              <w:t>【】</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证件号码</w:t>
            </w:r>
          </w:p>
        </w:tc>
        <w:tc>
          <w:tcPr>
            <w:tcW w:w="5954" w:type="dxa"/>
            <w:gridSpan w:val="10"/>
          </w:tcPr>
          <w:p>
            <w:pPr>
              <w:snapToGrid w:val="0"/>
              <w:spacing w:line="380" w:lineRule="exact"/>
              <w:rPr>
                <w:color w:val="000000" w:themeColor="text1"/>
                <w:szCs w:val="21"/>
                <w14:textFill>
                  <w14:solidFill>
                    <w14:schemeClr w14:val="tx1"/>
                  </w14:solidFill>
                </w14:textFill>
              </w:rPr>
            </w:pPr>
            <w:permStart w:id="26" w:edGrp="everyone"/>
            <w:r>
              <w:rPr>
                <w:rFonts w:hint="eastAsia"/>
                <w:color w:val="000000" w:themeColor="text1"/>
                <w:szCs w:val="21"/>
                <w14:textFill>
                  <w14:solidFill>
                    <w14:schemeClr w14:val="tx1"/>
                  </w14:solidFill>
                </w14:textFill>
              </w:rPr>
              <w:t>【】</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5954" w:type="dxa"/>
            <w:gridSpan w:val="10"/>
          </w:tcPr>
          <w:p>
            <w:pPr>
              <w:snapToGrid w:val="0"/>
              <w:spacing w:line="380" w:lineRule="exact"/>
              <w:rPr>
                <w:color w:val="000000" w:themeColor="text1"/>
                <w:szCs w:val="21"/>
                <w14:textFill>
                  <w14:solidFill>
                    <w14:schemeClr w14:val="tx1"/>
                  </w14:solidFill>
                </w14:textFill>
              </w:rPr>
            </w:pPr>
            <w:permStart w:id="27" w:edGrp="everyone"/>
            <w:r>
              <w:rPr>
                <w:rFonts w:hint="eastAsia"/>
                <w:color w:val="000000" w:themeColor="text1"/>
                <w:szCs w:val="21"/>
                <w14:textFill>
                  <w14:solidFill>
                    <w14:schemeClr w14:val="tx1"/>
                  </w14:solidFill>
                </w14:textFill>
              </w:rPr>
              <w:t>【】</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工作单位</w:t>
            </w:r>
          </w:p>
        </w:tc>
        <w:tc>
          <w:tcPr>
            <w:tcW w:w="5954" w:type="dxa"/>
            <w:gridSpan w:val="10"/>
          </w:tcPr>
          <w:p>
            <w:pPr>
              <w:snapToGrid w:val="0"/>
              <w:spacing w:line="380" w:lineRule="exact"/>
              <w:rPr>
                <w:color w:val="000000" w:themeColor="text1"/>
                <w:szCs w:val="21"/>
                <w14:textFill>
                  <w14:solidFill>
                    <w14:schemeClr w14:val="tx1"/>
                  </w14:solidFill>
                </w14:textFill>
              </w:rPr>
            </w:pPr>
            <w:permStart w:id="28" w:edGrp="everyone"/>
            <w:r>
              <w:rPr>
                <w:rFonts w:hint="eastAsia"/>
                <w:color w:val="000000" w:themeColor="text1"/>
                <w:szCs w:val="21"/>
                <w14:textFill>
                  <w14:solidFill>
                    <w14:schemeClr w14:val="tx1"/>
                  </w14:solidFill>
                </w14:textFill>
              </w:rPr>
              <w:t>【】</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tc>
        <w:tc>
          <w:tcPr>
            <w:tcW w:w="2421" w:type="dxa"/>
            <w:gridSpan w:val="3"/>
          </w:tcPr>
          <w:p>
            <w:pPr>
              <w:snapToGrid w:val="0"/>
              <w:spacing w:line="380" w:lineRule="exact"/>
              <w:rPr>
                <w:color w:val="000000" w:themeColor="text1"/>
                <w:szCs w:val="21"/>
                <w14:textFill>
                  <w14:solidFill>
                    <w14:schemeClr w14:val="tx1"/>
                  </w14:solidFill>
                </w14:textFill>
              </w:rPr>
            </w:pPr>
            <w:permStart w:id="29" w:edGrp="everyone"/>
            <w:r>
              <w:rPr>
                <w:rFonts w:hint="eastAsia"/>
                <w:color w:val="000000" w:themeColor="text1"/>
                <w:szCs w:val="21"/>
                <w14:textFill>
                  <w14:solidFill>
                    <w14:schemeClr w14:val="tx1"/>
                  </w14:solidFill>
                </w14:textFill>
              </w:rPr>
              <w:t>【】</w:t>
            </w:r>
            <w:permEnd w:id="29"/>
          </w:p>
        </w:tc>
        <w:tc>
          <w:tcPr>
            <w:tcW w:w="124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邮政编码</w:t>
            </w:r>
          </w:p>
        </w:tc>
        <w:tc>
          <w:tcPr>
            <w:tcW w:w="2293" w:type="dxa"/>
            <w:gridSpan w:val="4"/>
          </w:tcPr>
          <w:p>
            <w:pPr>
              <w:snapToGrid w:val="0"/>
              <w:spacing w:line="380" w:lineRule="exact"/>
              <w:rPr>
                <w:color w:val="000000" w:themeColor="text1"/>
                <w:szCs w:val="21"/>
                <w14:textFill>
                  <w14:solidFill>
                    <w14:schemeClr w14:val="tx1"/>
                  </w14:solidFill>
                </w14:textFill>
              </w:rPr>
            </w:pPr>
            <w:permStart w:id="30" w:edGrp="everyone"/>
            <w:r>
              <w:rPr>
                <w:rFonts w:hint="eastAsia"/>
                <w:color w:val="000000" w:themeColor="text1"/>
                <w:szCs w:val="21"/>
                <w14:textFill>
                  <w14:solidFill>
                    <w14:schemeClr w14:val="tx1"/>
                  </w14:solidFill>
                </w14:textFill>
              </w:rPr>
              <w:t>【】</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2421" w:type="dxa"/>
            <w:gridSpan w:val="3"/>
          </w:tcPr>
          <w:p>
            <w:pPr>
              <w:snapToGrid w:val="0"/>
              <w:spacing w:line="380" w:lineRule="exact"/>
              <w:rPr>
                <w:color w:val="000000" w:themeColor="text1"/>
                <w:szCs w:val="21"/>
                <w14:textFill>
                  <w14:solidFill>
                    <w14:schemeClr w14:val="tx1"/>
                  </w14:solidFill>
                </w14:textFill>
              </w:rPr>
            </w:pPr>
            <w:permStart w:id="31" w:edGrp="everyone"/>
            <w:r>
              <w:rPr>
                <w:rFonts w:hint="eastAsia"/>
                <w:color w:val="000000" w:themeColor="text1"/>
                <w:szCs w:val="21"/>
                <w14:textFill>
                  <w14:solidFill>
                    <w14:schemeClr w14:val="tx1"/>
                  </w14:solidFill>
                </w14:textFill>
              </w:rPr>
              <w:t>【】</w:t>
            </w:r>
            <w:permEnd w:id="31"/>
          </w:p>
        </w:tc>
        <w:tc>
          <w:tcPr>
            <w:tcW w:w="124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传真</w:t>
            </w:r>
          </w:p>
        </w:tc>
        <w:tc>
          <w:tcPr>
            <w:tcW w:w="2293" w:type="dxa"/>
            <w:gridSpan w:val="4"/>
          </w:tcPr>
          <w:p>
            <w:pPr>
              <w:snapToGrid w:val="0"/>
              <w:spacing w:line="380" w:lineRule="exact"/>
              <w:rPr>
                <w:color w:val="000000" w:themeColor="text1"/>
                <w:szCs w:val="21"/>
                <w14:textFill>
                  <w14:solidFill>
                    <w14:schemeClr w14:val="tx1"/>
                  </w14:solidFill>
                </w14:textFill>
              </w:rPr>
            </w:pPr>
            <w:permStart w:id="32" w:edGrp="everyone"/>
            <w:r>
              <w:rPr>
                <w:rFonts w:hint="eastAsia"/>
                <w:color w:val="000000" w:themeColor="text1"/>
                <w:szCs w:val="21"/>
                <w14:textFill>
                  <w14:solidFill>
                    <w14:schemeClr w14:val="tx1"/>
                  </w14:solidFill>
                </w14:textFill>
              </w:rPr>
              <w:t>【】</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微信号</w:t>
            </w:r>
          </w:p>
        </w:tc>
        <w:tc>
          <w:tcPr>
            <w:tcW w:w="5954" w:type="dxa"/>
            <w:gridSpan w:val="10"/>
          </w:tcPr>
          <w:p>
            <w:pPr>
              <w:snapToGrid w:val="0"/>
              <w:spacing w:line="380" w:lineRule="exact"/>
              <w:rPr>
                <w:color w:val="000000" w:themeColor="text1"/>
                <w:szCs w:val="21"/>
                <w14:textFill>
                  <w14:solidFill>
                    <w14:schemeClr w14:val="tx1"/>
                  </w14:solidFill>
                </w14:textFill>
              </w:rPr>
            </w:pPr>
            <w:permStart w:id="33" w:edGrp="everyone"/>
            <w:r>
              <w:rPr>
                <w:rFonts w:hint="eastAsia"/>
                <w:color w:val="000000" w:themeColor="text1"/>
                <w:szCs w:val="21"/>
                <w14:textFill>
                  <w14:solidFill>
                    <w14:schemeClr w14:val="tx1"/>
                  </w14:solidFill>
                </w14:textFill>
              </w:rPr>
              <w:t>【】</w:t>
            </w:r>
            <w:perm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restart"/>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共同</w:t>
            </w:r>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借款人</w:t>
            </w:r>
            <w:permStart w:id="34" w:edGrp="everyone"/>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抵押人</w:t>
            </w:r>
            <w:permEnd w:id="34"/>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姓名</w:t>
            </w:r>
          </w:p>
        </w:tc>
        <w:tc>
          <w:tcPr>
            <w:tcW w:w="2421" w:type="dxa"/>
            <w:gridSpan w:val="3"/>
          </w:tcPr>
          <w:p>
            <w:pPr>
              <w:snapToGrid w:val="0"/>
              <w:spacing w:line="380" w:lineRule="exact"/>
              <w:rPr>
                <w:color w:val="000000" w:themeColor="text1"/>
                <w:szCs w:val="21"/>
                <w14:textFill>
                  <w14:solidFill>
                    <w14:schemeClr w14:val="tx1"/>
                  </w14:solidFill>
                </w14:textFill>
              </w:rPr>
            </w:pPr>
            <w:permStart w:id="35" w:edGrp="everyone"/>
            <w:r>
              <w:rPr>
                <w:rFonts w:hint="eastAsia"/>
                <w:color w:val="000000" w:themeColor="text1"/>
                <w:szCs w:val="21"/>
                <w14:textFill>
                  <w14:solidFill>
                    <w14:schemeClr w14:val="tx1"/>
                  </w14:solidFill>
                </w14:textFill>
              </w:rPr>
              <w:t>【】</w:t>
            </w:r>
            <w:permEnd w:id="35"/>
          </w:p>
        </w:tc>
        <w:tc>
          <w:tcPr>
            <w:tcW w:w="124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证件类型</w:t>
            </w:r>
          </w:p>
        </w:tc>
        <w:tc>
          <w:tcPr>
            <w:tcW w:w="2293" w:type="dxa"/>
            <w:gridSpan w:val="4"/>
          </w:tcPr>
          <w:p>
            <w:pPr>
              <w:snapToGrid w:val="0"/>
              <w:spacing w:line="380" w:lineRule="exact"/>
              <w:rPr>
                <w:color w:val="000000" w:themeColor="text1"/>
                <w:szCs w:val="21"/>
                <w14:textFill>
                  <w14:solidFill>
                    <w14:schemeClr w14:val="tx1"/>
                  </w14:solidFill>
                </w14:textFill>
              </w:rPr>
            </w:pPr>
            <w:permStart w:id="36" w:edGrp="everyone"/>
            <w:r>
              <w:rPr>
                <w:rFonts w:hint="eastAsia"/>
                <w:color w:val="000000" w:themeColor="text1"/>
                <w:szCs w:val="21"/>
                <w14:textFill>
                  <w14:solidFill>
                    <w14:schemeClr w14:val="tx1"/>
                  </w14:solidFill>
                </w14:textFill>
              </w:rPr>
              <w:t>【】</w:t>
            </w:r>
            <w:perm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证件号码</w:t>
            </w:r>
          </w:p>
        </w:tc>
        <w:tc>
          <w:tcPr>
            <w:tcW w:w="5954" w:type="dxa"/>
            <w:gridSpan w:val="10"/>
          </w:tcPr>
          <w:p>
            <w:pPr>
              <w:snapToGrid w:val="0"/>
              <w:spacing w:line="380" w:lineRule="exact"/>
              <w:rPr>
                <w:color w:val="000000" w:themeColor="text1"/>
                <w:szCs w:val="21"/>
                <w14:textFill>
                  <w14:solidFill>
                    <w14:schemeClr w14:val="tx1"/>
                  </w14:solidFill>
                </w14:textFill>
              </w:rPr>
            </w:pPr>
            <w:permStart w:id="37" w:edGrp="everyone"/>
            <w:r>
              <w:rPr>
                <w:rFonts w:hint="eastAsia"/>
                <w:color w:val="000000" w:themeColor="text1"/>
                <w:szCs w:val="21"/>
                <w14:textFill>
                  <w14:solidFill>
                    <w14:schemeClr w14:val="tx1"/>
                  </w14:solidFill>
                </w14:textFill>
              </w:rPr>
              <w:t>【】</w:t>
            </w:r>
            <w:perm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5954" w:type="dxa"/>
            <w:gridSpan w:val="10"/>
          </w:tcPr>
          <w:p>
            <w:pPr>
              <w:snapToGrid w:val="0"/>
              <w:spacing w:line="380" w:lineRule="exact"/>
              <w:rPr>
                <w:color w:val="000000" w:themeColor="text1"/>
                <w:szCs w:val="21"/>
                <w14:textFill>
                  <w14:solidFill>
                    <w14:schemeClr w14:val="tx1"/>
                  </w14:solidFill>
                </w14:textFill>
              </w:rPr>
            </w:pPr>
            <w:permStart w:id="38" w:edGrp="everyone"/>
            <w:r>
              <w:rPr>
                <w:rFonts w:hint="eastAsia"/>
                <w:color w:val="000000" w:themeColor="text1"/>
                <w:szCs w:val="21"/>
                <w14:textFill>
                  <w14:solidFill>
                    <w14:schemeClr w14:val="tx1"/>
                  </w14:solidFill>
                </w14:textFill>
              </w:rPr>
              <w:t>【】</w:t>
            </w:r>
            <w:perm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工作单位</w:t>
            </w:r>
          </w:p>
        </w:tc>
        <w:tc>
          <w:tcPr>
            <w:tcW w:w="5954" w:type="dxa"/>
            <w:gridSpan w:val="10"/>
          </w:tcPr>
          <w:p>
            <w:pPr>
              <w:snapToGrid w:val="0"/>
              <w:spacing w:line="380" w:lineRule="exact"/>
              <w:rPr>
                <w:color w:val="000000" w:themeColor="text1"/>
                <w:szCs w:val="21"/>
                <w14:textFill>
                  <w14:solidFill>
                    <w14:schemeClr w14:val="tx1"/>
                  </w14:solidFill>
                </w14:textFill>
              </w:rPr>
            </w:pPr>
            <w:permStart w:id="39" w:edGrp="everyone"/>
            <w:r>
              <w:rPr>
                <w:rFonts w:hint="eastAsia"/>
                <w:color w:val="000000" w:themeColor="text1"/>
                <w:szCs w:val="21"/>
                <w14:textFill>
                  <w14:solidFill>
                    <w14:schemeClr w14:val="tx1"/>
                  </w14:solidFill>
                </w14:textFill>
              </w:rPr>
              <w:t>【】</w:t>
            </w:r>
            <w:perm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tc>
        <w:tc>
          <w:tcPr>
            <w:tcW w:w="2421" w:type="dxa"/>
            <w:gridSpan w:val="3"/>
          </w:tcPr>
          <w:p>
            <w:pPr>
              <w:snapToGrid w:val="0"/>
              <w:spacing w:line="380" w:lineRule="exact"/>
              <w:rPr>
                <w:color w:val="000000" w:themeColor="text1"/>
                <w:szCs w:val="21"/>
                <w14:textFill>
                  <w14:solidFill>
                    <w14:schemeClr w14:val="tx1"/>
                  </w14:solidFill>
                </w14:textFill>
              </w:rPr>
            </w:pPr>
            <w:permStart w:id="40" w:edGrp="everyone"/>
            <w:r>
              <w:rPr>
                <w:rFonts w:hint="eastAsia"/>
                <w:color w:val="000000" w:themeColor="text1"/>
                <w:szCs w:val="21"/>
                <w14:textFill>
                  <w14:solidFill>
                    <w14:schemeClr w14:val="tx1"/>
                  </w14:solidFill>
                </w14:textFill>
              </w:rPr>
              <w:t>【】</w:t>
            </w:r>
            <w:permEnd w:id="40"/>
          </w:p>
        </w:tc>
        <w:tc>
          <w:tcPr>
            <w:tcW w:w="124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邮政编码</w:t>
            </w:r>
          </w:p>
        </w:tc>
        <w:tc>
          <w:tcPr>
            <w:tcW w:w="2293" w:type="dxa"/>
            <w:gridSpan w:val="4"/>
          </w:tcPr>
          <w:p>
            <w:pPr>
              <w:snapToGrid w:val="0"/>
              <w:spacing w:line="380" w:lineRule="exact"/>
              <w:rPr>
                <w:color w:val="000000" w:themeColor="text1"/>
                <w:szCs w:val="21"/>
                <w14:textFill>
                  <w14:solidFill>
                    <w14:schemeClr w14:val="tx1"/>
                  </w14:solidFill>
                </w14:textFill>
              </w:rPr>
            </w:pPr>
            <w:permStart w:id="41" w:edGrp="everyone"/>
            <w:r>
              <w:rPr>
                <w:rFonts w:hint="eastAsia"/>
                <w:color w:val="000000" w:themeColor="text1"/>
                <w:szCs w:val="21"/>
                <w14:textFill>
                  <w14:solidFill>
                    <w14:schemeClr w14:val="tx1"/>
                  </w14:solidFill>
                </w14:textFill>
              </w:rPr>
              <w:t>【】</w:t>
            </w:r>
            <w:perm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color w:val="000000" w:themeColor="text1"/>
                <w:szCs w:val="21"/>
                <w14:textFill>
                  <w14:solidFill>
                    <w14:schemeClr w14:val="tx1"/>
                  </w14:solidFill>
                </w14:textFill>
              </w:rPr>
            </w:pPr>
          </w:p>
        </w:tc>
        <w:tc>
          <w:tcPr>
            <w:tcW w:w="992" w:type="dxa"/>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2421" w:type="dxa"/>
            <w:gridSpan w:val="3"/>
          </w:tcPr>
          <w:p>
            <w:pPr>
              <w:snapToGrid w:val="0"/>
              <w:spacing w:line="380" w:lineRule="exact"/>
              <w:rPr>
                <w:color w:val="000000" w:themeColor="text1"/>
                <w:szCs w:val="21"/>
                <w14:textFill>
                  <w14:solidFill>
                    <w14:schemeClr w14:val="tx1"/>
                  </w14:solidFill>
                </w14:textFill>
              </w:rPr>
            </w:pPr>
            <w:permStart w:id="42" w:edGrp="everyone"/>
            <w:r>
              <w:rPr>
                <w:rFonts w:hint="eastAsia"/>
                <w:color w:val="000000" w:themeColor="text1"/>
                <w:szCs w:val="21"/>
                <w14:textFill>
                  <w14:solidFill>
                    <w14:schemeClr w14:val="tx1"/>
                  </w14:solidFill>
                </w14:textFill>
              </w:rPr>
              <w:t>【】</w:t>
            </w:r>
            <w:permEnd w:id="42"/>
          </w:p>
        </w:tc>
        <w:tc>
          <w:tcPr>
            <w:tcW w:w="124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传真</w:t>
            </w:r>
          </w:p>
        </w:tc>
        <w:tc>
          <w:tcPr>
            <w:tcW w:w="2293" w:type="dxa"/>
            <w:gridSpan w:val="4"/>
          </w:tcPr>
          <w:p>
            <w:pPr>
              <w:snapToGrid w:val="0"/>
              <w:spacing w:line="380" w:lineRule="exact"/>
              <w:rPr>
                <w:color w:val="000000" w:themeColor="text1"/>
                <w:szCs w:val="21"/>
                <w14:textFill>
                  <w14:solidFill>
                    <w14:schemeClr w14:val="tx1"/>
                  </w14:solidFill>
                </w14:textFill>
              </w:rPr>
            </w:pPr>
            <w:permStart w:id="43" w:edGrp="everyone"/>
            <w:r>
              <w:rPr>
                <w:rFonts w:hint="eastAsia"/>
                <w:color w:val="000000" w:themeColor="text1"/>
                <w:szCs w:val="21"/>
                <w14:textFill>
                  <w14:solidFill>
                    <w14:schemeClr w14:val="tx1"/>
                  </w14:solidFill>
                </w14:textFill>
              </w:rPr>
              <w:t>【】</w:t>
            </w:r>
            <w:perm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gridSpan w:val="2"/>
            <w:vMerge w:val="continue"/>
          </w:tcPr>
          <w:p>
            <w:pPr>
              <w:snapToGrid w:val="0"/>
              <w:spacing w:line="380" w:lineRule="exact"/>
              <w:rPr>
                <w:b/>
                <w:color w:val="000000" w:themeColor="text1"/>
                <w:szCs w:val="21"/>
                <w14:textFill>
                  <w14:solidFill>
                    <w14:schemeClr w14:val="tx1"/>
                  </w14:solidFill>
                </w14:textFill>
              </w:rPr>
            </w:pPr>
          </w:p>
        </w:tc>
        <w:tc>
          <w:tcPr>
            <w:tcW w:w="992" w:type="dxa"/>
            <w:vMerge w:val="continue"/>
          </w:tcPr>
          <w:p>
            <w:pPr>
              <w:snapToGrid w:val="0"/>
              <w:spacing w:line="380" w:lineRule="exact"/>
              <w:rPr>
                <w:b/>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微信号</w:t>
            </w:r>
          </w:p>
        </w:tc>
        <w:tc>
          <w:tcPr>
            <w:tcW w:w="5954" w:type="dxa"/>
            <w:gridSpan w:val="10"/>
          </w:tcPr>
          <w:p>
            <w:pPr>
              <w:snapToGrid w:val="0"/>
              <w:spacing w:line="380" w:lineRule="exact"/>
              <w:rPr>
                <w:color w:val="000000" w:themeColor="text1"/>
                <w:szCs w:val="21"/>
                <w14:textFill>
                  <w14:solidFill>
                    <w14:schemeClr w14:val="tx1"/>
                  </w14:solidFill>
                </w14:textFill>
              </w:rPr>
            </w:pPr>
            <w:permStart w:id="44" w:edGrp="everyone"/>
            <w:r>
              <w:rPr>
                <w:rFonts w:hint="eastAsia"/>
                <w:color w:val="000000" w:themeColor="text1"/>
                <w:szCs w:val="21"/>
                <w14:textFill>
                  <w14:solidFill>
                    <w14:schemeClr w14:val="tx1"/>
                  </w14:solidFill>
                </w14:textFill>
              </w:rPr>
              <w:t>【】</w:t>
            </w:r>
            <w:perm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restart"/>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乙方</w:t>
            </w:r>
          </w:p>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（贷款人</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担保权人）</w:t>
            </w: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5954" w:type="dxa"/>
            <w:gridSpan w:val="10"/>
          </w:tcPr>
          <w:p>
            <w:pPr>
              <w:snapToGrid w:val="0"/>
              <w:spacing w:line="380" w:lineRule="exact"/>
              <w:rPr>
                <w:color w:val="000000" w:themeColor="text1"/>
                <w:szCs w:val="21"/>
                <w14:textFill>
                  <w14:solidFill>
                    <w14:schemeClr w14:val="tx1"/>
                  </w14:solidFill>
                </w14:textFill>
              </w:rPr>
            </w:pPr>
            <w:permStart w:id="45" w:edGrp="everyone"/>
            <w:r>
              <w:rPr>
                <w:rFonts w:hint="eastAsia"/>
                <w:color w:val="000000" w:themeColor="text1"/>
                <w:szCs w:val="21"/>
                <w14:textFill>
                  <w14:solidFill>
                    <w14:schemeClr w14:val="tx1"/>
                  </w14:solidFill>
                </w14:textFill>
              </w:rPr>
              <w:t>【】</w:t>
            </w:r>
            <w:perm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负责人</w:t>
            </w:r>
          </w:p>
        </w:tc>
        <w:tc>
          <w:tcPr>
            <w:tcW w:w="2421" w:type="dxa"/>
            <w:gridSpan w:val="3"/>
          </w:tcPr>
          <w:p>
            <w:pPr>
              <w:snapToGrid w:val="0"/>
              <w:spacing w:line="380" w:lineRule="exact"/>
              <w:rPr>
                <w:color w:val="000000" w:themeColor="text1"/>
                <w:szCs w:val="21"/>
                <w14:textFill>
                  <w14:solidFill>
                    <w14:schemeClr w14:val="tx1"/>
                  </w14:solidFill>
                </w14:textFill>
              </w:rPr>
            </w:pPr>
            <w:permStart w:id="46" w:edGrp="everyone"/>
            <w:r>
              <w:rPr>
                <w:rFonts w:hint="eastAsia"/>
                <w:color w:val="000000" w:themeColor="text1"/>
                <w:szCs w:val="21"/>
                <w14:textFill>
                  <w14:solidFill>
                    <w14:schemeClr w14:val="tx1"/>
                  </w14:solidFill>
                </w14:textFill>
              </w:rPr>
              <w:t>【】</w:t>
            </w:r>
            <w:permEnd w:id="46"/>
          </w:p>
        </w:tc>
        <w:tc>
          <w:tcPr>
            <w:tcW w:w="1259" w:type="dxa"/>
            <w:gridSpan w:val="5"/>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邮政编码</w:t>
            </w:r>
          </w:p>
        </w:tc>
        <w:tc>
          <w:tcPr>
            <w:tcW w:w="2274" w:type="dxa"/>
            <w:gridSpan w:val="2"/>
          </w:tcPr>
          <w:p>
            <w:pPr>
              <w:snapToGrid w:val="0"/>
              <w:spacing w:line="380" w:lineRule="exact"/>
              <w:rPr>
                <w:color w:val="000000" w:themeColor="text1"/>
                <w:szCs w:val="21"/>
                <w14:textFill>
                  <w14:solidFill>
                    <w14:schemeClr w14:val="tx1"/>
                  </w14:solidFill>
                </w14:textFill>
              </w:rPr>
            </w:pPr>
            <w:permStart w:id="47" w:edGrp="everyone"/>
            <w:r>
              <w:rPr>
                <w:rFonts w:hint="eastAsia"/>
                <w:color w:val="000000" w:themeColor="text1"/>
                <w:szCs w:val="21"/>
                <w14:textFill>
                  <w14:solidFill>
                    <w14:schemeClr w14:val="tx1"/>
                  </w14:solidFill>
                </w14:textFill>
              </w:rPr>
              <w:t>【】</w:t>
            </w:r>
            <w:perm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5954" w:type="dxa"/>
            <w:gridSpan w:val="10"/>
          </w:tcPr>
          <w:p>
            <w:pPr>
              <w:snapToGrid w:val="0"/>
              <w:spacing w:line="380" w:lineRule="exact"/>
              <w:rPr>
                <w:color w:val="000000" w:themeColor="text1"/>
                <w:szCs w:val="21"/>
                <w14:textFill>
                  <w14:solidFill>
                    <w14:schemeClr w14:val="tx1"/>
                  </w14:solidFill>
                </w14:textFill>
              </w:rPr>
            </w:pPr>
            <w:permStart w:id="48" w:edGrp="everyone"/>
            <w:r>
              <w:rPr>
                <w:rFonts w:hint="eastAsia"/>
                <w:color w:val="000000" w:themeColor="text1"/>
                <w:szCs w:val="21"/>
                <w14:textFill>
                  <w14:solidFill>
                    <w14:schemeClr w14:val="tx1"/>
                  </w14:solidFill>
                </w14:textFill>
              </w:rPr>
              <w:t>【】</w:t>
            </w:r>
            <w:perm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tc>
        <w:tc>
          <w:tcPr>
            <w:tcW w:w="2421" w:type="dxa"/>
            <w:gridSpan w:val="3"/>
          </w:tcPr>
          <w:p>
            <w:pPr>
              <w:snapToGrid w:val="0"/>
              <w:spacing w:line="380" w:lineRule="exact"/>
              <w:rPr>
                <w:color w:val="000000" w:themeColor="text1"/>
                <w:szCs w:val="21"/>
                <w14:textFill>
                  <w14:solidFill>
                    <w14:schemeClr w14:val="tx1"/>
                  </w14:solidFill>
                </w14:textFill>
              </w:rPr>
            </w:pPr>
            <w:permStart w:id="49" w:edGrp="everyone"/>
            <w:r>
              <w:rPr>
                <w:rFonts w:hint="eastAsia"/>
                <w:color w:val="000000" w:themeColor="text1"/>
                <w:szCs w:val="21"/>
                <w14:textFill>
                  <w14:solidFill>
                    <w14:schemeClr w14:val="tx1"/>
                  </w14:solidFill>
                </w14:textFill>
              </w:rPr>
              <w:t>【】</w:t>
            </w:r>
            <w:permEnd w:id="49"/>
          </w:p>
        </w:tc>
        <w:tc>
          <w:tcPr>
            <w:tcW w:w="1259" w:type="dxa"/>
            <w:gridSpan w:val="5"/>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传真</w:t>
            </w:r>
          </w:p>
        </w:tc>
        <w:tc>
          <w:tcPr>
            <w:tcW w:w="2274" w:type="dxa"/>
            <w:gridSpan w:val="2"/>
          </w:tcPr>
          <w:p>
            <w:pPr>
              <w:snapToGrid w:val="0"/>
              <w:spacing w:line="380" w:lineRule="exact"/>
              <w:rPr>
                <w:color w:val="000000" w:themeColor="text1"/>
                <w:szCs w:val="21"/>
                <w14:textFill>
                  <w14:solidFill>
                    <w14:schemeClr w14:val="tx1"/>
                  </w14:solidFill>
                </w14:textFill>
              </w:rPr>
            </w:pPr>
            <w:permStart w:id="50" w:edGrp="everyone"/>
            <w:r>
              <w:rPr>
                <w:rFonts w:hint="eastAsia"/>
                <w:color w:val="000000" w:themeColor="text1"/>
                <w:szCs w:val="21"/>
                <w14:textFill>
                  <w14:solidFill>
                    <w14:schemeClr w14:val="tx1"/>
                  </w14:solidFill>
                </w14:textFill>
              </w:rPr>
              <w:t>【】</w:t>
            </w:r>
            <w:perm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restart"/>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丙方</w:t>
            </w:r>
          </w:p>
          <w:p>
            <w:pPr>
              <w:snapToGrid w:val="0"/>
              <w:spacing w:line="380" w:lineRule="exact"/>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（阶段性保证人）</w:t>
            </w: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5954" w:type="dxa"/>
            <w:gridSpan w:val="10"/>
          </w:tcPr>
          <w:p>
            <w:pPr>
              <w:snapToGrid w:val="0"/>
              <w:spacing w:line="380" w:lineRule="exact"/>
              <w:rPr>
                <w:color w:val="000000" w:themeColor="text1"/>
                <w:szCs w:val="21"/>
                <w14:textFill>
                  <w14:solidFill>
                    <w14:schemeClr w14:val="tx1"/>
                  </w14:solidFill>
                </w14:textFill>
              </w:rPr>
            </w:pPr>
            <w:permStart w:id="51" w:edGrp="everyone"/>
            <w:r>
              <w:rPr>
                <w:rFonts w:hint="eastAsia"/>
                <w:color w:val="000000" w:themeColor="text1"/>
                <w:szCs w:val="21"/>
                <w14:textFill>
                  <w14:solidFill>
                    <w14:schemeClr w14:val="tx1"/>
                  </w14:solidFill>
                </w14:textFill>
              </w:rPr>
              <w:t>【】</w:t>
            </w:r>
            <w:perm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w:t>
            </w:r>
          </w:p>
        </w:tc>
        <w:tc>
          <w:tcPr>
            <w:tcW w:w="5954" w:type="dxa"/>
            <w:gridSpan w:val="10"/>
          </w:tcPr>
          <w:p>
            <w:pPr>
              <w:snapToGrid w:val="0"/>
              <w:spacing w:line="380" w:lineRule="exact"/>
              <w:rPr>
                <w:color w:val="000000" w:themeColor="text1"/>
                <w:szCs w:val="21"/>
                <w14:textFill>
                  <w14:solidFill>
                    <w14:schemeClr w14:val="tx1"/>
                  </w14:solidFill>
                </w14:textFill>
              </w:rPr>
            </w:pPr>
            <w:permStart w:id="52" w:edGrp="everyone"/>
            <w:r>
              <w:rPr>
                <w:rFonts w:hint="eastAsia"/>
                <w:color w:val="000000" w:themeColor="text1"/>
                <w:szCs w:val="21"/>
                <w14:textFill>
                  <w14:solidFill>
                    <w14:schemeClr w14:val="tx1"/>
                  </w14:solidFill>
                </w14:textFill>
              </w:rPr>
              <w:t>【】</w:t>
            </w:r>
            <w:perm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5954" w:type="dxa"/>
            <w:gridSpan w:val="10"/>
          </w:tcPr>
          <w:p>
            <w:pPr>
              <w:snapToGrid w:val="0"/>
              <w:spacing w:line="380" w:lineRule="exact"/>
              <w:rPr>
                <w:color w:val="000000" w:themeColor="text1"/>
                <w:szCs w:val="21"/>
                <w14:textFill>
                  <w14:solidFill>
                    <w14:schemeClr w14:val="tx1"/>
                  </w14:solidFill>
                </w14:textFill>
              </w:rPr>
            </w:pPr>
            <w:permStart w:id="53" w:edGrp="everyone"/>
            <w:r>
              <w:rPr>
                <w:rFonts w:hint="eastAsia"/>
                <w:color w:val="000000" w:themeColor="text1"/>
                <w:szCs w:val="21"/>
                <w14:textFill>
                  <w14:solidFill>
                    <w14:schemeClr w14:val="tx1"/>
                  </w14:solidFill>
                </w14:textFill>
              </w:rPr>
              <w:t>【】</w:t>
            </w:r>
            <w:perm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1" w:type="dxa"/>
            <w:gridSpan w:val="3"/>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w:t>
            </w:r>
          </w:p>
        </w:tc>
        <w:tc>
          <w:tcPr>
            <w:tcW w:w="2421" w:type="dxa"/>
            <w:gridSpan w:val="3"/>
          </w:tcPr>
          <w:p>
            <w:pPr>
              <w:snapToGrid w:val="0"/>
              <w:spacing w:line="380" w:lineRule="exact"/>
              <w:rPr>
                <w:color w:val="000000" w:themeColor="text1"/>
                <w:szCs w:val="21"/>
                <w14:textFill>
                  <w14:solidFill>
                    <w14:schemeClr w14:val="tx1"/>
                  </w14:solidFill>
                </w14:textFill>
              </w:rPr>
            </w:pPr>
            <w:permStart w:id="54" w:edGrp="everyone"/>
            <w:r>
              <w:rPr>
                <w:rFonts w:hint="eastAsia"/>
                <w:color w:val="000000" w:themeColor="text1"/>
                <w:szCs w:val="21"/>
                <w14:textFill>
                  <w14:solidFill>
                    <w14:schemeClr w14:val="tx1"/>
                  </w14:solidFill>
                </w14:textFill>
              </w:rPr>
              <w:t>【】</w:t>
            </w:r>
            <w:permEnd w:id="54"/>
          </w:p>
        </w:tc>
        <w:tc>
          <w:tcPr>
            <w:tcW w:w="124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联系地址</w:t>
            </w:r>
          </w:p>
        </w:tc>
        <w:tc>
          <w:tcPr>
            <w:tcW w:w="2293" w:type="dxa"/>
            <w:gridSpan w:val="4"/>
          </w:tcPr>
          <w:p>
            <w:pPr>
              <w:snapToGrid w:val="0"/>
              <w:spacing w:line="380" w:lineRule="exact"/>
              <w:rPr>
                <w:color w:val="000000" w:themeColor="text1"/>
                <w:szCs w:val="21"/>
                <w14:textFill>
                  <w14:solidFill>
                    <w14:schemeClr w14:val="tx1"/>
                  </w14:solidFill>
                </w14:textFill>
              </w:rPr>
            </w:pPr>
            <w:permStart w:id="55" w:edGrp="everyone"/>
            <w:r>
              <w:rPr>
                <w:rFonts w:hint="eastAsia"/>
                <w:color w:val="000000" w:themeColor="text1"/>
                <w:szCs w:val="21"/>
                <w14:textFill>
                  <w14:solidFill>
                    <w14:schemeClr w14:val="tx1"/>
                  </w14:solidFill>
                </w14:textFill>
              </w:rPr>
              <w:t>【】</w:t>
            </w:r>
            <w:perm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1" w:type="dxa"/>
            <w:gridSpan w:val="3"/>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tc>
        <w:tc>
          <w:tcPr>
            <w:tcW w:w="2421" w:type="dxa"/>
            <w:gridSpan w:val="3"/>
          </w:tcPr>
          <w:p>
            <w:pPr>
              <w:snapToGrid w:val="0"/>
              <w:spacing w:line="380" w:lineRule="exact"/>
              <w:rPr>
                <w:color w:val="000000" w:themeColor="text1"/>
                <w:szCs w:val="21"/>
                <w14:textFill>
                  <w14:solidFill>
                    <w14:schemeClr w14:val="tx1"/>
                  </w14:solidFill>
                </w14:textFill>
              </w:rPr>
            </w:pPr>
            <w:permStart w:id="56" w:edGrp="everyone"/>
            <w:r>
              <w:rPr>
                <w:rFonts w:hint="eastAsia"/>
                <w:color w:val="000000" w:themeColor="text1"/>
                <w:szCs w:val="21"/>
                <w14:textFill>
                  <w14:solidFill>
                    <w14:schemeClr w14:val="tx1"/>
                  </w14:solidFill>
                </w14:textFill>
              </w:rPr>
              <w:t>【】</w:t>
            </w:r>
            <w:permEnd w:id="56"/>
          </w:p>
        </w:tc>
        <w:tc>
          <w:tcPr>
            <w:tcW w:w="124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邮政编码</w:t>
            </w:r>
          </w:p>
        </w:tc>
        <w:tc>
          <w:tcPr>
            <w:tcW w:w="2293" w:type="dxa"/>
            <w:gridSpan w:val="4"/>
          </w:tcPr>
          <w:p>
            <w:pPr>
              <w:snapToGrid w:val="0"/>
              <w:spacing w:line="380" w:lineRule="exact"/>
              <w:rPr>
                <w:color w:val="000000" w:themeColor="text1"/>
                <w:szCs w:val="21"/>
                <w14:textFill>
                  <w14:solidFill>
                    <w14:schemeClr w14:val="tx1"/>
                  </w14:solidFill>
                </w14:textFill>
              </w:rPr>
            </w:pPr>
            <w:permStart w:id="57" w:edGrp="everyone"/>
            <w:r>
              <w:rPr>
                <w:rFonts w:hint="eastAsia"/>
                <w:color w:val="000000" w:themeColor="text1"/>
                <w:szCs w:val="21"/>
                <w14:textFill>
                  <w14:solidFill>
                    <w14:schemeClr w14:val="tx1"/>
                  </w14:solidFill>
                </w14:textFill>
              </w:rPr>
              <w:t>【】</w:t>
            </w:r>
            <w:perm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2421" w:type="dxa"/>
            <w:gridSpan w:val="3"/>
          </w:tcPr>
          <w:p>
            <w:pPr>
              <w:snapToGrid w:val="0"/>
              <w:spacing w:line="380" w:lineRule="exact"/>
              <w:rPr>
                <w:color w:val="000000" w:themeColor="text1"/>
                <w:szCs w:val="21"/>
                <w14:textFill>
                  <w14:solidFill>
                    <w14:schemeClr w14:val="tx1"/>
                  </w14:solidFill>
                </w14:textFill>
              </w:rPr>
            </w:pPr>
            <w:permStart w:id="58" w:edGrp="everyone"/>
            <w:r>
              <w:rPr>
                <w:rFonts w:hint="eastAsia"/>
                <w:color w:val="000000" w:themeColor="text1"/>
                <w:szCs w:val="21"/>
                <w14:textFill>
                  <w14:solidFill>
                    <w14:schemeClr w14:val="tx1"/>
                  </w14:solidFill>
                </w14:textFill>
              </w:rPr>
              <w:t>【】</w:t>
            </w:r>
            <w:permEnd w:id="58"/>
          </w:p>
        </w:tc>
        <w:tc>
          <w:tcPr>
            <w:tcW w:w="124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传真</w:t>
            </w:r>
          </w:p>
        </w:tc>
        <w:tc>
          <w:tcPr>
            <w:tcW w:w="2293" w:type="dxa"/>
            <w:gridSpan w:val="4"/>
          </w:tcPr>
          <w:p>
            <w:pPr>
              <w:snapToGrid w:val="0"/>
              <w:spacing w:line="380" w:lineRule="exact"/>
              <w:rPr>
                <w:color w:val="000000" w:themeColor="text1"/>
                <w:szCs w:val="21"/>
                <w14:textFill>
                  <w14:solidFill>
                    <w14:schemeClr w14:val="tx1"/>
                  </w14:solidFill>
                </w14:textFill>
              </w:rPr>
            </w:pPr>
            <w:permStart w:id="59" w:edGrp="everyone"/>
            <w:r>
              <w:rPr>
                <w:rFonts w:hint="eastAsia"/>
                <w:color w:val="000000" w:themeColor="text1"/>
                <w:szCs w:val="21"/>
                <w14:textFill>
                  <w14:solidFill>
                    <w14:schemeClr w14:val="tx1"/>
                  </w14:solidFill>
                </w14:textFill>
              </w:rPr>
              <w:t>【】</w:t>
            </w:r>
            <w:perm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贷款金额</w:t>
            </w:r>
          </w:p>
        </w:tc>
        <w:tc>
          <w:tcPr>
            <w:tcW w:w="7343" w:type="dxa"/>
            <w:gridSpan w:val="12"/>
          </w:tcPr>
          <w:p>
            <w:pPr>
              <w:snapToGrid w:val="0"/>
              <w:spacing w:line="380" w:lineRule="exac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大写：人民币</w:t>
            </w:r>
            <w:permStart w:id="60" w:edGrp="everyone"/>
            <w:r>
              <w:rPr>
                <w:rFonts w:hint="eastAsia"/>
                <w:color w:val="000000" w:themeColor="text1"/>
                <w:szCs w:val="21"/>
                <w14:textFill>
                  <w14:solidFill>
                    <w14:schemeClr w14:val="tx1"/>
                  </w14:solidFill>
                </w14:textFill>
              </w:rPr>
              <w:t>【】</w:t>
            </w:r>
            <w:permEnd w:id="60"/>
            <w:r>
              <w:rPr>
                <w:rFonts w:hint="eastAsia"/>
                <w:color w:val="000000" w:themeColor="text1"/>
                <w:szCs w:val="21"/>
                <w14:textFill>
                  <w14:solidFill>
                    <w14:schemeClr w14:val="tx1"/>
                  </w14:solidFill>
                </w14:textFill>
              </w:rPr>
              <w:t>小写：</w:t>
            </w:r>
            <w:r>
              <w:rPr>
                <w:color w:val="000000" w:themeColor="text1"/>
                <w:szCs w:val="21"/>
                <w14:textFill>
                  <w14:solidFill>
                    <w14:schemeClr w14:val="tx1"/>
                  </w14:solidFill>
                </w14:textFill>
              </w:rPr>
              <w:t>¥</w:t>
            </w:r>
            <w:permStart w:id="61" w:edGrp="everyone"/>
            <w:r>
              <w:rPr>
                <w:rFonts w:hint="eastAsia"/>
                <w:color w:val="000000" w:themeColor="text1"/>
                <w:szCs w:val="21"/>
                <w14:textFill>
                  <w14:solidFill>
                    <w14:schemeClr w14:val="tx1"/>
                  </w14:solidFill>
                </w14:textFill>
              </w:rPr>
              <w:t>【】</w:t>
            </w:r>
            <w:perm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贷款期限</w:t>
            </w:r>
          </w:p>
        </w:tc>
        <w:tc>
          <w:tcPr>
            <w:tcW w:w="7343" w:type="dxa"/>
            <w:gridSpan w:val="12"/>
          </w:tcPr>
          <w:p>
            <w:pPr>
              <w:pStyle w:val="26"/>
              <w:tabs>
                <w:tab w:val="left" w:pos="175"/>
              </w:tabs>
              <w:snapToGrid w:val="0"/>
              <w:spacing w:line="380" w:lineRule="exact"/>
              <w:ind w:left="2" w:firstLine="0" w:firstLineChars="0"/>
              <w:rPr>
                <w:rFonts w:eastAsia="宋体"/>
                <w:b/>
                <w:i/>
                <w:color w:val="000000" w:themeColor="text1"/>
                <w:sz w:val="21"/>
                <w:szCs w:val="21"/>
                <w14:textFill>
                  <w14:solidFill>
                    <w14:schemeClr w14:val="tx1"/>
                  </w14:solidFill>
                </w14:textFill>
              </w:rPr>
            </w:pPr>
            <w:permStart w:id="62" w:edGrp="everyone"/>
            <w:r>
              <w:rPr>
                <w:rFonts w:hint="eastAsia"/>
                <w:color w:val="000000" w:themeColor="text1"/>
                <w:sz w:val="21"/>
                <w:szCs w:val="21"/>
                <w14:textFill>
                  <w14:solidFill>
                    <w14:schemeClr w14:val="tx1"/>
                  </w14:solidFill>
                </w14:textFill>
              </w:rPr>
              <w:t>【】</w:t>
            </w:r>
            <w:perm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贷款用途</w:t>
            </w:r>
          </w:p>
        </w:tc>
        <w:tc>
          <w:tcPr>
            <w:tcW w:w="7343" w:type="dxa"/>
            <w:gridSpan w:val="12"/>
          </w:tcPr>
          <w:p>
            <w:pPr>
              <w:pStyle w:val="26"/>
              <w:tabs>
                <w:tab w:val="left" w:pos="175"/>
              </w:tabs>
              <w:snapToGrid w:val="0"/>
              <w:spacing w:line="380" w:lineRule="exact"/>
              <w:ind w:left="2" w:firstLine="0" w:firstLineChars="0"/>
              <w:rPr>
                <w:rFonts w:eastAsia="宋体"/>
                <w:color w:val="000000" w:themeColor="text1"/>
                <w:sz w:val="21"/>
                <w:szCs w:val="21"/>
                <w:u w:val="single"/>
                <w14:textFill>
                  <w14:solidFill>
                    <w14:schemeClr w14:val="tx1"/>
                  </w14:solidFill>
                </w14:textFill>
              </w:rPr>
            </w:pPr>
            <w:r>
              <w:rPr>
                <w:rFonts w:hint="eastAsia" w:eastAsia="宋体"/>
                <w:color w:val="000000" w:themeColor="text1"/>
                <w:sz w:val="21"/>
                <w:szCs w:val="21"/>
                <w14:textFill>
                  <w14:solidFill>
                    <w14:schemeClr w14:val="tx1"/>
                  </w14:solidFill>
                </w14:textFill>
              </w:rPr>
              <w:t>购买位于</w:t>
            </w:r>
            <w:permStart w:id="63" w:edGrp="everyone"/>
            <w:r>
              <w:rPr>
                <w:rFonts w:hint="eastAsia"/>
                <w:color w:val="000000" w:themeColor="text1"/>
                <w:sz w:val="21"/>
                <w:szCs w:val="21"/>
                <w14:textFill>
                  <w14:solidFill>
                    <w14:schemeClr w14:val="tx1"/>
                  </w14:solidFill>
                </w14:textFill>
              </w:rPr>
              <w:t>【】</w:t>
            </w:r>
            <w:permEnd w:id="63"/>
            <w:r>
              <w:rPr>
                <w:rFonts w:hint="eastAsia" w:eastAsia="宋体"/>
                <w:color w:val="000000" w:themeColor="text1"/>
                <w:sz w:val="21"/>
                <w:szCs w:val="21"/>
                <w14:textFill>
                  <w14:solidFill>
                    <w14:schemeClr w14:val="tx1"/>
                  </w14:solidFill>
                </w14:textFill>
              </w:rPr>
              <w:t>的房屋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restart"/>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贷款支付对象</w:t>
            </w:r>
          </w:p>
        </w:tc>
        <w:tc>
          <w:tcPr>
            <w:tcW w:w="1389" w:type="dxa"/>
            <w:gridSpan w:val="2"/>
          </w:tcPr>
          <w:p>
            <w:pPr>
              <w:pStyle w:val="26"/>
              <w:tabs>
                <w:tab w:val="left" w:pos="175"/>
              </w:tabs>
              <w:snapToGrid w:val="0"/>
              <w:spacing w:line="380" w:lineRule="exact"/>
              <w:ind w:left="2" w:firstLine="0" w:firstLineChars="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姓名</w:t>
            </w:r>
            <w:r>
              <w:rPr>
                <w:rFonts w:eastAsia="宋体"/>
                <w:color w:val="000000" w:themeColor="text1"/>
                <w:sz w:val="21"/>
                <w:szCs w:val="21"/>
                <w14:textFill>
                  <w14:solidFill>
                    <w14:schemeClr w14:val="tx1"/>
                  </w14:solidFill>
                </w14:textFill>
              </w:rPr>
              <w:t>/</w:t>
            </w:r>
            <w:r>
              <w:rPr>
                <w:rFonts w:hint="eastAsia" w:eastAsia="宋体"/>
                <w:color w:val="000000" w:themeColor="text1"/>
                <w:sz w:val="21"/>
                <w:szCs w:val="21"/>
                <w14:textFill>
                  <w14:solidFill>
                    <w14:schemeClr w14:val="tx1"/>
                  </w14:solidFill>
                </w14:textFill>
              </w:rPr>
              <w:t>名称</w:t>
            </w:r>
          </w:p>
        </w:tc>
        <w:tc>
          <w:tcPr>
            <w:tcW w:w="5954" w:type="dxa"/>
            <w:gridSpan w:val="10"/>
          </w:tcPr>
          <w:p>
            <w:pPr>
              <w:pStyle w:val="26"/>
              <w:tabs>
                <w:tab w:val="left" w:pos="175"/>
              </w:tabs>
              <w:snapToGrid w:val="0"/>
              <w:spacing w:line="380" w:lineRule="exact"/>
              <w:ind w:left="2" w:firstLine="0" w:firstLineChars="0"/>
              <w:rPr>
                <w:rFonts w:eastAsia="宋体"/>
                <w:color w:val="000000" w:themeColor="text1"/>
                <w:sz w:val="21"/>
                <w:szCs w:val="21"/>
                <w14:textFill>
                  <w14:solidFill>
                    <w14:schemeClr w14:val="tx1"/>
                  </w14:solidFill>
                </w14:textFill>
              </w:rPr>
            </w:pPr>
            <w:permStart w:id="64" w:edGrp="everyone"/>
            <w:r>
              <w:rPr>
                <w:rFonts w:hint="eastAsia"/>
                <w:color w:val="000000" w:themeColor="text1"/>
                <w:sz w:val="21"/>
                <w:szCs w:val="21"/>
                <w14:textFill>
                  <w14:solidFill>
                    <w14:schemeClr w14:val="tx1"/>
                  </w14:solidFill>
                </w14:textFill>
              </w:rPr>
              <w:t>【】</w:t>
            </w:r>
            <w:perm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b/>
                <w:color w:val="000000" w:themeColor="text1"/>
                <w:szCs w:val="21"/>
                <w14:textFill>
                  <w14:solidFill>
                    <w14:schemeClr w14:val="tx1"/>
                  </w14:solidFill>
                </w14:textFill>
              </w:rPr>
            </w:pPr>
          </w:p>
        </w:tc>
        <w:tc>
          <w:tcPr>
            <w:tcW w:w="1389" w:type="dxa"/>
            <w:gridSpan w:val="2"/>
          </w:tcPr>
          <w:p>
            <w:pPr>
              <w:pStyle w:val="26"/>
              <w:tabs>
                <w:tab w:val="left" w:pos="175"/>
              </w:tabs>
              <w:snapToGrid w:val="0"/>
              <w:spacing w:line="380" w:lineRule="exact"/>
              <w:ind w:left="2" w:firstLine="0" w:firstLineChars="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开户行</w:t>
            </w:r>
          </w:p>
        </w:tc>
        <w:tc>
          <w:tcPr>
            <w:tcW w:w="5954" w:type="dxa"/>
            <w:gridSpan w:val="10"/>
          </w:tcPr>
          <w:p>
            <w:pPr>
              <w:pStyle w:val="26"/>
              <w:tabs>
                <w:tab w:val="left" w:pos="175"/>
              </w:tabs>
              <w:snapToGrid w:val="0"/>
              <w:spacing w:line="380" w:lineRule="exact"/>
              <w:ind w:firstLine="0" w:firstLineChars="0"/>
              <w:rPr>
                <w:rFonts w:eastAsia="宋体"/>
                <w:color w:val="000000" w:themeColor="text1"/>
                <w:sz w:val="21"/>
                <w:szCs w:val="21"/>
                <w14:textFill>
                  <w14:solidFill>
                    <w14:schemeClr w14:val="tx1"/>
                  </w14:solidFill>
                </w14:textFill>
              </w:rPr>
            </w:pPr>
            <w:permStart w:id="65" w:edGrp="everyone"/>
            <w:r>
              <w:rPr>
                <w:rFonts w:hint="eastAsia"/>
                <w:color w:val="000000" w:themeColor="text1"/>
                <w:sz w:val="21"/>
                <w:szCs w:val="21"/>
                <w14:textFill>
                  <w14:solidFill>
                    <w14:schemeClr w14:val="tx1"/>
                  </w14:solidFill>
                </w14:textFill>
              </w:rPr>
              <w:t>【】</w:t>
            </w:r>
            <w:perm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b/>
                <w:color w:val="000000" w:themeColor="text1"/>
                <w:szCs w:val="21"/>
                <w14:textFill>
                  <w14:solidFill>
                    <w14:schemeClr w14:val="tx1"/>
                  </w14:solidFill>
                </w14:textFill>
              </w:rPr>
            </w:pPr>
          </w:p>
        </w:tc>
        <w:tc>
          <w:tcPr>
            <w:tcW w:w="1389" w:type="dxa"/>
            <w:gridSpan w:val="2"/>
          </w:tcPr>
          <w:p>
            <w:pPr>
              <w:pStyle w:val="26"/>
              <w:tabs>
                <w:tab w:val="left" w:pos="175"/>
              </w:tabs>
              <w:snapToGrid w:val="0"/>
              <w:spacing w:line="380" w:lineRule="exact"/>
              <w:ind w:left="2" w:firstLine="0" w:firstLineChars="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账号</w:t>
            </w:r>
          </w:p>
        </w:tc>
        <w:tc>
          <w:tcPr>
            <w:tcW w:w="5954" w:type="dxa"/>
            <w:gridSpan w:val="10"/>
          </w:tcPr>
          <w:p>
            <w:pPr>
              <w:pStyle w:val="26"/>
              <w:tabs>
                <w:tab w:val="left" w:pos="175"/>
              </w:tabs>
              <w:snapToGrid w:val="0"/>
              <w:spacing w:line="380" w:lineRule="exact"/>
              <w:ind w:left="2" w:firstLine="0" w:firstLineChars="0"/>
              <w:rPr>
                <w:rFonts w:eastAsia="宋体"/>
                <w:color w:val="000000" w:themeColor="text1"/>
                <w:sz w:val="21"/>
                <w:szCs w:val="21"/>
                <w14:textFill>
                  <w14:solidFill>
                    <w14:schemeClr w14:val="tx1"/>
                  </w14:solidFill>
                </w14:textFill>
              </w:rPr>
            </w:pPr>
            <w:permStart w:id="66" w:edGrp="everyone"/>
            <w:r>
              <w:rPr>
                <w:rFonts w:hint="eastAsia"/>
                <w:color w:val="000000" w:themeColor="text1"/>
                <w:sz w:val="21"/>
                <w:szCs w:val="21"/>
                <w14:textFill>
                  <w14:solidFill>
                    <w14:schemeClr w14:val="tx1"/>
                  </w14:solidFill>
                </w14:textFill>
              </w:rPr>
              <w:t>【】</w:t>
            </w:r>
            <w:perm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21" w:type="dxa"/>
            <w:gridSpan w:val="3"/>
            <w:vMerge w:val="restart"/>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贷款利率</w:t>
            </w:r>
          </w:p>
        </w:tc>
        <w:tc>
          <w:tcPr>
            <w:tcW w:w="680" w:type="dxa"/>
            <w:vMerge w:val="restart"/>
            <w:vAlign w:val="center"/>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确定方式</w:t>
            </w:r>
          </w:p>
        </w:tc>
        <w:tc>
          <w:tcPr>
            <w:tcW w:w="1559" w:type="dxa"/>
            <w:gridSpan w:val="3"/>
            <w:vAlign w:val="center"/>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浮动利率模式</w:t>
            </w:r>
          </w:p>
        </w:tc>
        <w:tc>
          <w:tcPr>
            <w:tcW w:w="5104" w:type="dxa"/>
            <w:gridSpan w:val="8"/>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以</w:t>
            </w:r>
            <w:permStart w:id="67" w:edGrp="everyone"/>
            <w:r>
              <w:rPr>
                <w:rFonts w:hint="eastAsia"/>
                <w:b/>
                <w:color w:val="000000" w:themeColor="text1"/>
                <w:szCs w:val="21"/>
                <w14:textFill>
                  <w14:solidFill>
                    <w14:schemeClr w14:val="tx1"/>
                  </w14:solidFill>
                </w14:textFill>
              </w:rPr>
              <w:t>【】</w:t>
            </w:r>
            <w:permEnd w:id="67"/>
            <w:r>
              <w:rPr>
                <w:rFonts w:hint="eastAsia"/>
                <w:b/>
                <w:color w:val="000000" w:themeColor="text1"/>
                <w:szCs w:val="21"/>
                <w14:textFill>
                  <w14:solidFill>
                    <w14:schemeClr w14:val="tx1"/>
                  </w14:solidFill>
                </w14:textFill>
              </w:rPr>
              <w:t>的定价基础利率</w:t>
            </w:r>
            <w:permStart w:id="68" w:edGrp="everyone"/>
            <w:r>
              <w:rPr>
                <w:rFonts w:hint="eastAsia" w:ascii="仿宋" w:hAnsi="仿宋" w:eastAsia="仿宋" w:cs="仿宋"/>
                <w:b/>
                <w:color w:val="000000" w:themeColor="text1"/>
                <w:szCs w:val="21"/>
                <w14:textFill>
                  <w14:solidFill>
                    <w14:schemeClr w14:val="tx1"/>
                  </w14:solidFill>
                </w14:textFill>
              </w:rPr>
              <w:t>【】</w:t>
            </w:r>
            <w:permEnd w:id="68"/>
            <w:r>
              <w:rPr>
                <w:rFonts w:hint="eastAsia"/>
                <w:b/>
                <w:color w:val="000000" w:themeColor="text1"/>
                <w:szCs w:val="21"/>
                <w14:textFill>
                  <w14:solidFill>
                    <w14:schemeClr w14:val="tx1"/>
                  </w14:solidFill>
                </w14:textFill>
              </w:rPr>
              <w:t>（加</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减）</w:t>
            </w:r>
            <w:permStart w:id="69" w:edGrp="everyone"/>
            <w:r>
              <w:rPr>
                <w:rFonts w:hint="eastAsia" w:ascii="仿宋" w:hAnsi="仿宋" w:eastAsia="仿宋" w:cs="仿宋"/>
                <w:b/>
                <w:color w:val="000000" w:themeColor="text1"/>
                <w:szCs w:val="21"/>
                <w14:textFill>
                  <w14:solidFill>
                    <w14:schemeClr w14:val="tx1"/>
                  </w14:solidFill>
                </w14:textFill>
              </w:rPr>
              <w:t>【】</w:t>
            </w:r>
            <w:permEnd w:id="69"/>
            <w:r>
              <w:rPr>
                <w:rFonts w:hint="eastAsia"/>
                <w:b/>
                <w:color w:val="000000" w:themeColor="text1"/>
                <w:szCs w:val="21"/>
                <w14:textFill>
                  <w14:solidFill>
                    <w14:schemeClr w14:val="tx1"/>
                  </w14:solidFill>
                </w14:textFill>
              </w:rPr>
              <w:t>个基点（</w:t>
            </w:r>
            <w:r>
              <w:rPr>
                <w:b/>
                <w:color w:val="000000" w:themeColor="text1"/>
                <w:szCs w:val="21"/>
                <w14:textFill>
                  <w14:solidFill>
                    <w14:schemeClr w14:val="tx1"/>
                  </w14:solidFill>
                </w14:textFill>
              </w:rPr>
              <w:t>1</w:t>
            </w:r>
            <w:r>
              <w:rPr>
                <w:rFonts w:hint="eastAsia"/>
                <w:b/>
                <w:color w:val="000000" w:themeColor="text1"/>
                <w:szCs w:val="21"/>
                <w14:textFill>
                  <w14:solidFill>
                    <w14:schemeClr w14:val="tx1"/>
                  </w14:solidFill>
                </w14:textFill>
              </w:rPr>
              <w:t>基点</w:t>
            </w:r>
            <w:r>
              <w:rPr>
                <w:b/>
                <w:color w:val="000000" w:themeColor="text1"/>
                <w:szCs w:val="21"/>
                <w14:textFill>
                  <w14:solidFill>
                    <w14:schemeClr w14:val="tx1"/>
                  </w14:solidFill>
                </w14:textFill>
              </w:rPr>
              <w:t>=0.01%</w:t>
            </w:r>
            <w:r>
              <w:rPr>
                <w:rFonts w:hint="eastAsia"/>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21" w:type="dxa"/>
            <w:gridSpan w:val="3"/>
            <w:vMerge w:val="continue"/>
          </w:tcPr>
          <w:p>
            <w:pPr>
              <w:snapToGrid w:val="0"/>
              <w:spacing w:line="380" w:lineRule="exact"/>
              <w:rPr>
                <w:b/>
                <w:color w:val="000000" w:themeColor="text1"/>
                <w:szCs w:val="21"/>
                <w14:textFill>
                  <w14:solidFill>
                    <w14:schemeClr w14:val="tx1"/>
                  </w14:solidFill>
                </w14:textFill>
              </w:rPr>
            </w:pPr>
          </w:p>
        </w:tc>
        <w:tc>
          <w:tcPr>
            <w:tcW w:w="680" w:type="dxa"/>
            <w:vMerge w:val="continue"/>
            <w:vAlign w:val="center"/>
          </w:tcPr>
          <w:p>
            <w:pPr>
              <w:snapToGrid w:val="0"/>
              <w:spacing w:line="380" w:lineRule="exact"/>
              <w:rPr>
                <w:b/>
                <w:color w:val="000000" w:themeColor="text1"/>
                <w:szCs w:val="21"/>
                <w14:textFill>
                  <w14:solidFill>
                    <w14:schemeClr w14:val="tx1"/>
                  </w14:solidFill>
                </w14:textFill>
              </w:rPr>
            </w:pPr>
          </w:p>
        </w:tc>
        <w:tc>
          <w:tcPr>
            <w:tcW w:w="1559" w:type="dxa"/>
            <w:gridSpan w:val="3"/>
            <w:vAlign w:val="center"/>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固定利率模式</w:t>
            </w:r>
          </w:p>
        </w:tc>
        <w:tc>
          <w:tcPr>
            <w:tcW w:w="5104" w:type="dxa"/>
            <w:gridSpan w:val="8"/>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以</w:t>
            </w:r>
            <w:permStart w:id="70" w:edGrp="everyone"/>
            <w:r>
              <w:rPr>
                <w:rFonts w:hint="eastAsia"/>
                <w:b/>
                <w:color w:val="000000" w:themeColor="text1"/>
                <w:szCs w:val="21"/>
                <w14:textFill>
                  <w14:solidFill>
                    <w14:schemeClr w14:val="tx1"/>
                  </w14:solidFill>
                </w14:textFill>
              </w:rPr>
              <w:t>【】</w:t>
            </w:r>
            <w:permEnd w:id="70"/>
            <w:r>
              <w:rPr>
                <w:rFonts w:hint="eastAsia"/>
                <w:b/>
                <w:color w:val="000000" w:themeColor="text1"/>
                <w:szCs w:val="21"/>
                <w14:textFill>
                  <w14:solidFill>
                    <w14:schemeClr w14:val="tx1"/>
                  </w14:solidFill>
                </w14:textFill>
              </w:rPr>
              <w:t>的定价基础利率</w:t>
            </w:r>
            <w:permStart w:id="71" w:edGrp="everyone"/>
            <w:r>
              <w:rPr>
                <w:rFonts w:hint="eastAsia" w:ascii="仿宋" w:hAnsi="仿宋" w:eastAsia="仿宋" w:cs="仿宋"/>
                <w:b/>
                <w:color w:val="000000" w:themeColor="text1"/>
                <w:szCs w:val="21"/>
                <w14:textFill>
                  <w14:solidFill>
                    <w14:schemeClr w14:val="tx1"/>
                  </w14:solidFill>
                </w14:textFill>
              </w:rPr>
              <w:t>【】</w:t>
            </w:r>
            <w:permEnd w:id="71"/>
            <w:r>
              <w:rPr>
                <w:rFonts w:hint="eastAsia"/>
                <w:b/>
                <w:color w:val="000000" w:themeColor="text1"/>
                <w:szCs w:val="21"/>
                <w14:textFill>
                  <w14:solidFill>
                    <w14:schemeClr w14:val="tx1"/>
                  </w14:solidFill>
                </w14:textFill>
              </w:rPr>
              <w:t>（加</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减）</w:t>
            </w:r>
            <w:permStart w:id="72" w:edGrp="everyone"/>
            <w:r>
              <w:rPr>
                <w:rFonts w:hint="eastAsia" w:ascii="仿宋" w:hAnsi="仿宋" w:eastAsia="仿宋" w:cs="仿宋"/>
                <w:b/>
                <w:color w:val="000000" w:themeColor="text1"/>
                <w:szCs w:val="21"/>
                <w14:textFill>
                  <w14:solidFill>
                    <w14:schemeClr w14:val="tx1"/>
                  </w14:solidFill>
                </w14:textFill>
              </w:rPr>
              <w:t>【】</w:t>
            </w:r>
            <w:permEnd w:id="72"/>
            <w:r>
              <w:rPr>
                <w:rFonts w:hint="eastAsia"/>
                <w:b/>
                <w:color w:val="000000" w:themeColor="text1"/>
                <w:szCs w:val="21"/>
                <w14:textFill>
                  <w14:solidFill>
                    <w14:schemeClr w14:val="tx1"/>
                  </w14:solidFill>
                </w14:textFill>
              </w:rPr>
              <w:t>个基点（</w:t>
            </w:r>
            <w:r>
              <w:rPr>
                <w:b/>
                <w:color w:val="000000" w:themeColor="text1"/>
                <w:szCs w:val="21"/>
                <w14:textFill>
                  <w14:solidFill>
                    <w14:schemeClr w14:val="tx1"/>
                  </w14:solidFill>
                </w14:textFill>
              </w:rPr>
              <w:t>1</w:t>
            </w:r>
            <w:r>
              <w:rPr>
                <w:rFonts w:hint="eastAsia"/>
                <w:b/>
                <w:color w:val="000000" w:themeColor="text1"/>
                <w:szCs w:val="21"/>
                <w14:textFill>
                  <w14:solidFill>
                    <w14:schemeClr w14:val="tx1"/>
                  </w14:solidFill>
                </w14:textFill>
              </w:rPr>
              <w:t>基点</w:t>
            </w:r>
            <w:r>
              <w:rPr>
                <w:b/>
                <w:color w:val="000000" w:themeColor="text1"/>
                <w:szCs w:val="21"/>
                <w14:textFill>
                  <w14:solidFill>
                    <w14:schemeClr w14:val="tx1"/>
                  </w14:solidFill>
                </w14:textFill>
              </w:rPr>
              <w:t>=0.01%</w:t>
            </w:r>
            <w:r>
              <w:rPr>
                <w:rFonts w:hint="eastAsia"/>
                <w:b/>
                <w:color w:val="000000" w:themeColor="text1"/>
                <w:szCs w:val="21"/>
                <w14:textFill>
                  <w14:solidFill>
                    <w14:schemeClr w14:val="tx1"/>
                  </w14:solidFill>
                </w14:textFill>
              </w:rPr>
              <w:t>），即本合同的贷款利率为</w:t>
            </w:r>
            <w:permStart w:id="73" w:edGrp="everyone"/>
            <w:r>
              <w:rPr>
                <w:rFonts w:hint="eastAsia"/>
                <w:b/>
                <w:color w:val="000000" w:themeColor="text1"/>
                <w:szCs w:val="21"/>
                <w14:textFill>
                  <w14:solidFill>
                    <w14:schemeClr w14:val="tx1"/>
                  </w14:solidFill>
                </w14:textFill>
              </w:rPr>
              <w:t>【】</w:t>
            </w:r>
            <w:permEnd w:id="73"/>
            <w:r>
              <w:rPr>
                <w:rFonts w:hint="eastAsia"/>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b/>
                <w:color w:val="000000" w:themeColor="text1"/>
                <w:szCs w:val="21"/>
                <w14:textFill>
                  <w14:solidFill>
                    <w14:schemeClr w14:val="tx1"/>
                  </w14:solidFill>
                </w14:textFill>
              </w:rPr>
            </w:pPr>
          </w:p>
        </w:tc>
        <w:tc>
          <w:tcPr>
            <w:tcW w:w="1559"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定价基础利率</w:t>
            </w:r>
          </w:p>
        </w:tc>
        <w:tc>
          <w:tcPr>
            <w:tcW w:w="2807" w:type="dxa"/>
            <w:gridSpan w:val="3"/>
          </w:tcPr>
          <w:p>
            <w:pPr>
              <w:tabs>
                <w:tab w:val="left" w:pos="505"/>
              </w:tabs>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对应时点全国银行间同业拆借中心发布的最新的贷款市场报价利率</w:t>
            </w:r>
          </w:p>
        </w:tc>
        <w:tc>
          <w:tcPr>
            <w:tcW w:w="69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期限档次</w:t>
            </w:r>
          </w:p>
        </w:tc>
        <w:tc>
          <w:tcPr>
            <w:tcW w:w="2287" w:type="dxa"/>
            <w:gridSpan w:val="3"/>
          </w:tcPr>
          <w:p>
            <w:pPr>
              <w:snapToGrid w:val="0"/>
              <w:spacing w:line="380" w:lineRule="exact"/>
              <w:rPr>
                <w:color w:val="000000" w:themeColor="text1"/>
                <w:szCs w:val="21"/>
                <w14:textFill>
                  <w14:solidFill>
                    <w14:schemeClr w14:val="tx1"/>
                  </w14:solidFill>
                </w14:textFill>
              </w:rPr>
            </w:pPr>
            <w:permStart w:id="74" w:edGrp="everyone"/>
            <w:r>
              <w:rPr>
                <w:rFonts w:hint="eastAsia"/>
                <w:color w:val="000000" w:themeColor="text1"/>
                <w:szCs w:val="21"/>
                <w14:textFill>
                  <w14:solidFill>
                    <w14:schemeClr w14:val="tx1"/>
                  </w14:solidFill>
                </w14:textFill>
              </w:rPr>
              <w:t>【】</w:t>
            </w:r>
            <w:permEnd w:id="74"/>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年以上）期限档次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b/>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调整方式</w:t>
            </w:r>
          </w:p>
        </w:tc>
        <w:tc>
          <w:tcPr>
            <w:tcW w:w="5954" w:type="dxa"/>
            <w:gridSpan w:val="10"/>
          </w:tcPr>
          <w:p>
            <w:pPr>
              <w:snapToGrid w:val="0"/>
              <w:spacing w:line="380" w:lineRule="exact"/>
              <w:rPr>
                <w:color w:val="000000" w:themeColor="text1"/>
                <w:szCs w:val="21"/>
                <w14:textFill>
                  <w14:solidFill>
                    <w14:schemeClr w14:val="tx1"/>
                  </w14:solidFill>
                </w14:textFill>
              </w:rPr>
            </w:pPr>
            <w:permStart w:id="75" w:edGrp="everyone"/>
            <w:r>
              <w:rPr>
                <w:rFonts w:hint="eastAsia"/>
                <w:color w:val="000000" w:themeColor="text1"/>
                <w:szCs w:val="21"/>
                <w14:textFill>
                  <w14:solidFill>
                    <w14:schemeClr w14:val="tx1"/>
                  </w14:solidFill>
                </w14:textFill>
              </w:rPr>
              <w:t>【】</w:t>
            </w:r>
            <w:perm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Pr>
          <w:p>
            <w:pPr>
              <w:snapToGrid w:val="0"/>
              <w:spacing w:line="380" w:lineRule="exact"/>
              <w:rPr>
                <w:b/>
                <w:color w:val="000000" w:themeColor="text1"/>
                <w:szCs w:val="21"/>
                <w14:textFill>
                  <w14:solidFill>
                    <w14:schemeClr w14:val="tx1"/>
                  </w14:solidFill>
                </w14:textFill>
              </w:rPr>
            </w:pPr>
          </w:p>
        </w:tc>
        <w:tc>
          <w:tcPr>
            <w:tcW w:w="1389" w:type="dxa"/>
            <w:gridSpan w:val="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利率调整日</w:t>
            </w:r>
          </w:p>
        </w:tc>
        <w:tc>
          <w:tcPr>
            <w:tcW w:w="2977" w:type="dxa"/>
            <w:gridSpan w:val="4"/>
          </w:tcPr>
          <w:p>
            <w:pPr>
              <w:snapToGrid w:val="0"/>
              <w:spacing w:line="380" w:lineRule="exact"/>
              <w:rPr>
                <w:color w:val="000000" w:themeColor="text1"/>
                <w:szCs w:val="21"/>
                <w14:textFill>
                  <w14:solidFill>
                    <w14:schemeClr w14:val="tx1"/>
                  </w14:solidFill>
                </w14:textFill>
              </w:rPr>
            </w:pPr>
            <w:permStart w:id="76" w:edGrp="everyone"/>
            <w:r>
              <w:rPr>
                <w:rFonts w:hint="eastAsia"/>
                <w:color w:val="000000" w:themeColor="text1"/>
                <w:szCs w:val="21"/>
                <w14:textFill>
                  <w14:solidFill>
                    <w14:schemeClr w14:val="tx1"/>
                  </w14:solidFill>
                </w14:textFill>
              </w:rPr>
              <w:t>【】</w:t>
            </w:r>
            <w:permEnd w:id="76"/>
          </w:p>
        </w:tc>
        <w:tc>
          <w:tcPr>
            <w:tcW w:w="690" w:type="dxa"/>
            <w:gridSpan w:val="3"/>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调整周期</w:t>
            </w:r>
          </w:p>
        </w:tc>
        <w:tc>
          <w:tcPr>
            <w:tcW w:w="2287" w:type="dxa"/>
            <w:gridSpan w:val="3"/>
          </w:tcPr>
          <w:p>
            <w:pPr>
              <w:snapToGrid w:val="0"/>
              <w:spacing w:line="380" w:lineRule="exact"/>
              <w:rPr>
                <w:color w:val="000000" w:themeColor="text1"/>
                <w:szCs w:val="21"/>
                <w14:textFill>
                  <w14:solidFill>
                    <w14:schemeClr w14:val="tx1"/>
                  </w14:solidFill>
                </w14:textFill>
              </w:rPr>
            </w:pPr>
            <w:permStart w:id="77" w:edGrp="everyone"/>
            <w:r>
              <w:rPr>
                <w:rFonts w:hint="eastAsia"/>
                <w:color w:val="000000" w:themeColor="text1"/>
                <w:szCs w:val="21"/>
                <w14:textFill>
                  <w14:solidFill>
                    <w14:schemeClr w14:val="tx1"/>
                  </w14:solidFill>
                </w14:textFill>
              </w:rPr>
              <w:t>【】</w:t>
            </w:r>
            <w:perm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罚息利率</w:t>
            </w:r>
          </w:p>
        </w:tc>
        <w:tc>
          <w:tcPr>
            <w:tcW w:w="1559"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逾期贷款罚息利率</w:t>
            </w:r>
          </w:p>
        </w:tc>
        <w:tc>
          <w:tcPr>
            <w:tcW w:w="2251" w:type="dxa"/>
            <w:gridSpan w:val="2"/>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合同利率的</w:t>
            </w:r>
            <w:permStart w:id="78" w:edGrp="everyone"/>
            <w:r>
              <w:rPr>
                <w:rFonts w:hint="eastAsia"/>
                <w:b/>
                <w:color w:val="000000" w:themeColor="text1"/>
                <w:szCs w:val="21"/>
                <w14:textFill>
                  <w14:solidFill>
                    <w14:schemeClr w14:val="tx1"/>
                  </w14:solidFill>
                </w14:textFill>
              </w:rPr>
              <w:t>【】</w:t>
            </w:r>
            <w:permEnd w:id="78"/>
            <w:r>
              <w:rPr>
                <w:b/>
                <w:color w:val="000000" w:themeColor="text1"/>
                <w:szCs w:val="21"/>
                <w14:textFill>
                  <w14:solidFill>
                    <w14:schemeClr w14:val="tx1"/>
                  </w14:solidFill>
                </w14:textFill>
              </w:rPr>
              <w:t>%</w:t>
            </w:r>
          </w:p>
        </w:tc>
        <w:tc>
          <w:tcPr>
            <w:tcW w:w="1428" w:type="dxa"/>
            <w:gridSpan w:val="6"/>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挪用贷款罚息利率</w:t>
            </w:r>
          </w:p>
        </w:tc>
        <w:tc>
          <w:tcPr>
            <w:tcW w:w="2105" w:type="dxa"/>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合同利率的</w:t>
            </w:r>
            <w:permStart w:id="79" w:edGrp="everyone"/>
            <w:r>
              <w:rPr>
                <w:rFonts w:hint="eastAsia"/>
                <w:b/>
                <w:color w:val="000000" w:themeColor="text1"/>
                <w:szCs w:val="21"/>
                <w14:textFill>
                  <w14:solidFill>
                    <w14:schemeClr w14:val="tx1"/>
                  </w14:solidFill>
                </w14:textFill>
              </w:rPr>
              <w:t>【】</w:t>
            </w:r>
            <w:permEnd w:id="79"/>
            <w:r>
              <w:rPr>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担保方式</w:t>
            </w:r>
          </w:p>
        </w:tc>
        <w:tc>
          <w:tcPr>
            <w:tcW w:w="7343" w:type="dxa"/>
            <w:gridSpan w:val="12"/>
          </w:tcPr>
          <w:p>
            <w:pPr>
              <w:pStyle w:val="26"/>
              <w:tabs>
                <w:tab w:val="left" w:pos="317"/>
              </w:tabs>
              <w:snapToGrid w:val="0"/>
              <w:spacing w:line="380" w:lineRule="exact"/>
              <w:ind w:firstLine="0" w:firstLineChars="0"/>
              <w:rPr>
                <w:rFonts w:eastAsia="宋体"/>
                <w:color w:val="000000" w:themeColor="text1"/>
                <w:sz w:val="21"/>
                <w:szCs w:val="21"/>
                <w14:textFill>
                  <w14:solidFill>
                    <w14:schemeClr w14:val="tx1"/>
                  </w14:solidFill>
                </w14:textFill>
              </w:rPr>
            </w:pPr>
            <w:permStart w:id="80" w:edGrp="everyone"/>
            <w:r>
              <w:rPr>
                <w:rFonts w:hint="eastAsia"/>
                <w:color w:val="000000" w:themeColor="text1"/>
                <w:sz w:val="21"/>
                <w:szCs w:val="21"/>
                <w14:textFill>
                  <w14:solidFill>
                    <w14:schemeClr w14:val="tx1"/>
                  </w14:solidFill>
                </w14:textFill>
              </w:rPr>
              <w:t>【】</w:t>
            </w:r>
            <w:perm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5" w:type="dxa"/>
            <w:vMerge w:val="restart"/>
            <w:tcBorders>
              <w:top w:val="single" w:color="auto" w:sz="4" w:space="0"/>
              <w:left w:val="single" w:color="auto" w:sz="4" w:space="0"/>
              <w:right w:val="single" w:color="auto" w:sz="4" w:space="0"/>
            </w:tcBorders>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还款</w:t>
            </w:r>
          </w:p>
        </w:tc>
        <w:tc>
          <w:tcPr>
            <w:tcW w:w="1276"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还款方式</w:t>
            </w:r>
          </w:p>
        </w:tc>
        <w:tc>
          <w:tcPr>
            <w:tcW w:w="1389" w:type="dxa"/>
            <w:gridSpan w:val="2"/>
            <w:tcBorders>
              <w:top w:val="single" w:color="auto" w:sz="4" w:space="0"/>
              <w:left w:val="single" w:color="auto" w:sz="4" w:space="0"/>
              <w:bottom w:val="single" w:color="auto" w:sz="4" w:space="0"/>
              <w:right w:val="single" w:color="auto" w:sz="4" w:space="0"/>
            </w:tcBorders>
          </w:tcPr>
          <w:p>
            <w:pPr>
              <w:pStyle w:val="26"/>
              <w:snapToGrid w:val="0"/>
              <w:spacing w:line="380" w:lineRule="exact"/>
              <w:ind w:firstLine="0" w:firstLineChars="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还款方式</w:t>
            </w:r>
          </w:p>
        </w:tc>
        <w:tc>
          <w:tcPr>
            <w:tcW w:w="5954" w:type="dxa"/>
            <w:gridSpan w:val="10"/>
            <w:tcBorders>
              <w:top w:val="single" w:color="auto" w:sz="4" w:space="0"/>
              <w:left w:val="single" w:color="auto" w:sz="4" w:space="0"/>
              <w:bottom w:val="single" w:color="auto" w:sz="4" w:space="0"/>
              <w:right w:val="single" w:color="auto" w:sz="4" w:space="0"/>
            </w:tcBorders>
          </w:tcPr>
          <w:p>
            <w:pPr>
              <w:pStyle w:val="26"/>
              <w:snapToGrid w:val="0"/>
              <w:spacing w:line="380" w:lineRule="exact"/>
              <w:ind w:firstLine="0" w:firstLineChars="0"/>
              <w:rPr>
                <w:rFonts w:eastAsia="宋体"/>
                <w:color w:val="000000" w:themeColor="text1"/>
                <w:sz w:val="21"/>
                <w:szCs w:val="21"/>
                <w14:textFill>
                  <w14:solidFill>
                    <w14:schemeClr w14:val="tx1"/>
                  </w14:solidFill>
                </w14:textFill>
              </w:rPr>
            </w:pPr>
            <w:permStart w:id="81" w:edGrp="everyone"/>
            <w:r>
              <w:rPr>
                <w:rFonts w:hint="eastAsia"/>
                <w:color w:val="000000" w:themeColor="text1"/>
                <w:sz w:val="21"/>
                <w:szCs w:val="21"/>
                <w14:textFill>
                  <w14:solidFill>
                    <w14:schemeClr w14:val="tx1"/>
                  </w14:solidFill>
                </w14:textFill>
              </w:rPr>
              <w:t>【】</w:t>
            </w:r>
            <w:perm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5" w:type="dxa"/>
            <w:vMerge w:val="continue"/>
            <w:tcBorders>
              <w:left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p>
        </w:tc>
        <w:tc>
          <w:tcPr>
            <w:tcW w:w="1276" w:type="dxa"/>
            <w:gridSpan w:val="2"/>
            <w:vMerge w:val="continue"/>
            <w:tcBorders>
              <w:top w:val="single" w:color="auto" w:sz="4" w:space="0"/>
              <w:left w:val="single" w:color="auto" w:sz="4" w:space="0"/>
              <w:bottom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p>
        </w:tc>
        <w:tc>
          <w:tcPr>
            <w:tcW w:w="1389" w:type="dxa"/>
            <w:gridSpan w:val="2"/>
            <w:tcBorders>
              <w:top w:val="single" w:color="auto" w:sz="4" w:space="0"/>
              <w:left w:val="single" w:color="auto" w:sz="4" w:space="0"/>
              <w:bottom w:val="single" w:color="auto" w:sz="4" w:space="0"/>
              <w:right w:val="single" w:color="auto" w:sz="4" w:space="0"/>
            </w:tcBorders>
          </w:tcPr>
          <w:p>
            <w:pPr>
              <w:pStyle w:val="26"/>
              <w:snapToGrid w:val="0"/>
              <w:spacing w:line="380" w:lineRule="exact"/>
              <w:ind w:firstLine="0" w:firstLineChars="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还款日</w:t>
            </w:r>
          </w:p>
        </w:tc>
        <w:tc>
          <w:tcPr>
            <w:tcW w:w="5954" w:type="dxa"/>
            <w:gridSpan w:val="10"/>
            <w:tcBorders>
              <w:top w:val="single" w:color="auto" w:sz="4" w:space="0"/>
              <w:left w:val="single" w:color="auto" w:sz="4" w:space="0"/>
              <w:bottom w:val="single" w:color="auto" w:sz="4" w:space="0"/>
              <w:right w:val="single" w:color="auto" w:sz="4" w:space="0"/>
            </w:tcBorders>
          </w:tcPr>
          <w:p>
            <w:pPr>
              <w:pStyle w:val="26"/>
              <w:snapToGrid w:val="0"/>
              <w:spacing w:line="380" w:lineRule="exact"/>
              <w:ind w:firstLine="0" w:firstLineChars="0"/>
              <w:rPr>
                <w:rFonts w:hint="eastAsia" w:eastAsia="昆仑楷体"/>
                <w:color w:val="000000" w:themeColor="text1"/>
                <w:sz w:val="21"/>
                <w:szCs w:val="21"/>
                <w:lang w:eastAsia="zh-CN"/>
                <w14:textFill>
                  <w14:solidFill>
                    <w14:schemeClr w14:val="tx1"/>
                  </w14:solidFill>
                </w14:textFill>
              </w:rPr>
            </w:pPr>
            <w:permStart w:id="82" w:edGrp="everyone"/>
            <w:r>
              <w:rPr>
                <w:rFonts w:hint="eastAsia"/>
                <w:color w:val="000000" w:themeColor="text1"/>
                <w:sz w:val="21"/>
                <w:szCs w:val="21"/>
                <w14:textFill>
                  <w14:solidFill>
                    <w14:schemeClr w14:val="tx1"/>
                  </w14:solidFill>
                </w14:textFill>
              </w:rPr>
              <w:t>【】</w:t>
            </w:r>
            <w:r>
              <w:rPr>
                <w:rFonts w:hint="eastAsia" w:eastAsia="宋体"/>
                <w:color w:val="000000"/>
                <w:sz w:val="21"/>
                <w:szCs w:val="21"/>
                <w:lang w:eastAsia="zh-CN"/>
              </w:rPr>
              <w:t>，</w:t>
            </w:r>
            <w:r>
              <w:rPr>
                <w:rFonts w:hint="default" w:ascii="Times New Roman" w:hAnsi="Times New Roman" w:eastAsia="宋体" w:cs="Times New Roman"/>
                <w:color w:val="000000"/>
                <w:sz w:val="21"/>
                <w:szCs w:val="21"/>
                <w:lang w:val="en-US" w:eastAsia="zh-CN"/>
              </w:rPr>
              <w:t>最后一期还款日为贷款到期日。</w:t>
            </w:r>
            <w:perm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5" w:type="dxa"/>
            <w:vMerge w:val="continue"/>
            <w:tcBorders>
              <w:left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p>
        </w:tc>
        <w:tc>
          <w:tcPr>
            <w:tcW w:w="1276" w:type="dxa"/>
            <w:gridSpan w:val="2"/>
            <w:vMerge w:val="continue"/>
            <w:tcBorders>
              <w:top w:val="single" w:color="auto" w:sz="4" w:space="0"/>
              <w:left w:val="single" w:color="auto" w:sz="4" w:space="0"/>
              <w:bottom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p>
        </w:tc>
        <w:tc>
          <w:tcPr>
            <w:tcW w:w="1389" w:type="dxa"/>
            <w:gridSpan w:val="2"/>
            <w:tcBorders>
              <w:top w:val="single" w:color="auto" w:sz="4" w:space="0"/>
              <w:left w:val="single" w:color="auto" w:sz="4" w:space="0"/>
              <w:bottom w:val="single" w:color="auto" w:sz="4" w:space="0"/>
              <w:right w:val="single" w:color="auto" w:sz="4" w:space="0"/>
            </w:tcBorders>
          </w:tcPr>
          <w:p>
            <w:pPr>
              <w:pStyle w:val="26"/>
              <w:snapToGrid w:val="0"/>
              <w:spacing w:line="380" w:lineRule="exact"/>
              <w:ind w:firstLine="0" w:firstLineChars="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还款方式的其他约定</w:t>
            </w:r>
          </w:p>
        </w:tc>
        <w:tc>
          <w:tcPr>
            <w:tcW w:w="5954" w:type="dxa"/>
            <w:gridSpan w:val="10"/>
            <w:tcBorders>
              <w:top w:val="single" w:color="auto" w:sz="4" w:space="0"/>
              <w:left w:val="single" w:color="auto" w:sz="4" w:space="0"/>
              <w:bottom w:val="single" w:color="auto" w:sz="4" w:space="0"/>
              <w:right w:val="single" w:color="auto" w:sz="4" w:space="0"/>
            </w:tcBorders>
          </w:tcPr>
          <w:p>
            <w:pPr>
              <w:pStyle w:val="26"/>
              <w:snapToGrid w:val="0"/>
              <w:spacing w:line="380" w:lineRule="exact"/>
              <w:ind w:firstLine="0" w:firstLineChars="0"/>
              <w:rPr>
                <w:rFonts w:eastAsia="宋体"/>
                <w:color w:val="000000" w:themeColor="text1"/>
                <w:sz w:val="21"/>
                <w:szCs w:val="21"/>
                <w14:textFill>
                  <w14:solidFill>
                    <w14:schemeClr w14:val="tx1"/>
                  </w14:solidFill>
                </w14:textFill>
              </w:rPr>
            </w:pPr>
            <w:permStart w:id="83" w:edGrp="everyone"/>
            <w:r>
              <w:rPr>
                <w:rFonts w:hint="eastAsia"/>
                <w:color w:val="000000" w:themeColor="text1"/>
                <w:sz w:val="21"/>
                <w:szCs w:val="21"/>
                <w14:textFill>
                  <w14:solidFill>
                    <w14:schemeClr w14:val="tx1"/>
                  </w14:solidFill>
                </w14:textFill>
              </w:rPr>
              <w:t>【】</w:t>
            </w:r>
            <w:perm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45" w:type="dxa"/>
            <w:vMerge w:val="continue"/>
            <w:tcBorders>
              <w:left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p>
        </w:tc>
        <w:tc>
          <w:tcPr>
            <w:tcW w:w="1276" w:type="dxa"/>
            <w:gridSpan w:val="2"/>
            <w:tcBorders>
              <w:top w:val="single" w:color="auto" w:sz="4" w:space="0"/>
              <w:left w:val="single" w:color="auto" w:sz="4" w:space="0"/>
              <w:bottom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还款账户一</w:t>
            </w:r>
          </w:p>
        </w:tc>
        <w:tc>
          <w:tcPr>
            <w:tcW w:w="1389" w:type="dxa"/>
            <w:gridSpan w:val="2"/>
            <w:tcBorders>
              <w:top w:val="single" w:color="auto" w:sz="4" w:space="0"/>
              <w:left w:val="single" w:color="auto" w:sz="4" w:space="0"/>
              <w:bottom w:val="single" w:color="auto" w:sz="4" w:space="0"/>
              <w:right w:val="single" w:color="auto" w:sz="4" w:space="0"/>
            </w:tcBorders>
          </w:tcPr>
          <w:p>
            <w:pPr>
              <w:pStyle w:val="27"/>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2977" w:type="dxa"/>
            <w:gridSpan w:val="4"/>
            <w:tcBorders>
              <w:top w:val="single" w:color="auto" w:sz="4" w:space="0"/>
              <w:left w:val="single" w:color="auto" w:sz="4" w:space="0"/>
              <w:bottom w:val="single" w:color="auto" w:sz="4" w:space="0"/>
              <w:right w:val="single" w:color="auto" w:sz="4" w:space="0"/>
            </w:tcBorders>
          </w:tcPr>
          <w:p>
            <w:pPr>
              <w:pStyle w:val="27"/>
              <w:snapToGrid w:val="0"/>
              <w:spacing w:line="380" w:lineRule="exact"/>
              <w:rPr>
                <w:color w:val="000000" w:themeColor="text1"/>
                <w:szCs w:val="21"/>
                <w14:textFill>
                  <w14:solidFill>
                    <w14:schemeClr w14:val="tx1"/>
                  </w14:solidFill>
                </w14:textFill>
              </w:rPr>
            </w:pPr>
            <w:permStart w:id="84" w:edGrp="everyone"/>
            <w:r>
              <w:rPr>
                <w:rFonts w:hint="eastAsia"/>
                <w:color w:val="000000" w:themeColor="text1"/>
                <w:szCs w:val="21"/>
                <w14:textFill>
                  <w14:solidFill>
                    <w14:schemeClr w14:val="tx1"/>
                  </w14:solidFill>
                </w14:textFill>
              </w:rPr>
              <w:t>【】</w:t>
            </w:r>
            <w:permEnd w:id="84"/>
          </w:p>
        </w:tc>
        <w:tc>
          <w:tcPr>
            <w:tcW w:w="661" w:type="dxa"/>
            <w:tcBorders>
              <w:top w:val="single" w:color="auto" w:sz="4" w:space="0"/>
              <w:left w:val="single" w:color="auto" w:sz="4" w:space="0"/>
              <w:bottom w:val="single" w:color="auto" w:sz="4" w:space="0"/>
              <w:right w:val="single" w:color="auto" w:sz="4" w:space="0"/>
            </w:tcBorders>
          </w:tcPr>
          <w:p>
            <w:pPr>
              <w:pStyle w:val="27"/>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账号</w:t>
            </w:r>
          </w:p>
        </w:tc>
        <w:tc>
          <w:tcPr>
            <w:tcW w:w="2316" w:type="dxa"/>
            <w:gridSpan w:val="5"/>
            <w:tcBorders>
              <w:top w:val="single" w:color="auto" w:sz="4" w:space="0"/>
              <w:left w:val="single" w:color="auto" w:sz="4" w:space="0"/>
              <w:bottom w:val="single" w:color="auto" w:sz="4" w:space="0"/>
              <w:right w:val="single" w:color="auto" w:sz="4" w:space="0"/>
            </w:tcBorders>
          </w:tcPr>
          <w:p>
            <w:pPr>
              <w:pStyle w:val="27"/>
              <w:snapToGrid w:val="0"/>
              <w:spacing w:line="380" w:lineRule="exact"/>
              <w:rPr>
                <w:color w:val="000000" w:themeColor="text1"/>
                <w:szCs w:val="21"/>
                <w14:textFill>
                  <w14:solidFill>
                    <w14:schemeClr w14:val="tx1"/>
                  </w14:solidFill>
                </w14:textFill>
              </w:rPr>
            </w:pPr>
            <w:permStart w:id="85" w:edGrp="everyone"/>
            <w:r>
              <w:rPr>
                <w:rFonts w:hint="eastAsia"/>
                <w:color w:val="000000" w:themeColor="text1"/>
                <w:szCs w:val="21"/>
                <w14:textFill>
                  <w14:solidFill>
                    <w14:schemeClr w14:val="tx1"/>
                  </w14:solidFill>
                </w14:textFill>
              </w:rPr>
              <w:t>【】</w:t>
            </w:r>
            <w:perm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45" w:type="dxa"/>
            <w:vMerge w:val="continue"/>
            <w:tcBorders>
              <w:left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p>
        </w:tc>
        <w:tc>
          <w:tcPr>
            <w:tcW w:w="1276" w:type="dxa"/>
            <w:gridSpan w:val="2"/>
            <w:tcBorders>
              <w:left w:val="single" w:color="auto" w:sz="4" w:space="0"/>
            </w:tcBorders>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还款账户二</w:t>
            </w:r>
          </w:p>
        </w:tc>
        <w:tc>
          <w:tcPr>
            <w:tcW w:w="1389" w:type="dxa"/>
            <w:gridSpan w:val="2"/>
          </w:tcPr>
          <w:p>
            <w:pPr>
              <w:pStyle w:val="27"/>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2977" w:type="dxa"/>
            <w:gridSpan w:val="4"/>
          </w:tcPr>
          <w:p>
            <w:pPr>
              <w:pStyle w:val="27"/>
              <w:snapToGrid w:val="0"/>
              <w:spacing w:line="380" w:lineRule="exact"/>
              <w:rPr>
                <w:color w:val="000000" w:themeColor="text1"/>
                <w:szCs w:val="21"/>
                <w14:textFill>
                  <w14:solidFill>
                    <w14:schemeClr w14:val="tx1"/>
                  </w14:solidFill>
                </w14:textFill>
              </w:rPr>
            </w:pPr>
            <w:permStart w:id="86" w:edGrp="everyone"/>
            <w:r>
              <w:rPr>
                <w:rFonts w:hint="eastAsia"/>
                <w:color w:val="000000" w:themeColor="text1"/>
                <w:szCs w:val="21"/>
                <w14:textFill>
                  <w14:solidFill>
                    <w14:schemeClr w14:val="tx1"/>
                  </w14:solidFill>
                </w14:textFill>
              </w:rPr>
              <w:t>【】</w:t>
            </w:r>
            <w:permEnd w:id="86"/>
          </w:p>
        </w:tc>
        <w:tc>
          <w:tcPr>
            <w:tcW w:w="661" w:type="dxa"/>
          </w:tcPr>
          <w:p>
            <w:pPr>
              <w:pStyle w:val="27"/>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账号</w:t>
            </w:r>
          </w:p>
        </w:tc>
        <w:tc>
          <w:tcPr>
            <w:tcW w:w="2316" w:type="dxa"/>
            <w:gridSpan w:val="5"/>
          </w:tcPr>
          <w:p>
            <w:pPr>
              <w:pStyle w:val="27"/>
              <w:snapToGrid w:val="0"/>
              <w:spacing w:line="380" w:lineRule="exact"/>
              <w:rPr>
                <w:color w:val="000000" w:themeColor="text1"/>
                <w:szCs w:val="21"/>
                <w14:textFill>
                  <w14:solidFill>
                    <w14:schemeClr w14:val="tx1"/>
                  </w14:solidFill>
                </w14:textFill>
              </w:rPr>
            </w:pPr>
            <w:permStart w:id="87" w:edGrp="everyone"/>
            <w:r>
              <w:rPr>
                <w:rFonts w:hint="eastAsia"/>
                <w:color w:val="000000" w:themeColor="text1"/>
                <w:szCs w:val="21"/>
                <w14:textFill>
                  <w14:solidFill>
                    <w14:schemeClr w14:val="tx1"/>
                  </w14:solidFill>
                </w14:textFill>
              </w:rPr>
              <w:t>【】</w:t>
            </w:r>
            <w:perm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45" w:type="dxa"/>
            <w:vMerge w:val="continue"/>
            <w:tcBorders>
              <w:left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p>
        </w:tc>
        <w:tc>
          <w:tcPr>
            <w:tcW w:w="2665" w:type="dxa"/>
            <w:gridSpan w:val="4"/>
            <w:tcBorders>
              <w:left w:val="single" w:color="auto" w:sz="4" w:space="0"/>
            </w:tcBorders>
          </w:tcPr>
          <w:p>
            <w:pPr>
              <w:pStyle w:val="27"/>
              <w:snapToGrid w:val="0"/>
              <w:spacing w:line="380" w:lineRule="exact"/>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计息天数规则</w:t>
            </w:r>
          </w:p>
        </w:tc>
        <w:tc>
          <w:tcPr>
            <w:tcW w:w="5954" w:type="dxa"/>
            <w:gridSpan w:val="10"/>
          </w:tcPr>
          <w:p>
            <w:pPr>
              <w:pStyle w:val="27"/>
              <w:snapToGrid w:val="0"/>
              <w:spacing w:line="380" w:lineRule="exact"/>
              <w:rPr>
                <w:rFonts w:hint="eastAsia"/>
                <w:color w:val="000000" w:themeColor="text1"/>
                <w:szCs w:val="21"/>
                <w14:textFill>
                  <w14:solidFill>
                    <w14:schemeClr w14:val="tx1"/>
                  </w14:solidFill>
                </w14:textFill>
              </w:rPr>
            </w:pPr>
            <w:permStart w:id="88" w:edGrp="everyone"/>
            <w:r>
              <w:rPr>
                <w:rFonts w:hint="eastAsia" w:ascii="宋体" w:hAnsi="宋体" w:eastAsia="宋体" w:cs="宋体"/>
                <w:color w:val="000000"/>
                <w:kern w:val="2"/>
                <w:sz w:val="21"/>
                <w:szCs w:val="21"/>
                <w:lang w:val="en-US" w:eastAsia="zh-CN" w:bidi="ar"/>
              </w:rPr>
              <w:t>【】</w:t>
            </w:r>
            <w:perm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left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p>
        </w:tc>
        <w:tc>
          <w:tcPr>
            <w:tcW w:w="1276" w:type="dxa"/>
            <w:gridSpan w:val="2"/>
            <w:tcBorders>
              <w:left w:val="single" w:color="auto" w:sz="4" w:space="0"/>
            </w:tcBorders>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提前</w:t>
            </w:r>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还款</w:t>
            </w:r>
          </w:p>
        </w:tc>
        <w:tc>
          <w:tcPr>
            <w:tcW w:w="7343" w:type="dxa"/>
            <w:gridSpan w:val="12"/>
          </w:tcPr>
          <w:p>
            <w:pPr>
              <w:pStyle w:val="35"/>
              <w:tabs>
                <w:tab w:val="left" w:pos="1425"/>
              </w:tabs>
              <w:spacing w:line="380" w:lineRule="exact"/>
              <w:ind w:firstLine="420" w:firstLineChars="200"/>
              <w:jc w:val="both"/>
              <w:rPr>
                <w:rFonts w:cs="MS Shell Dlg 2" w:asciiTheme="minorEastAsia" w:hAnsiTheme="minorEastAsia" w:eastAsiaTheme="minorEastAsia"/>
                <w:color w:val="000000" w:themeColor="text1"/>
                <w:sz w:val="21"/>
                <w:szCs w:val="21"/>
                <w14:textFill>
                  <w14:solidFill>
                    <w14:schemeClr w14:val="tx1"/>
                  </w14:solidFill>
                </w14:textFill>
              </w:rPr>
            </w:pPr>
            <w:r>
              <w:rPr>
                <w:rFonts w:hint="eastAsia" w:cs="MS Shell Dlg 2" w:asciiTheme="minorEastAsia" w:hAnsiTheme="minorEastAsia" w:eastAsiaTheme="minorEastAsia"/>
                <w:color w:val="000000" w:themeColor="text1"/>
                <w:sz w:val="21"/>
                <w:szCs w:val="21"/>
                <w14:textFill>
                  <w14:solidFill>
                    <w14:schemeClr w14:val="tx1"/>
                  </w14:solidFill>
                </w14:textFill>
              </w:rPr>
              <w:t>贷款期限内未满</w:t>
            </w:r>
            <w:permStart w:id="89" w:edGrp="everyone"/>
            <w:r>
              <w:rPr>
                <w:rFonts w:hint="eastAsia" w:cs="MS Shell Dlg 2" w:asciiTheme="minorEastAsia" w:hAnsiTheme="minorEastAsia" w:eastAsiaTheme="minorEastAsia"/>
                <w:color w:val="000000" w:themeColor="text1"/>
                <w:sz w:val="21"/>
                <w:szCs w:val="21"/>
                <w14:textFill>
                  <w14:solidFill>
                    <w14:schemeClr w14:val="tx1"/>
                  </w14:solidFill>
                </w14:textFill>
              </w:rPr>
              <w:t>【】</w:t>
            </w:r>
            <w:permEnd w:id="89"/>
            <w:r>
              <w:rPr>
                <w:rFonts w:hint="eastAsia" w:cs="MS Shell Dlg 2" w:asciiTheme="minorEastAsia" w:hAnsiTheme="minorEastAsia" w:eastAsiaTheme="minorEastAsia"/>
                <w:color w:val="000000" w:themeColor="text1"/>
                <w:sz w:val="21"/>
                <w:szCs w:val="21"/>
                <w14:textFill>
                  <w14:solidFill>
                    <w14:schemeClr w14:val="tx1"/>
                  </w14:solidFill>
                </w14:textFill>
              </w:rPr>
              <w:t>天</w:t>
            </w:r>
            <w:r>
              <w:rPr>
                <w:rFonts w:cs="MS Shell Dlg 2" w:asciiTheme="minorEastAsia" w:hAnsiTheme="minorEastAsia" w:eastAsiaTheme="minorEastAsia"/>
                <w:color w:val="000000" w:themeColor="text1"/>
                <w:sz w:val="21"/>
                <w:szCs w:val="21"/>
                <w14:textFill>
                  <w14:solidFill>
                    <w14:schemeClr w14:val="tx1"/>
                  </w14:solidFill>
                </w14:textFill>
              </w:rPr>
              <w:t>(含)不得部分或全部提前还款；经乙方审核同意，甲方提前还款的，按照以下</w:t>
            </w:r>
            <w:r>
              <w:rPr>
                <w:rFonts w:hint="eastAsia" w:cs="MS Shell Dlg 2" w:asciiTheme="minorEastAsia" w:hAnsiTheme="minorEastAsia" w:eastAsiaTheme="minorEastAsia"/>
                <w:color w:val="000000" w:themeColor="text1"/>
                <w:sz w:val="21"/>
                <w:szCs w:val="21"/>
                <w14:textFill>
                  <w14:solidFill>
                    <w14:schemeClr w14:val="tx1"/>
                  </w14:solidFill>
                </w14:textFill>
              </w:rPr>
              <w:t>第</w:t>
            </w:r>
            <w:permStart w:id="90" w:edGrp="everyone"/>
            <w:r>
              <w:rPr>
                <w:rFonts w:hint="eastAsia" w:cs="MS Shell Dlg 2" w:asciiTheme="minorEastAsia" w:hAnsiTheme="minorEastAsia" w:eastAsiaTheme="minorEastAsia"/>
                <w:color w:val="000000" w:themeColor="text1"/>
                <w:sz w:val="21"/>
                <w:szCs w:val="21"/>
                <w14:textFill>
                  <w14:solidFill>
                    <w14:schemeClr w14:val="tx1"/>
                  </w14:solidFill>
                </w14:textFill>
              </w:rPr>
              <w:t>【】</w:t>
            </w:r>
            <w:permEnd w:id="90"/>
            <w:r>
              <w:rPr>
                <w:rFonts w:hint="eastAsia" w:cs="MS Shell Dlg 2" w:asciiTheme="minorEastAsia" w:hAnsiTheme="minorEastAsia" w:eastAsiaTheme="minorEastAsia"/>
                <w:color w:val="000000" w:themeColor="text1"/>
                <w:sz w:val="21"/>
                <w:szCs w:val="21"/>
                <w14:textFill>
                  <w14:solidFill>
                    <w14:schemeClr w14:val="tx1"/>
                  </w14:solidFill>
                </w14:textFill>
              </w:rPr>
              <w:t>项</w:t>
            </w:r>
            <w:r>
              <w:rPr>
                <w:rFonts w:cs="MS Shell Dlg 2" w:asciiTheme="minorEastAsia" w:hAnsiTheme="minorEastAsia" w:eastAsiaTheme="minorEastAsia"/>
                <w:color w:val="000000" w:themeColor="text1"/>
                <w:sz w:val="21"/>
                <w:szCs w:val="21"/>
                <w14:textFill>
                  <w14:solidFill>
                    <w14:schemeClr w14:val="tx1"/>
                  </w14:solidFill>
                </w14:textFill>
              </w:rPr>
              <w:t>的</w:t>
            </w:r>
            <w:r>
              <w:rPr>
                <w:rFonts w:hint="eastAsia" w:cs="MS Shell Dlg 2" w:asciiTheme="minorEastAsia" w:hAnsiTheme="minorEastAsia" w:eastAsiaTheme="minorEastAsia"/>
                <w:color w:val="000000" w:themeColor="text1"/>
                <w:sz w:val="21"/>
                <w:szCs w:val="21"/>
                <w14:textFill>
                  <w14:solidFill>
                    <w14:schemeClr w14:val="tx1"/>
                  </w14:solidFill>
                </w14:textFill>
              </w:rPr>
              <w:t>约定处理：</w:t>
            </w:r>
          </w:p>
          <w:p>
            <w:pPr>
              <w:pStyle w:val="27"/>
              <w:numPr>
                <w:ilvl w:val="0"/>
                <w:numId w:val="41"/>
              </w:numPr>
              <w:spacing w:line="380" w:lineRule="exact"/>
              <w:rPr>
                <w:rFonts w:cs="MS Shell Dlg 2" w:asciiTheme="minorEastAsia" w:hAnsiTheme="minorEastAsia" w:eastAsiaTheme="minorEastAsia"/>
                <w:color w:val="000000" w:themeColor="text1"/>
                <w:szCs w:val="21"/>
                <w14:textFill>
                  <w14:solidFill>
                    <w14:schemeClr w14:val="tx1"/>
                  </w14:solidFill>
                </w14:textFill>
              </w:rPr>
            </w:pPr>
            <w:r>
              <w:rPr>
                <w:rFonts w:hint="eastAsia" w:cs="MS Shell Dlg 2" w:asciiTheme="minorEastAsia" w:hAnsiTheme="minorEastAsia" w:eastAsiaTheme="minorEastAsia"/>
                <w:color w:val="000000" w:themeColor="text1"/>
                <w:szCs w:val="21"/>
                <w14:textFill>
                  <w14:solidFill>
                    <w14:schemeClr w14:val="tx1"/>
                  </w14:solidFill>
                </w14:textFill>
              </w:rPr>
              <w:t>不收取</w:t>
            </w:r>
            <w:r>
              <w:rPr>
                <w:rFonts w:cs="MS Shell Dlg 2" w:asciiTheme="minorEastAsia" w:hAnsiTheme="minorEastAsia" w:eastAsiaTheme="minorEastAsia"/>
                <w:color w:val="000000" w:themeColor="text1"/>
                <w:szCs w:val="21"/>
                <w14:textFill>
                  <w14:solidFill>
                    <w14:schemeClr w14:val="tx1"/>
                  </w14:solidFill>
                </w14:textFill>
              </w:rPr>
              <w:t>提前还款违约金；</w:t>
            </w:r>
          </w:p>
          <w:p>
            <w:pPr>
              <w:pStyle w:val="27"/>
              <w:numPr>
                <w:ilvl w:val="0"/>
                <w:numId w:val="41"/>
              </w:numPr>
              <w:spacing w:line="380" w:lineRule="exact"/>
              <w:rPr>
                <w:rFonts w:cs="MS Shell Dlg 2" w:asciiTheme="minorEastAsia" w:hAnsiTheme="minorEastAsia" w:eastAsiaTheme="minorEastAsia"/>
                <w:color w:val="000000" w:themeColor="text1"/>
                <w:szCs w:val="21"/>
                <w14:textFill>
                  <w14:solidFill>
                    <w14:schemeClr w14:val="tx1"/>
                  </w14:solidFill>
                </w14:textFill>
              </w:rPr>
            </w:pPr>
            <w:r>
              <w:rPr>
                <w:rFonts w:hint="eastAsia" w:cs="MS Shell Dlg 2" w:asciiTheme="minorEastAsia" w:hAnsiTheme="minorEastAsia" w:eastAsiaTheme="minorEastAsia"/>
                <w:color w:val="000000" w:themeColor="text1"/>
                <w:szCs w:val="21"/>
                <w14:textFill>
                  <w14:solidFill>
                    <w14:schemeClr w14:val="tx1"/>
                  </w14:solidFill>
                </w14:textFill>
              </w:rPr>
              <w:t>甲方充分知晓并同意乙方依据为甲方提供贷款服务产生的乙方内部相关费用、业务合作方服务费、外部作业机构服务费等核定相应标准，按提前还款金额的</w:t>
            </w:r>
            <w:permStart w:id="91" w:edGrp="everyone"/>
            <w:r>
              <w:rPr>
                <w:rFonts w:hint="eastAsia" w:cs="MS Shell Dlg 2" w:asciiTheme="minorEastAsia" w:hAnsiTheme="minorEastAsia" w:eastAsiaTheme="minorEastAsia"/>
                <w:color w:val="000000" w:themeColor="text1"/>
                <w:szCs w:val="21"/>
                <w14:textFill>
                  <w14:solidFill>
                    <w14:schemeClr w14:val="tx1"/>
                  </w14:solidFill>
                </w14:textFill>
              </w:rPr>
              <w:t>【】</w:t>
            </w:r>
            <w:permEnd w:id="91"/>
            <w:r>
              <w:rPr>
                <w:rFonts w:cs="MS Shell Dlg 2" w:asciiTheme="minorEastAsia" w:hAnsiTheme="minorEastAsia" w:eastAsiaTheme="minorEastAsia"/>
                <w:color w:val="000000" w:themeColor="text1"/>
                <w:szCs w:val="21"/>
                <w14:textFill>
                  <w14:solidFill>
                    <w14:schemeClr w14:val="tx1"/>
                  </w14:solidFill>
                </w14:textFill>
              </w:rPr>
              <w:t>%向甲方收取必要的提前还款违约金</w:t>
            </w:r>
            <w:r>
              <w:rPr>
                <w:rFonts w:hint="eastAsia" w:cs="MS Shell Dlg 2" w:asciiTheme="minorEastAsia" w:hAnsiTheme="minorEastAsia" w:eastAsiaTheme="minorEastAsia"/>
                <w:color w:val="000000" w:themeColor="text1"/>
                <w:szCs w:val="21"/>
                <w14:textFill>
                  <w14:solidFill>
                    <w14:schemeClr w14:val="tx1"/>
                  </w14:solidFill>
                </w14:textFill>
              </w:rPr>
              <w:t>。</w:t>
            </w:r>
          </w:p>
          <w:p>
            <w:pPr>
              <w:pStyle w:val="27"/>
              <w:numPr>
                <w:ilvl w:val="0"/>
                <w:numId w:val="41"/>
              </w:numPr>
              <w:spacing w:line="380" w:lineRule="exact"/>
              <w:rPr>
                <w:rFonts w:cs="MS Shell Dlg 2" w:asciiTheme="minorEastAsia" w:hAnsiTheme="minorEastAsia" w:eastAsiaTheme="minorEastAsia"/>
                <w:color w:val="000000" w:themeColor="text1"/>
                <w:szCs w:val="21"/>
                <w14:textFill>
                  <w14:solidFill>
                    <w14:schemeClr w14:val="tx1"/>
                  </w14:solidFill>
                </w14:textFill>
              </w:rPr>
            </w:pPr>
            <w:r>
              <w:rPr>
                <w:rFonts w:hint="eastAsia" w:cs="MS Shell Dlg 2" w:asciiTheme="minorEastAsia" w:hAnsiTheme="minorEastAsia" w:eastAsiaTheme="minorEastAsia"/>
                <w:color w:val="000000" w:themeColor="text1"/>
                <w:szCs w:val="21"/>
                <w14:textFill>
                  <w14:solidFill>
                    <w14:schemeClr w14:val="tx1"/>
                  </w14:solidFill>
                </w14:textFill>
              </w:rPr>
              <w:t>按已优惠利息收取提前还款违约金。提前还款违约金</w:t>
            </w:r>
            <w:r>
              <w:rPr>
                <w:rFonts w:cs="MS Shell Dlg 2" w:asciiTheme="minorEastAsia" w:hAnsiTheme="minorEastAsia" w:eastAsiaTheme="minorEastAsia"/>
                <w:color w:val="000000" w:themeColor="text1"/>
                <w:szCs w:val="21"/>
                <w14:textFill>
                  <w14:solidFill>
                    <w14:schemeClr w14:val="tx1"/>
                  </w14:solidFill>
                </w14:textFill>
              </w:rPr>
              <w:t>=提前还款本金对应已优惠利息=提前还款本金按优惠前贷款利率计算所得利息-提前还款本金按优惠后执行利率计算所得利息。</w:t>
            </w:r>
          </w:p>
          <w:p>
            <w:pPr>
              <w:pStyle w:val="35"/>
              <w:spacing w:line="380" w:lineRule="exact"/>
              <w:ind w:firstLine="420" w:firstLineChars="200"/>
              <w:rPr>
                <w:color w:val="000000" w:themeColor="text1"/>
                <w:sz w:val="21"/>
                <w:szCs w:val="21"/>
                <w14:textFill>
                  <w14:solidFill>
                    <w14:schemeClr w14:val="tx1"/>
                  </w14:solidFill>
                </w14:textFill>
              </w:rPr>
            </w:pPr>
            <w:r>
              <w:rPr>
                <w:rFonts w:hint="eastAsia" w:cs="MS Shell Dlg 2" w:asciiTheme="minorEastAsia" w:hAnsiTheme="minorEastAsia" w:eastAsiaTheme="minorEastAsia"/>
                <w:color w:val="000000" w:themeColor="text1"/>
                <w:sz w:val="21"/>
                <w:szCs w:val="21"/>
                <w14:textFill>
                  <w14:solidFill>
                    <w14:schemeClr w14:val="tx1"/>
                  </w14:solidFill>
                </w14:textFill>
              </w:rPr>
              <w:t>甲方应在提前还款日前支付提前还款违约金。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left w:val="single" w:color="auto" w:sz="4" w:space="0"/>
              <w:right w:val="single" w:color="auto" w:sz="4" w:space="0"/>
            </w:tcBorders>
          </w:tcPr>
          <w:p>
            <w:pPr>
              <w:snapToGrid w:val="0"/>
              <w:spacing w:line="380" w:lineRule="exact"/>
              <w:rPr>
                <w:color w:val="000000" w:themeColor="text1"/>
                <w:szCs w:val="21"/>
                <w14:textFill>
                  <w14:solidFill>
                    <w14:schemeClr w14:val="tx1"/>
                  </w14:solidFill>
                </w14:textFill>
              </w:rPr>
            </w:pPr>
          </w:p>
        </w:tc>
        <w:tc>
          <w:tcPr>
            <w:tcW w:w="1276" w:type="dxa"/>
            <w:gridSpan w:val="2"/>
            <w:tcBorders>
              <w:left w:val="single" w:color="auto" w:sz="4" w:space="0"/>
            </w:tcBorders>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贴息</w:t>
            </w:r>
          </w:p>
        </w:tc>
        <w:tc>
          <w:tcPr>
            <w:tcW w:w="7343" w:type="dxa"/>
            <w:gridSpan w:val="12"/>
          </w:tcPr>
          <w:p>
            <w:pPr>
              <w:pStyle w:val="27"/>
              <w:snapToGrid w:val="0"/>
              <w:spacing w:line="380" w:lineRule="exact"/>
              <w:rPr>
                <w:color w:val="000000" w:themeColor="text1"/>
                <w:szCs w:val="21"/>
                <w14:textFill>
                  <w14:solidFill>
                    <w14:schemeClr w14:val="tx1"/>
                  </w14:solidFill>
                </w14:textFill>
              </w:rPr>
            </w:pPr>
            <w:permStart w:id="92" w:edGrp="everyone"/>
            <w:r>
              <w:rPr>
                <w:rFonts w:hint="eastAsia"/>
                <w:color w:val="000000" w:themeColor="text1"/>
                <w:szCs w:val="21"/>
                <w14:textFill>
                  <w14:solidFill>
                    <w14:schemeClr w14:val="tx1"/>
                  </w14:solidFill>
                </w14:textFill>
              </w:rPr>
              <w:t>【】</w:t>
            </w:r>
            <w:perm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restart"/>
            <w:tcBorders>
              <w:left w:val="single" w:color="auto" w:sz="4" w:space="0"/>
            </w:tcBorders>
          </w:tcPr>
          <w:p>
            <w:pPr>
              <w:snapToGrid w:val="0"/>
              <w:spacing w:line="380" w:lineRule="exact"/>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抵押物保险</w:t>
            </w:r>
          </w:p>
        </w:tc>
        <w:tc>
          <w:tcPr>
            <w:tcW w:w="7343" w:type="dxa"/>
            <w:gridSpan w:val="12"/>
          </w:tcPr>
          <w:p>
            <w:pPr>
              <w:pStyle w:val="27"/>
              <w:spacing w:line="38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甲乙双方协商，按以下第</w:t>
            </w:r>
            <w:permStart w:id="93" w:edGrp="everyone"/>
            <w:r>
              <w:rPr>
                <w:rFonts w:hint="eastAsia"/>
                <w:b/>
                <w:bCs/>
                <w:color w:val="000000" w:themeColor="text1"/>
                <w:szCs w:val="21"/>
                <w14:textFill>
                  <w14:solidFill>
                    <w14:schemeClr w14:val="tx1"/>
                  </w14:solidFill>
                </w14:textFill>
              </w:rPr>
              <w:t>【】</w:t>
            </w:r>
            <w:permEnd w:id="93"/>
            <w:r>
              <w:rPr>
                <w:rFonts w:hint="eastAsia"/>
                <w:b/>
                <w:bCs/>
                <w:color w:val="000000" w:themeColor="text1"/>
                <w:szCs w:val="21"/>
                <w14:textFill>
                  <w14:solidFill>
                    <w14:schemeClr w14:val="tx1"/>
                  </w14:solidFill>
                </w14:textFill>
              </w:rPr>
              <w:t>种方式执行：</w:t>
            </w:r>
          </w:p>
          <w:p>
            <w:pPr>
              <w:pStyle w:val="27"/>
              <w:numPr>
                <w:ilvl w:val="0"/>
                <w:numId w:val="42"/>
              </w:numPr>
              <w:spacing w:line="38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甲、乙双方根据抵押担保债权的具体情况及乙方的信贷政策确定抵押物保险的险种、保险期限、投保金额，乙方为该抵押物保险的优先受偿人（第一受益人）；</w:t>
            </w:r>
          </w:p>
          <w:p>
            <w:pPr>
              <w:pStyle w:val="27"/>
              <w:numPr>
                <w:ilvl w:val="0"/>
                <w:numId w:val="42"/>
              </w:numPr>
              <w:spacing w:line="38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甲方无需为抵押物办理保险</w:t>
            </w:r>
            <w:r>
              <w:rPr>
                <w:rFonts w:hint="eastAsia" w:ascii="宋体" w:hAnsi="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vMerge w:val="continue"/>
            <w:tcBorders>
              <w:left w:val="single" w:color="auto" w:sz="4" w:space="0"/>
            </w:tcBorders>
          </w:tcPr>
          <w:p>
            <w:pPr>
              <w:snapToGrid w:val="0"/>
              <w:spacing w:line="380" w:lineRule="exact"/>
              <w:rPr>
                <w:b/>
                <w:color w:val="000000" w:themeColor="text1"/>
                <w:szCs w:val="21"/>
                <w14:textFill>
                  <w14:solidFill>
                    <w14:schemeClr w14:val="tx1"/>
                  </w14:solidFill>
                </w14:textFill>
              </w:rPr>
            </w:pPr>
          </w:p>
        </w:tc>
        <w:tc>
          <w:tcPr>
            <w:tcW w:w="7343" w:type="dxa"/>
            <w:gridSpan w:val="12"/>
          </w:tcPr>
          <w:p>
            <w:pPr>
              <w:spacing w:line="38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当需办理保险时，经甲乙双方协商一致同意，保费承担按以下第</w:t>
            </w:r>
            <w:permStart w:id="94" w:edGrp="everyone"/>
            <w:r>
              <w:rPr>
                <w:rFonts w:hint="eastAsia"/>
                <w:b/>
                <w:bCs/>
                <w:color w:val="000000" w:themeColor="text1"/>
                <w:szCs w:val="21"/>
                <w14:textFill>
                  <w14:solidFill>
                    <w14:schemeClr w14:val="tx1"/>
                  </w14:solidFill>
                </w14:textFill>
              </w:rPr>
              <w:t>【】</w:t>
            </w:r>
            <w:permEnd w:id="94"/>
            <w:r>
              <w:rPr>
                <w:rFonts w:hint="eastAsia"/>
                <w:b/>
                <w:bCs/>
                <w:color w:val="000000" w:themeColor="text1"/>
                <w:szCs w:val="21"/>
                <w14:textFill>
                  <w14:solidFill>
                    <w14:schemeClr w14:val="tx1"/>
                  </w14:solidFill>
                </w14:textFill>
              </w:rPr>
              <w:t>种方式执行：</w:t>
            </w:r>
          </w:p>
          <w:p>
            <w:pPr>
              <w:pStyle w:val="27"/>
              <w:numPr>
                <w:ilvl w:val="0"/>
                <w:numId w:val="43"/>
              </w:numPr>
              <w:spacing w:line="38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保险费由甲方承担；</w:t>
            </w:r>
          </w:p>
          <w:p>
            <w:pPr>
              <w:pStyle w:val="27"/>
              <w:numPr>
                <w:ilvl w:val="0"/>
                <w:numId w:val="43"/>
              </w:numPr>
              <w:spacing w:line="38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保险费由乙方承担；</w:t>
            </w:r>
          </w:p>
          <w:p>
            <w:pPr>
              <w:pStyle w:val="27"/>
              <w:numPr>
                <w:ilvl w:val="0"/>
                <w:numId w:val="43"/>
              </w:numPr>
              <w:spacing w:line="38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保险费由甲、乙方按合理比例共同承担，其中甲方承担全部保险费的</w:t>
            </w:r>
            <w:permStart w:id="95" w:edGrp="everyone"/>
            <w:r>
              <w:rPr>
                <w:rFonts w:hint="eastAsia"/>
                <w:b/>
                <w:bCs/>
                <w:color w:val="000000" w:themeColor="text1"/>
                <w:szCs w:val="21"/>
                <w14:textFill>
                  <w14:solidFill>
                    <w14:schemeClr w14:val="tx1"/>
                  </w14:solidFill>
                </w14:textFill>
              </w:rPr>
              <w:t>【】</w:t>
            </w:r>
            <w:permEnd w:id="95"/>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，乙方承担全部保险费的</w:t>
            </w:r>
            <w:permStart w:id="96" w:edGrp="everyone"/>
            <w:r>
              <w:rPr>
                <w:rFonts w:hint="eastAsia"/>
                <w:b/>
                <w:bCs/>
                <w:color w:val="000000" w:themeColor="text1"/>
                <w:szCs w:val="21"/>
                <w14:textFill>
                  <w14:solidFill>
                    <w14:schemeClr w14:val="tx1"/>
                  </w14:solidFill>
                </w14:textFill>
              </w:rPr>
              <w:t>【】</w:t>
            </w:r>
            <w:permEnd w:id="96"/>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抵押登记</w:t>
            </w:r>
          </w:p>
        </w:tc>
        <w:tc>
          <w:tcPr>
            <w:tcW w:w="7343" w:type="dxa"/>
            <w:gridSpan w:val="12"/>
          </w:tcPr>
          <w:p>
            <w:pPr>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甲方提供的抵押房产为期房的，须在本协议签署后</w:t>
            </w:r>
            <w:permStart w:id="97" w:edGrp="everyone"/>
            <w:r>
              <w:rPr>
                <w:rFonts w:hint="eastAsia"/>
                <w:color w:val="000000" w:themeColor="text1"/>
                <w:szCs w:val="21"/>
                <w14:textFill>
                  <w14:solidFill>
                    <w14:schemeClr w14:val="tx1"/>
                  </w14:solidFill>
                </w14:textFill>
              </w:rPr>
              <w:t>【】</w:t>
            </w:r>
            <w:permEnd w:id="97"/>
            <w:r>
              <w:rPr>
                <w:rFonts w:hint="eastAsia"/>
                <w:color w:val="000000" w:themeColor="text1"/>
                <w:szCs w:val="21"/>
                <w14:textFill>
                  <w14:solidFill>
                    <w14:schemeClr w14:val="tx1"/>
                  </w14:solidFill>
                </w14:textFill>
              </w:rPr>
              <w:t>日内配合乙方办理期房抵押权预告登记，在开发商取得房屋所有权证（指开发商申请初始登记而取得的权证）并备好相关材料，具备办理所有权证（指甲方因转移登记而取得的权证，下同）的条件后</w:t>
            </w:r>
            <w:permStart w:id="98" w:edGrp="everyone"/>
            <w:r>
              <w:rPr>
                <w:rFonts w:hint="eastAsia"/>
                <w:color w:val="000000" w:themeColor="text1"/>
                <w:szCs w:val="21"/>
                <w14:textFill>
                  <w14:solidFill>
                    <w14:schemeClr w14:val="tx1"/>
                  </w14:solidFill>
                </w14:textFill>
              </w:rPr>
              <w:t>【】</w:t>
            </w:r>
            <w:permEnd w:id="98"/>
            <w:r>
              <w:rPr>
                <w:rFonts w:hint="eastAsia"/>
                <w:color w:val="000000" w:themeColor="text1"/>
                <w:szCs w:val="21"/>
                <w14:textFill>
                  <w14:solidFill>
                    <w14:schemeClr w14:val="tx1"/>
                  </w14:solidFill>
                </w14:textFill>
              </w:rPr>
              <w:t>日内办妥所有权证，并在甲方取得抵押房屋的所有权证之日起</w:t>
            </w:r>
            <w:permStart w:id="99" w:edGrp="everyone"/>
            <w:r>
              <w:rPr>
                <w:rFonts w:hint="eastAsia"/>
                <w:color w:val="000000" w:themeColor="text1"/>
                <w:szCs w:val="21"/>
                <w14:textFill>
                  <w14:solidFill>
                    <w14:schemeClr w14:val="tx1"/>
                  </w14:solidFill>
                </w14:textFill>
              </w:rPr>
              <w:t>【】</w:t>
            </w:r>
            <w:permEnd w:id="99"/>
            <w:r>
              <w:rPr>
                <w:rFonts w:hint="eastAsia"/>
                <w:color w:val="000000" w:themeColor="text1"/>
                <w:szCs w:val="21"/>
                <w14:textFill>
                  <w14:solidFill>
                    <w14:schemeClr w14:val="tx1"/>
                  </w14:solidFill>
                </w14:textFill>
              </w:rPr>
              <w:t>日内办理抵押房产的抵押登记手续；甲方提供的抵押房产为现房的，应在本协议签署后</w:t>
            </w:r>
            <w:permStart w:id="100" w:edGrp="everyone"/>
            <w:r>
              <w:rPr>
                <w:rFonts w:hint="eastAsia"/>
                <w:color w:val="000000" w:themeColor="text1"/>
                <w:szCs w:val="21"/>
                <w14:textFill>
                  <w14:solidFill>
                    <w14:schemeClr w14:val="tx1"/>
                  </w14:solidFill>
                </w14:textFill>
              </w:rPr>
              <w:t>【】</w:t>
            </w:r>
            <w:permEnd w:id="100"/>
            <w:r>
              <w:rPr>
                <w:rFonts w:hint="eastAsia"/>
                <w:color w:val="000000" w:themeColor="text1"/>
                <w:szCs w:val="21"/>
                <w14:textFill>
                  <w14:solidFill>
                    <w14:schemeClr w14:val="tx1"/>
                  </w14:solidFill>
                </w14:textFill>
              </w:rPr>
              <w:t>日内办理抵押房产的抵押登记手续。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拍卖保留价</w:t>
            </w:r>
          </w:p>
        </w:tc>
        <w:tc>
          <w:tcPr>
            <w:tcW w:w="7343" w:type="dxa"/>
            <w:gridSpan w:val="12"/>
          </w:tcPr>
          <w:p>
            <w:pPr>
              <w:pStyle w:val="27"/>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采用拍卖方式实现抵押权的，乙方可按届时未受清偿的本合同债务的总额或不低于该数额</w:t>
            </w:r>
            <w:permStart w:id="101" w:edGrp="everyone"/>
            <w:r>
              <w:rPr>
                <w:rFonts w:hint="eastAsia"/>
                <w:color w:val="000000" w:themeColor="text1"/>
                <w:szCs w:val="21"/>
                <w14:textFill>
                  <w14:solidFill>
                    <w14:schemeClr w14:val="tx1"/>
                  </w14:solidFill>
                </w14:textFill>
              </w:rPr>
              <w:t>【】</w:t>
            </w:r>
            <w:permEnd w:id="101"/>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的比率提出拍卖保留价。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投诉与咨询渠道</w:t>
            </w:r>
          </w:p>
        </w:tc>
        <w:tc>
          <w:tcPr>
            <w:tcW w:w="7343" w:type="dxa"/>
            <w:gridSpan w:val="12"/>
          </w:tcPr>
          <w:p>
            <w:pPr>
              <w:pStyle w:val="27"/>
              <w:snapToGrid w:val="0"/>
              <w:spacing w:line="380" w:lineRule="exact"/>
              <w:rPr>
                <w:color w:val="000000" w:themeColor="text1"/>
                <w:szCs w:val="21"/>
                <w14:textFill>
                  <w14:solidFill>
                    <w14:schemeClr w14:val="tx1"/>
                  </w14:solidFill>
                </w14:textFill>
              </w:rPr>
            </w:pPr>
            <w:permStart w:id="102" w:edGrp="everyone"/>
            <w:r>
              <w:rPr>
                <w:rFonts w:hint="eastAsia"/>
                <w:color w:val="000000" w:themeColor="text1"/>
                <w:szCs w:val="21"/>
                <w14:textFill>
                  <w14:solidFill>
                    <w14:schemeClr w14:val="tx1"/>
                  </w14:solidFill>
                </w14:textFill>
              </w:rPr>
              <w:t>【甲方、丙方对乙方业务咨询与投诉可通过乙方统一客户服务热线</w:t>
            </w:r>
            <w:r>
              <w:rPr>
                <w:color w:val="000000" w:themeColor="text1"/>
                <w:szCs w:val="21"/>
                <w14:textFill>
                  <w14:solidFill>
                    <w14:schemeClr w14:val="tx1"/>
                  </w14:solidFill>
                </w14:textFill>
              </w:rPr>
              <w:t>95558</w:t>
            </w:r>
            <w:r>
              <w:rPr>
                <w:rFonts w:hint="eastAsia"/>
                <w:color w:val="000000" w:themeColor="text1"/>
                <w:szCs w:val="21"/>
                <w14:textFill>
                  <w14:solidFill>
                    <w14:schemeClr w14:val="tx1"/>
                  </w14:solidFill>
                </w14:textFill>
              </w:rPr>
              <w:t>进行反馈。】</w:t>
            </w:r>
            <w:perm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争议解决方式</w:t>
            </w:r>
          </w:p>
        </w:tc>
        <w:tc>
          <w:tcPr>
            <w:tcW w:w="7343" w:type="dxa"/>
            <w:gridSpan w:val="12"/>
          </w:tcPr>
          <w:p>
            <w:pPr>
              <w:pStyle w:val="27"/>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凡因本合同订立、履行所发生的或与本合同有关的一切争议，各方应友好协商解决；协商不成的，各方均同意采取以下第</w:t>
            </w:r>
            <w:permStart w:id="103" w:edGrp="everyone"/>
            <w:r>
              <w:rPr>
                <w:rFonts w:hint="eastAsia"/>
                <w:color w:val="000000" w:themeColor="text1"/>
                <w:szCs w:val="21"/>
                <w14:textFill>
                  <w14:solidFill>
                    <w14:schemeClr w14:val="tx1"/>
                  </w14:solidFill>
                </w14:textFill>
              </w:rPr>
              <w:t>【】</w:t>
            </w:r>
            <w:permEnd w:id="103"/>
            <w:r>
              <w:rPr>
                <w:rFonts w:hint="eastAsia"/>
                <w:b/>
                <w:color w:val="000000" w:themeColor="text1"/>
                <w:szCs w:val="21"/>
                <w14:textFill>
                  <w14:solidFill>
                    <w14:schemeClr w14:val="tx1"/>
                  </w14:solidFill>
                </w14:textFill>
              </w:rPr>
              <w:t>种方式解决：</w:t>
            </w:r>
          </w:p>
          <w:p>
            <w:pPr>
              <w:pStyle w:val="27"/>
              <w:numPr>
                <w:ilvl w:val="0"/>
                <w:numId w:val="44"/>
              </w:numPr>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向</w:t>
            </w:r>
            <w:permStart w:id="104" w:edGrp="everyone"/>
            <w:r>
              <w:rPr>
                <w:rFonts w:hint="eastAsia"/>
                <w:color w:val="000000" w:themeColor="text1"/>
                <w:szCs w:val="21"/>
                <w14:textFill>
                  <w14:solidFill>
                    <w14:schemeClr w14:val="tx1"/>
                  </w14:solidFill>
                </w14:textFill>
              </w:rPr>
              <w:t>【】</w:t>
            </w:r>
            <w:permEnd w:id="104"/>
            <w:r>
              <w:rPr>
                <w:rFonts w:hint="eastAsia"/>
                <w:b/>
                <w:color w:val="000000" w:themeColor="text1"/>
                <w:szCs w:val="21"/>
                <w14:textFill>
                  <w14:solidFill>
                    <w14:schemeClr w14:val="tx1"/>
                  </w14:solidFill>
                </w14:textFill>
              </w:rPr>
              <w:t>申请仲裁，仲裁地为</w:t>
            </w:r>
            <w:permStart w:id="105" w:edGrp="everyone"/>
            <w:r>
              <w:rPr>
                <w:rFonts w:hint="eastAsia"/>
                <w:b/>
                <w:color w:val="000000" w:themeColor="text1"/>
                <w:szCs w:val="21"/>
                <w14:textFill>
                  <w14:solidFill>
                    <w14:schemeClr w14:val="tx1"/>
                  </w14:solidFill>
                </w14:textFill>
              </w:rPr>
              <w:t>【】</w:t>
            </w:r>
            <w:permEnd w:id="105"/>
            <w:r>
              <w:rPr>
                <w:rFonts w:hint="eastAsia"/>
                <w:b/>
                <w:color w:val="000000" w:themeColor="text1"/>
                <w:szCs w:val="21"/>
                <w14:textFill>
                  <w14:solidFill>
                    <w14:schemeClr w14:val="tx1"/>
                  </w14:solidFill>
                </w14:textFill>
              </w:rPr>
              <w:t>，并适用申请仲裁时该机构现行有效的仲裁规则；</w:t>
            </w:r>
          </w:p>
          <w:p>
            <w:pPr>
              <w:numPr>
                <w:ilvl w:val="0"/>
                <w:numId w:val="44"/>
              </w:numPr>
              <w:snapToGrid w:val="0"/>
              <w:spacing w:line="380" w:lineRule="exact"/>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向</w:t>
            </w:r>
            <w:permStart w:id="106" w:edGrp="everyone"/>
            <w:r>
              <w:rPr>
                <w:rFonts w:hint="eastAsia"/>
                <w:b/>
                <w:color w:val="000000" w:themeColor="text1"/>
                <w:szCs w:val="21"/>
                <w:u w:val="single"/>
                <w14:textFill>
                  <w14:solidFill>
                    <w14:schemeClr w14:val="tx1"/>
                  </w14:solidFill>
                </w14:textFill>
              </w:rPr>
              <w:t>乙方住所地</w:t>
            </w:r>
            <w:permEnd w:id="106"/>
            <w:r>
              <w:rPr>
                <w:rFonts w:hint="eastAsia"/>
                <w:b/>
                <w:color w:val="000000" w:themeColor="text1"/>
                <w:szCs w:val="21"/>
                <w14:textFill>
                  <w14:solidFill>
                    <w14:schemeClr w14:val="tx1"/>
                  </w14:solidFill>
                </w14:textFill>
              </w:rPr>
              <w:t>有管辖权的人民法院提起诉讼。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公证、登记、鉴定、评估、保管、过户、提存等事项</w:t>
            </w:r>
          </w:p>
        </w:tc>
        <w:tc>
          <w:tcPr>
            <w:tcW w:w="7343" w:type="dxa"/>
            <w:gridSpan w:val="1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凡与本合同有关的以下事项由甲方负责办理并承担相关费用：</w:t>
            </w:r>
            <w:permStart w:id="107" w:edGrp="everyone"/>
            <w:r>
              <w:rPr>
                <w:rFonts w:hint="eastAsia"/>
                <w:color w:val="000000" w:themeColor="text1"/>
                <w:szCs w:val="21"/>
                <w14:textFill>
                  <w14:solidFill>
                    <w14:schemeClr w14:val="tx1"/>
                  </w14:solidFill>
                </w14:textFill>
              </w:rPr>
              <w:t>【】</w:t>
            </w:r>
            <w:permEnd w:id="107"/>
            <w:r>
              <w:rPr>
                <w:rFonts w:hint="eastAsia"/>
                <w:color w:val="000000" w:themeColor="text1"/>
                <w:szCs w:val="21"/>
                <w14:textFill>
                  <w14:solidFill>
                    <w14:schemeClr w14:val="tx1"/>
                  </w14:solidFill>
                </w14:textFill>
              </w:rPr>
              <w:t>；凡与本合同有关的以下事项由乙方负责办理并承担相关费用：</w:t>
            </w:r>
            <w:permStart w:id="108" w:edGrp="everyone"/>
            <w:r>
              <w:rPr>
                <w:rFonts w:hint="eastAsia"/>
                <w:color w:val="000000" w:themeColor="text1"/>
                <w:szCs w:val="21"/>
                <w14:textFill>
                  <w14:solidFill>
                    <w14:schemeClr w14:val="tx1"/>
                  </w14:solidFill>
                </w14:textFill>
              </w:rPr>
              <w:t>【】</w:t>
            </w:r>
            <w:permEnd w:id="108"/>
            <w:r>
              <w:rPr>
                <w:rFonts w:hint="eastAsia"/>
                <w:color w:val="000000" w:themeColor="text1"/>
                <w:szCs w:val="21"/>
                <w14:textFill>
                  <w14:solidFill>
                    <w14:schemeClr w14:val="tx1"/>
                  </w14:solidFill>
                </w14:textFill>
              </w:rPr>
              <w:t>；凡与本合同有关的以下事项由丙方负责办理并承担相关费用：</w:t>
            </w:r>
            <w:permStart w:id="109" w:edGrp="everyone"/>
            <w:r>
              <w:rPr>
                <w:rFonts w:hint="eastAsia"/>
                <w:color w:val="000000" w:themeColor="text1"/>
                <w:szCs w:val="21"/>
                <w14:textFill>
                  <w14:solidFill>
                    <w14:schemeClr w14:val="tx1"/>
                  </w14:solidFill>
                </w14:textFill>
              </w:rPr>
              <w:t>【】</w:t>
            </w:r>
            <w:permEnd w:id="109"/>
            <w:r>
              <w:rPr>
                <w:rFonts w:hint="eastAsia"/>
                <w:color w:val="000000" w:themeColor="text1"/>
                <w:szCs w:val="21"/>
                <w14:textFill>
                  <w14:solidFill>
                    <w14:schemeClr w14:val="tx1"/>
                  </w14:solidFill>
                </w14:textFill>
              </w:rPr>
              <w:t>。</w:t>
            </w:r>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①公证</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②登记</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③鉴定</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④评估</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⑤保管</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⑥过户</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⑦提存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合同正本</w:t>
            </w:r>
          </w:p>
        </w:tc>
        <w:tc>
          <w:tcPr>
            <w:tcW w:w="7343" w:type="dxa"/>
            <w:gridSpan w:val="12"/>
          </w:tcPr>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本合同正本一式</w:t>
            </w:r>
            <w:permStart w:id="110" w:edGrp="everyone"/>
            <w:r>
              <w:rPr>
                <w:rFonts w:hint="eastAsia"/>
                <w:color w:val="000000" w:themeColor="text1"/>
                <w:szCs w:val="21"/>
                <w14:textFill>
                  <w14:solidFill>
                    <w14:schemeClr w14:val="tx1"/>
                  </w14:solidFill>
                </w14:textFill>
              </w:rPr>
              <w:t>【】</w:t>
            </w:r>
            <w:permEnd w:id="110"/>
            <w:r>
              <w:rPr>
                <w:rFonts w:hint="eastAsia"/>
                <w:color w:val="000000" w:themeColor="text1"/>
                <w:szCs w:val="21"/>
                <w14:textFill>
                  <w14:solidFill>
                    <w14:schemeClr w14:val="tx1"/>
                  </w14:solidFill>
                </w14:textFill>
              </w:rPr>
              <w:t>份，甲方持</w:t>
            </w:r>
            <w:permStart w:id="111" w:edGrp="everyone"/>
            <w:r>
              <w:rPr>
                <w:rFonts w:hint="eastAsia"/>
                <w:color w:val="000000" w:themeColor="text1"/>
                <w:szCs w:val="21"/>
                <w14:textFill>
                  <w14:solidFill>
                    <w14:schemeClr w14:val="tx1"/>
                  </w14:solidFill>
                </w14:textFill>
              </w:rPr>
              <w:t>【】</w:t>
            </w:r>
            <w:permEnd w:id="111"/>
            <w:r>
              <w:rPr>
                <w:rFonts w:hint="eastAsia"/>
                <w:color w:val="000000" w:themeColor="text1"/>
                <w:szCs w:val="21"/>
                <w14:textFill>
                  <w14:solidFill>
                    <w14:schemeClr w14:val="tx1"/>
                  </w14:solidFill>
                </w14:textFill>
              </w:rPr>
              <w:t>份，乙方持</w:t>
            </w:r>
            <w:permStart w:id="112" w:edGrp="everyone"/>
            <w:r>
              <w:rPr>
                <w:rFonts w:hint="eastAsia"/>
                <w:color w:val="000000" w:themeColor="text1"/>
                <w:szCs w:val="21"/>
                <w14:textFill>
                  <w14:solidFill>
                    <w14:schemeClr w14:val="tx1"/>
                  </w14:solidFill>
                </w14:textFill>
              </w:rPr>
              <w:t>【】</w:t>
            </w:r>
            <w:permEnd w:id="112"/>
            <w:r>
              <w:rPr>
                <w:rFonts w:hint="eastAsia"/>
                <w:color w:val="000000" w:themeColor="text1"/>
                <w:szCs w:val="21"/>
                <w14:textFill>
                  <w14:solidFill>
                    <w14:schemeClr w14:val="tx1"/>
                  </w14:solidFill>
                </w14:textFill>
              </w:rPr>
              <w:t>份，丙方持</w:t>
            </w:r>
            <w:permStart w:id="113" w:edGrp="everyone"/>
            <w:r>
              <w:rPr>
                <w:rFonts w:hint="eastAsia"/>
                <w:color w:val="000000" w:themeColor="text1"/>
                <w:szCs w:val="21"/>
                <w14:textFill>
                  <w14:solidFill>
                    <w14:schemeClr w14:val="tx1"/>
                  </w14:solidFill>
                </w14:textFill>
              </w:rPr>
              <w:t>【】</w:t>
            </w:r>
            <w:permEnd w:id="113"/>
            <w:r>
              <w:rPr>
                <w:rFonts w:hint="eastAsia"/>
                <w:color w:val="000000" w:themeColor="text1"/>
                <w:szCs w:val="21"/>
                <w14:textFill>
                  <w14:solidFill>
                    <w14:schemeClr w14:val="tx1"/>
                  </w14:solidFill>
                </w14:textFill>
              </w:rPr>
              <w:t>份，抵押登记机关留存</w:t>
            </w:r>
            <w:permStart w:id="114" w:edGrp="everyone"/>
            <w:r>
              <w:rPr>
                <w:rFonts w:hint="eastAsia"/>
                <w:color w:val="000000" w:themeColor="text1"/>
                <w:szCs w:val="21"/>
                <w14:textFill>
                  <w14:solidFill>
                    <w14:schemeClr w14:val="tx1"/>
                  </w14:solidFill>
                </w14:textFill>
              </w:rPr>
              <w:t>【】</w:t>
            </w:r>
            <w:permEnd w:id="114"/>
            <w:r>
              <w:rPr>
                <w:rFonts w:hint="eastAsia"/>
                <w:color w:val="000000" w:themeColor="text1"/>
                <w:szCs w:val="21"/>
                <w14:textFill>
                  <w14:solidFill>
                    <w14:schemeClr w14:val="tx1"/>
                  </w14:solidFill>
                </w14:textFill>
              </w:rPr>
              <w:t>份，如需办理合同公证的，公证机关留存</w:t>
            </w:r>
            <w:permStart w:id="115" w:edGrp="everyone"/>
            <w:r>
              <w:rPr>
                <w:rFonts w:hint="eastAsia"/>
                <w:color w:val="000000" w:themeColor="text1"/>
                <w:szCs w:val="21"/>
                <w14:textFill>
                  <w14:solidFill>
                    <w14:schemeClr w14:val="tx1"/>
                  </w14:solidFill>
                </w14:textFill>
              </w:rPr>
              <w:t>【】</w:t>
            </w:r>
            <w:permEnd w:id="115"/>
            <w:r>
              <w:rPr>
                <w:rFonts w:hint="eastAsia"/>
                <w:color w:val="000000" w:themeColor="text1"/>
                <w:szCs w:val="21"/>
                <w14:textFill>
                  <w14:solidFill>
                    <w14:schemeClr w14:val="tx1"/>
                  </w14:solidFill>
                </w14:textFill>
              </w:rPr>
              <w:t>份，每份具有同等法律效力。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3"/>
          </w:tcPr>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其他约定</w:t>
            </w:r>
          </w:p>
        </w:tc>
        <w:tc>
          <w:tcPr>
            <w:tcW w:w="7343" w:type="dxa"/>
            <w:gridSpan w:val="12"/>
          </w:tcPr>
          <w:p>
            <w:pPr>
              <w:snapToGrid w:val="0"/>
              <w:spacing w:line="380" w:lineRule="exact"/>
              <w:rPr>
                <w:color w:val="000000" w:themeColor="text1"/>
                <w:szCs w:val="21"/>
                <w14:textFill>
                  <w14:solidFill>
                    <w14:schemeClr w14:val="tx1"/>
                  </w14:solidFill>
                </w14:textFill>
              </w:rPr>
            </w:pPr>
            <w:permStart w:id="116" w:edGrp="everyone"/>
            <w:r>
              <w:rPr>
                <w:rFonts w:hint="eastAsia"/>
                <w:color w:val="000000" w:themeColor="text1"/>
                <w:szCs w:val="21"/>
                <w14:textFill>
                  <w14:solidFill>
                    <w14:schemeClr w14:val="tx1"/>
                  </w14:solidFill>
                </w14:textFill>
              </w:rPr>
              <w:t>【】</w:t>
            </w:r>
            <w:permEnd w:id="116"/>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如本条约定与其他条款约定冲突的，应以本条约定为准。</w:t>
            </w:r>
          </w:p>
        </w:tc>
      </w:tr>
    </w:tbl>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（以下无正文）</w:t>
      </w:r>
    </w:p>
    <w:p>
      <w:pPr>
        <w:snapToGrid w:val="0"/>
        <w:spacing w:line="380" w:lineRule="exact"/>
        <w:rPr>
          <w:b/>
          <w:color w:val="000000" w:themeColor="text1"/>
          <w:szCs w:val="21"/>
          <w14:textFill>
            <w14:solidFill>
              <w14:schemeClr w14:val="tx1"/>
            </w14:solidFill>
          </w14:textFill>
        </w:rPr>
      </w:pPr>
    </w:p>
    <w:p>
      <w:pPr>
        <w:snapToGrid w:val="0"/>
        <w:spacing w:line="380" w:lineRule="exact"/>
        <w:rPr>
          <w:b/>
          <w:color w:val="000000" w:themeColor="text1"/>
          <w:szCs w:val="21"/>
          <w14:textFill>
            <w14:solidFill>
              <w14:schemeClr w14:val="tx1"/>
            </w14:solidFill>
          </w14:textFill>
        </w:rPr>
      </w:pPr>
      <w:r>
        <w:rPr>
          <w:b/>
          <w:color w:val="000000" w:themeColor="text1"/>
          <w:szCs w:val="21"/>
          <w14:textFill>
            <w14:solidFill>
              <w14:schemeClr w14:val="tx1"/>
            </w14:solidFill>
          </w14:textFill>
        </w:rPr>
        <w:br w:type="page"/>
      </w:r>
      <w:r>
        <w:rPr>
          <w:rFonts w:hint="eastAsia"/>
          <w:b/>
          <w:color w:val="000000" w:themeColor="text1"/>
          <w:szCs w:val="21"/>
          <w14:textFill>
            <w14:solidFill>
              <w14:schemeClr w14:val="tx1"/>
            </w14:solidFill>
          </w14:textFill>
        </w:rPr>
        <w:t>（本页无正文，为编号为</w:t>
      </w:r>
      <w:permStart w:id="117" w:edGrp="everyone"/>
      <w:r>
        <w:rPr>
          <w:rFonts w:hint="eastAsia"/>
          <w:color w:val="000000" w:themeColor="text1"/>
          <w:szCs w:val="21"/>
          <w14:textFill>
            <w14:solidFill>
              <w14:schemeClr w14:val="tx1"/>
            </w14:solidFill>
          </w14:textFill>
        </w:rPr>
        <w:t>【】</w:t>
      </w:r>
      <w:permEnd w:id="117"/>
      <w:r>
        <w:rPr>
          <w:rFonts w:hint="eastAsia"/>
          <w:b/>
          <w:color w:val="000000" w:themeColor="text1"/>
          <w:szCs w:val="21"/>
          <w14:textFill>
            <w14:solidFill>
              <w14:schemeClr w14:val="tx1"/>
            </w14:solidFill>
          </w14:textFill>
        </w:rPr>
        <w:t>的《中信银行个人购房借款合同》的签字页）</w:t>
      </w:r>
    </w:p>
    <w:p>
      <w:pPr>
        <w:snapToGrid w:val="0"/>
        <w:spacing w:line="380" w:lineRule="exact"/>
        <w:rPr>
          <w:color w:val="000000" w:themeColor="text1"/>
          <w:szCs w:val="21"/>
          <w14:textFill>
            <w14:solidFill>
              <w14:schemeClr w14:val="tx1"/>
            </w14:solidFill>
          </w14:textFill>
        </w:rPr>
      </w:pPr>
    </w:p>
    <w:p>
      <w:pPr>
        <w:snapToGrid w:val="0"/>
        <w:spacing w:line="380" w:lineRule="exact"/>
        <w:rPr>
          <w:color w:val="000000" w:themeColor="text1"/>
          <w:szCs w:val="21"/>
          <w14:textFill>
            <w14:solidFill>
              <w14:schemeClr w14:val="tx1"/>
            </w14:solidFill>
          </w14:textFill>
        </w:rPr>
      </w:pPr>
    </w:p>
    <w:p>
      <w:pPr>
        <w:snapToGrid w:val="0"/>
        <w:spacing w:line="380" w:lineRule="exact"/>
        <w:rPr>
          <w:color w:val="000000" w:themeColor="text1"/>
          <w:szCs w:val="21"/>
          <w14:textFill>
            <w14:solidFill>
              <w14:schemeClr w14:val="tx1"/>
            </w14:solidFill>
          </w14:textFill>
        </w:rPr>
      </w:pPr>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甲方：</w:t>
      </w:r>
      <w:permStart w:id="118" w:edGrp="everyone"/>
      <w:r>
        <w:rPr>
          <w:rFonts w:hint="eastAsia"/>
          <w:color w:val="000000" w:themeColor="text1"/>
          <w:szCs w:val="21"/>
          <w14:textFill>
            <w14:solidFill>
              <w14:schemeClr w14:val="tx1"/>
            </w14:solidFill>
          </w14:textFill>
        </w:rPr>
        <w:t>【】</w:t>
      </w:r>
      <w:permEnd w:id="118"/>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借款人</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抵押人（签字）：</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借款人</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抵押人配偶（签字）：</w:t>
      </w:r>
    </w:p>
    <w:p>
      <w:pPr>
        <w:snapToGrid w:val="0"/>
        <w:spacing w:line="380" w:lineRule="exact"/>
        <w:rPr>
          <w:color w:val="000000" w:themeColor="text1"/>
          <w:szCs w:val="21"/>
          <w14:textFill>
            <w14:solidFill>
              <w14:schemeClr w14:val="tx1"/>
            </w14:solidFill>
          </w14:textFill>
        </w:rPr>
      </w:pP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年</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月</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日</w:t>
      </w:r>
      <w:r>
        <w:rPr>
          <w:color w:val="000000" w:themeColor="text1"/>
          <w:sz w:val="22"/>
          <w:szCs w:val="21"/>
          <w14:textFill>
            <w14:solidFill>
              <w14:schemeClr w14:val="tx1"/>
            </w14:solidFill>
          </w14:textFill>
        </w:rPr>
        <w:t xml:space="preserve">                                </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年</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月</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日</w:t>
      </w:r>
    </w:p>
    <w:p>
      <w:pPr>
        <w:snapToGrid w:val="0"/>
        <w:spacing w:line="380" w:lineRule="exact"/>
        <w:rPr>
          <w:color w:val="000000" w:themeColor="text1"/>
          <w:szCs w:val="21"/>
          <w14:textFill>
            <w14:solidFill>
              <w14:schemeClr w14:val="tx1"/>
            </w14:solidFill>
          </w14:textFill>
        </w:rPr>
      </w:pPr>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共同借款人</w:t>
      </w:r>
      <w:r>
        <w:rPr>
          <w:rFonts w:ascii="宋体" w:hAnsi="宋体"/>
          <w:color w:val="000000" w:themeColor="text1"/>
          <w:szCs w:val="21"/>
          <w14:textFill>
            <w14:solidFill>
              <w14:schemeClr w14:val="tx1"/>
            </w14:solidFill>
          </w14:textFill>
        </w:rPr>
        <w:t>/</w:t>
      </w:r>
      <w:permStart w:id="119" w:edGrp="everyone"/>
      <w:r>
        <w:rPr>
          <w:rFonts w:asciiTheme="minorEastAsia" w:hAnsiTheme="minorEastAsia" w:eastAsiaTheme="minorEastAsia"/>
          <w:color w:val="000000" w:themeColor="text1"/>
          <w:sz w:val="18"/>
          <w:szCs w:val="18"/>
          <w14:textFill>
            <w14:solidFill>
              <w14:schemeClr w14:val="tx1"/>
            </w14:solidFill>
          </w14:textFill>
        </w:rPr>
        <w:t>□</w:t>
      </w:r>
      <w:r>
        <w:rPr>
          <w:rFonts w:hint="eastAsia" w:ascii="宋体" w:hAnsi="宋体"/>
          <w:color w:val="000000" w:themeColor="text1"/>
          <w:szCs w:val="21"/>
          <w14:textFill>
            <w14:solidFill>
              <w14:schemeClr w14:val="tx1"/>
            </w14:solidFill>
          </w14:textFill>
        </w:rPr>
        <w:t>抵押人</w:t>
      </w:r>
      <w:permEnd w:id="119"/>
      <w:r>
        <w:rPr>
          <w:rFonts w:hint="eastAsia"/>
          <w:color w:val="000000" w:themeColor="text1"/>
          <w:szCs w:val="21"/>
          <w14:textFill>
            <w14:solidFill>
              <w14:schemeClr w14:val="tx1"/>
            </w14:solidFill>
          </w14:textFill>
        </w:rPr>
        <w:t>（签字）：</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共同借款人配偶</w:t>
      </w:r>
      <w:r>
        <w:rPr>
          <w:rFonts w:ascii="宋体" w:hAnsi="宋体"/>
          <w:color w:val="000000" w:themeColor="text1"/>
          <w:szCs w:val="21"/>
          <w14:textFill>
            <w14:solidFill>
              <w14:schemeClr w14:val="tx1"/>
            </w14:solidFill>
          </w14:textFill>
        </w:rPr>
        <w:t>/</w:t>
      </w:r>
      <w:permStart w:id="120" w:edGrp="everyone"/>
      <w:r>
        <w:rPr>
          <w:rFonts w:asciiTheme="minorEastAsia" w:hAnsiTheme="minorEastAsia" w:eastAsiaTheme="minorEastAsia"/>
          <w:color w:val="000000" w:themeColor="text1"/>
          <w:sz w:val="18"/>
          <w:szCs w:val="18"/>
          <w14:textFill>
            <w14:solidFill>
              <w14:schemeClr w14:val="tx1"/>
            </w14:solidFill>
          </w14:textFill>
        </w:rPr>
        <w:t>□</w:t>
      </w:r>
      <w:r>
        <w:rPr>
          <w:rFonts w:hint="eastAsia" w:ascii="宋体" w:hAnsi="宋体"/>
          <w:color w:val="000000" w:themeColor="text1"/>
          <w:szCs w:val="21"/>
          <w14:textFill>
            <w14:solidFill>
              <w14:schemeClr w14:val="tx1"/>
            </w14:solidFill>
          </w14:textFill>
        </w:rPr>
        <w:t>抵押人</w:t>
      </w:r>
      <w:permEnd w:id="120"/>
      <w:r>
        <w:rPr>
          <w:rFonts w:hint="eastAsia"/>
          <w:color w:val="000000" w:themeColor="text1"/>
          <w:szCs w:val="21"/>
          <w14:textFill>
            <w14:solidFill>
              <w14:schemeClr w14:val="tx1"/>
            </w14:solidFill>
          </w14:textFill>
        </w:rPr>
        <w:t>（签字）：</w:t>
      </w:r>
    </w:p>
    <w:p>
      <w:pPr>
        <w:snapToGrid w:val="0"/>
        <w:spacing w:line="380" w:lineRule="exact"/>
        <w:rPr>
          <w:color w:val="000000" w:themeColor="text1"/>
          <w:szCs w:val="21"/>
          <w14:textFill>
            <w14:solidFill>
              <w14:schemeClr w14:val="tx1"/>
            </w14:solidFill>
          </w14:textFill>
        </w:rPr>
      </w:pP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年</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月</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日</w:t>
      </w:r>
      <w:r>
        <w:rPr>
          <w:color w:val="000000" w:themeColor="text1"/>
          <w:sz w:val="22"/>
          <w:szCs w:val="21"/>
          <w14:textFill>
            <w14:solidFill>
              <w14:schemeClr w14:val="tx1"/>
            </w14:solidFill>
          </w14:textFill>
        </w:rPr>
        <w:t xml:space="preserve">                                </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年</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月</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日</w:t>
      </w:r>
    </w:p>
    <w:p>
      <w:pPr>
        <w:snapToGrid w:val="0"/>
        <w:spacing w:line="380" w:lineRule="exact"/>
        <w:rPr>
          <w:color w:val="000000" w:themeColor="text1"/>
          <w:szCs w:val="21"/>
          <w14:textFill>
            <w14:solidFill>
              <w14:schemeClr w14:val="tx1"/>
            </w14:solidFill>
          </w14:textFill>
        </w:rPr>
      </w:pPr>
    </w:p>
    <w:p>
      <w:pPr>
        <w:snapToGrid w:val="0"/>
        <w:spacing w:line="380" w:lineRule="exact"/>
        <w:rPr>
          <w:color w:val="000000" w:themeColor="text1"/>
          <w:szCs w:val="21"/>
          <w14:textFill>
            <w14:solidFill>
              <w14:schemeClr w14:val="tx1"/>
            </w14:solidFill>
          </w14:textFill>
        </w:rPr>
      </w:pPr>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乙方（盖章）：</w:t>
      </w:r>
      <w:permStart w:id="121" w:edGrp="everyone"/>
      <w:r>
        <w:rPr>
          <w:rFonts w:hint="eastAsia"/>
          <w:color w:val="000000" w:themeColor="text1"/>
          <w:szCs w:val="21"/>
          <w14:textFill>
            <w14:solidFill>
              <w14:schemeClr w14:val="tx1"/>
            </w14:solidFill>
          </w14:textFill>
        </w:rPr>
        <w:t>【】</w:t>
      </w:r>
      <w:permEnd w:id="121"/>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乙方负责人或授权代理人（签字或加盖名章）：</w:t>
      </w:r>
    </w:p>
    <w:p>
      <w:pPr>
        <w:snapToGrid w:val="0"/>
        <w:spacing w:line="380" w:lineRule="exact"/>
        <w:rPr>
          <w:color w:val="000000" w:themeColor="text1"/>
          <w:szCs w:val="21"/>
          <w14:textFill>
            <w14:solidFill>
              <w14:schemeClr w14:val="tx1"/>
            </w14:solidFill>
          </w14:textFill>
        </w:rPr>
      </w:pP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年</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月</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日</w:t>
      </w:r>
    </w:p>
    <w:p>
      <w:pPr>
        <w:snapToGrid w:val="0"/>
        <w:spacing w:line="380" w:lineRule="exact"/>
        <w:rPr>
          <w:color w:val="000000" w:themeColor="text1"/>
          <w:szCs w:val="21"/>
          <w14:textFill>
            <w14:solidFill>
              <w14:schemeClr w14:val="tx1"/>
            </w14:solidFill>
          </w14:textFill>
        </w:rPr>
      </w:pPr>
    </w:p>
    <w:p>
      <w:pPr>
        <w:snapToGrid w:val="0"/>
        <w:spacing w:line="380" w:lineRule="exact"/>
        <w:rPr>
          <w:color w:val="000000" w:themeColor="text1"/>
          <w:szCs w:val="21"/>
          <w14:textFill>
            <w14:solidFill>
              <w14:schemeClr w14:val="tx1"/>
            </w14:solidFill>
          </w14:textFill>
        </w:rPr>
      </w:pPr>
    </w:p>
    <w:p>
      <w:pPr>
        <w:snapToGrid w:val="0"/>
        <w:spacing w:line="380" w:lineRule="exact"/>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丙方（盖章）</w:t>
      </w:r>
      <w:r>
        <w:rPr>
          <w:rFonts w:hint="eastAsia"/>
          <w:color w:val="000000" w:themeColor="text1"/>
          <w:szCs w:val="21"/>
          <w14:textFill>
            <w14:solidFill>
              <w14:schemeClr w14:val="tx1"/>
            </w14:solidFill>
          </w14:textFill>
        </w:rPr>
        <w:t>：</w:t>
      </w:r>
      <w:permStart w:id="122" w:edGrp="everyone"/>
      <w:r>
        <w:rPr>
          <w:rFonts w:hint="eastAsia"/>
          <w:color w:val="000000" w:themeColor="text1"/>
          <w:szCs w:val="21"/>
          <w14:textFill>
            <w14:solidFill>
              <w14:schemeClr w14:val="tx1"/>
            </w14:solidFill>
          </w14:textFill>
        </w:rPr>
        <w:t>【】</w:t>
      </w:r>
      <w:permEnd w:id="122"/>
    </w:p>
    <w:p>
      <w:pPr>
        <w:snapToGrid w:val="0"/>
        <w:spacing w:line="380" w:lineRule="exact"/>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丙方法定代表人或授权代理人（签字或加盖名章）：</w:t>
      </w:r>
    </w:p>
    <w:p>
      <w:pPr>
        <w:snapToGrid w:val="0"/>
        <w:spacing w:line="380" w:lineRule="exact"/>
        <w:rPr>
          <w:b/>
          <w:color w:val="000000" w:themeColor="text1"/>
          <w:szCs w:val="21"/>
          <w14:textFill>
            <w14:solidFill>
              <w14:schemeClr w14:val="tx1"/>
            </w14:solidFill>
          </w14:textFill>
        </w:rPr>
      </w:pP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年</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月</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日</w:t>
      </w:r>
    </w:p>
    <w:p>
      <w:pPr>
        <w:snapToGrid w:val="0"/>
        <w:spacing w:line="380" w:lineRule="exact"/>
        <w:rPr>
          <w:b/>
          <w:color w:val="000000" w:themeColor="text1"/>
          <w:szCs w:val="21"/>
          <w14:textFill>
            <w14:solidFill>
              <w14:schemeClr w14:val="tx1"/>
            </w14:solidFill>
          </w14:textFill>
        </w:rPr>
      </w:pPr>
    </w:p>
    <w:p>
      <w:pPr>
        <w:snapToGrid w:val="0"/>
        <w:spacing w:line="380" w:lineRule="exact"/>
        <w:rPr>
          <w:b/>
          <w:color w:val="000000" w:themeColor="text1"/>
          <w:szCs w:val="21"/>
          <w14:textFill>
            <w14:solidFill>
              <w14:schemeClr w14:val="tx1"/>
            </w14:solidFill>
          </w14:textFill>
        </w:rPr>
      </w:pPr>
    </w:p>
    <w:p>
      <w:pPr>
        <w:snapToGrid w:val="0"/>
        <w:spacing w:line="38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抵押物共有人兹此承诺：</w:t>
      </w:r>
    </w:p>
    <w:p>
      <w:pPr>
        <w:adjustRightInd w:val="0"/>
        <w:spacing w:line="380" w:lineRule="exact"/>
        <w:ind w:firstLine="420" w:firstLineChars="200"/>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本人与</w:t>
      </w:r>
      <w:permStart w:id="123" w:edGrp="everyone"/>
      <w:r>
        <w:rPr>
          <w:rFonts w:hint="eastAsia"/>
          <w:color w:val="000000" w:themeColor="text1"/>
          <w:szCs w:val="21"/>
          <w14:textFill>
            <w14:solidFill>
              <w14:schemeClr w14:val="tx1"/>
            </w14:solidFill>
          </w14:textFill>
        </w:rPr>
        <w:t>【】</w:t>
      </w:r>
      <w:permEnd w:id="123"/>
      <w:r>
        <w:rPr>
          <w:rFonts w:hint="eastAsia"/>
          <w:color w:val="000000" w:themeColor="text1"/>
          <w:szCs w:val="21"/>
          <w14:textFill>
            <w14:solidFill>
              <w14:schemeClr w14:val="tx1"/>
            </w14:solidFill>
          </w14:textFill>
        </w:rPr>
        <w:t>以</w:t>
      </w:r>
      <w:permStart w:id="124" w:edGrp="everyone"/>
      <w:r>
        <w:rPr>
          <w:rFonts w:hint="eastAsia"/>
          <w:color w:val="000000" w:themeColor="text1"/>
          <w:szCs w:val="21"/>
          <w14:textFill>
            <w14:solidFill>
              <w14:schemeClr w14:val="tx1"/>
            </w14:solidFill>
          </w14:textFill>
        </w:rPr>
        <w:t>【】</w:t>
      </w:r>
      <w:permEnd w:id="124"/>
      <w:r>
        <w:rPr>
          <w:rFonts w:hint="eastAsia"/>
          <w:color w:val="000000" w:themeColor="text1"/>
          <w:szCs w:val="21"/>
          <w14:textFill>
            <w14:solidFill>
              <w14:schemeClr w14:val="tx1"/>
            </w14:solidFill>
          </w14:textFill>
        </w:rPr>
        <w:t>方式共有本合同抵押物，本人作为本合同抵押物的共有人，亦作为抵押人同意以本合同项下抵押物按本合同约定的方式，为乙方对甲方在本合同项下享有的全部债权向乙方提供抵押担保，乙方对本合同项下抵押物享有全部优先受偿权，未经乙方书面同意，本人不得变更抵押物共有性质和状态（包括但不限于共同共有转为按份共有、按份共有转为共同共有、按份共有份额发生变化）。本人已知悉并同意接受本合同全部条款。</w:t>
      </w:r>
    </w:p>
    <w:p>
      <w:pPr>
        <w:adjustRightInd w:val="0"/>
        <w:spacing w:line="380" w:lineRule="exact"/>
        <w:ind w:firstLine="420" w:firstLineChars="200"/>
        <w:contextualSpacing/>
        <w:rPr>
          <w:color w:val="000000" w:themeColor="text1"/>
          <w:szCs w:val="21"/>
          <w14:textFill>
            <w14:solidFill>
              <w14:schemeClr w14:val="tx1"/>
            </w14:solidFill>
          </w14:textFill>
        </w:rPr>
      </w:pPr>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抵押物共有人</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抵押人签字：</w:t>
      </w:r>
    </w:p>
    <w:p>
      <w:pPr>
        <w:snapToGrid w:val="0"/>
        <w:spacing w:line="38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身份证件名称及号码：</w:t>
      </w:r>
    </w:p>
    <w:p>
      <w:pPr>
        <w:tabs>
          <w:tab w:val="left" w:pos="5101"/>
        </w:tabs>
        <w:snapToGrid w:val="0"/>
        <w:spacing w:line="380" w:lineRule="exact"/>
        <w:rPr>
          <w:color w:val="000000" w:themeColor="text1"/>
          <w:szCs w:val="21"/>
          <w14:textFill>
            <w14:solidFill>
              <w14:schemeClr w14:val="tx1"/>
            </w14:solidFill>
          </w14:textFill>
        </w:rPr>
      </w:pP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年</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月</w:t>
      </w:r>
      <w:r>
        <w:rPr>
          <w:color w:val="000000" w:themeColor="text1"/>
          <w:sz w:val="22"/>
          <w:szCs w:val="21"/>
          <w:u w:val="single"/>
          <w14:textFill>
            <w14:solidFill>
              <w14:schemeClr w14:val="tx1"/>
            </w14:solidFill>
          </w14:textFill>
        </w:rPr>
        <w:t xml:space="preserve">    </w:t>
      </w:r>
      <w:r>
        <w:rPr>
          <w:rFonts w:hint="eastAsia"/>
          <w:color w:val="000000" w:themeColor="text1"/>
          <w:sz w:val="22"/>
          <w:szCs w:val="21"/>
          <w14:textFill>
            <w14:solidFill>
              <w14:schemeClr w14:val="tx1"/>
            </w14:solidFill>
          </w14:textFill>
        </w:rPr>
        <w:t>日</w:t>
      </w:r>
    </w:p>
    <w:p>
      <w:pPr>
        <w:tabs>
          <w:tab w:val="left" w:pos="5101"/>
        </w:tabs>
        <w:snapToGrid w:val="0"/>
        <w:spacing w:line="380" w:lineRule="exact"/>
        <w:rPr>
          <w:rFonts w:ascii="宋体" w:hAnsi="宋体"/>
          <w:color w:val="000000" w:themeColor="text1"/>
          <w:szCs w:val="21"/>
          <w14:textFill>
            <w14:solidFill>
              <w14:schemeClr w14:val="tx1"/>
            </w14:solidFill>
          </w14:textFill>
        </w:rPr>
        <w:sectPr>
          <w:footerReference r:id="rId6" w:type="first"/>
          <w:footerReference r:id="rId5" w:type="default"/>
          <w:pgSz w:w="11906" w:h="16838"/>
          <w:pgMar w:top="851" w:right="1304" w:bottom="851" w:left="1304" w:header="851" w:footer="992" w:gutter="0"/>
          <w:pgNumType w:start="1"/>
          <w:cols w:space="720" w:num="1"/>
          <w:titlePg/>
          <w:docGrid w:type="lines" w:linePitch="312" w:charSpace="0"/>
        </w:sectPr>
      </w:pPr>
    </w:p>
    <w:p>
      <w:pPr>
        <w:tabs>
          <w:tab w:val="left" w:pos="5101"/>
        </w:tabs>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w:t>
      </w:r>
    </w:p>
    <w:p>
      <w:pPr>
        <w:spacing w:line="380" w:lineRule="exact"/>
        <w:jc w:val="center"/>
        <w:rPr>
          <w:rFonts w:ascii="宋体" w:hAnsi="宋体"/>
          <w:b/>
          <w:color w:val="000000" w:themeColor="text1"/>
          <w:sz w:val="32"/>
          <w:szCs w:val="21"/>
          <w14:textFill>
            <w14:solidFill>
              <w14:schemeClr w14:val="tx1"/>
            </w14:solidFill>
          </w14:textFill>
        </w:rPr>
      </w:pPr>
      <w:r>
        <w:rPr>
          <w:rFonts w:hint="eastAsia" w:ascii="宋体" w:hAnsi="宋体"/>
          <w:b/>
          <w:color w:val="000000" w:themeColor="text1"/>
          <w:sz w:val="32"/>
          <w:szCs w:val="21"/>
          <w14:textFill>
            <w14:solidFill>
              <w14:schemeClr w14:val="tx1"/>
            </w14:solidFill>
          </w14:textFill>
        </w:rPr>
        <w:t>个人抵押房产清单</w:t>
      </w:r>
    </w:p>
    <w:p>
      <w:pPr>
        <w:snapToGrid w:val="0"/>
        <w:spacing w:line="38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tbl>
      <w:tblPr>
        <w:tblStyle w:val="1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1859"/>
        <w:gridCol w:w="1559"/>
        <w:gridCol w:w="3232"/>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31"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房屋坐落</w:t>
            </w:r>
          </w:p>
        </w:tc>
        <w:tc>
          <w:tcPr>
            <w:tcW w:w="6660" w:type="dxa"/>
            <w:gridSpan w:val="4"/>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25" w:edGrp="everyone"/>
            <w:r>
              <w:rPr>
                <w:rFonts w:hint="eastAsia"/>
                <w:color w:val="000000" w:themeColor="text1"/>
                <w:szCs w:val="21"/>
                <w14:textFill>
                  <w14:solidFill>
                    <w14:schemeClr w14:val="tx1"/>
                  </w14:solidFill>
                </w14:textFill>
              </w:rPr>
              <w:t>【】</w:t>
            </w:r>
            <w:perm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31" w:type="dxa"/>
            <w:vMerge w:val="restart"/>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房屋产权人</w:t>
            </w:r>
            <w:r>
              <w:rPr>
                <w:rFonts w:ascii="宋体" w:hAnsi="宋体"/>
                <w:color w:val="000000" w:themeColor="text1"/>
                <w:sz w:val="22"/>
                <w:szCs w:val="21"/>
                <w14:textFill>
                  <w14:solidFill>
                    <w14:schemeClr w14:val="tx1"/>
                  </w14:solidFill>
                </w14:textFill>
              </w:rPr>
              <w:t>1</w:t>
            </w:r>
          </w:p>
        </w:tc>
        <w:tc>
          <w:tcPr>
            <w:tcW w:w="1859" w:type="dxa"/>
            <w:vMerge w:val="restart"/>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26" w:edGrp="everyone"/>
            <w:r>
              <w:rPr>
                <w:rFonts w:hint="eastAsia"/>
                <w:color w:val="000000" w:themeColor="text1"/>
                <w:szCs w:val="21"/>
                <w14:textFill>
                  <w14:solidFill>
                    <w14:schemeClr w14:val="tx1"/>
                  </w14:solidFill>
                </w14:textFill>
              </w:rPr>
              <w:t>【】</w:t>
            </w:r>
            <w:permEnd w:id="126"/>
          </w:p>
        </w:tc>
        <w:tc>
          <w:tcPr>
            <w:tcW w:w="1559"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身份证件</w:t>
            </w:r>
            <w:r>
              <w:rPr>
                <w:rFonts w:ascii="宋体" w:hAnsi="宋体"/>
                <w:color w:val="000000" w:themeColor="text1"/>
                <w:sz w:val="22"/>
                <w:szCs w:val="21"/>
                <w14:textFill>
                  <w14:solidFill>
                    <w14:schemeClr w14:val="tx1"/>
                  </w14:solidFill>
                </w14:textFill>
              </w:rPr>
              <w:t>名称</w:t>
            </w:r>
          </w:p>
        </w:tc>
        <w:tc>
          <w:tcPr>
            <w:tcW w:w="3242" w:type="dxa"/>
            <w:gridSpan w:val="2"/>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27" w:edGrp="everyone"/>
            <w:r>
              <w:rPr>
                <w:rFonts w:hint="eastAsia"/>
                <w:color w:val="000000" w:themeColor="text1"/>
                <w:szCs w:val="21"/>
                <w14:textFill>
                  <w14:solidFill>
                    <w14:schemeClr w14:val="tx1"/>
                  </w14:solidFill>
                </w14:textFill>
              </w:rPr>
              <w:t>【】</w:t>
            </w:r>
            <w:perm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531" w:type="dxa"/>
            <w:vMerge w:val="continue"/>
            <w:vAlign w:val="center"/>
          </w:tcPr>
          <w:p>
            <w:pPr>
              <w:snapToGrid w:val="0"/>
              <w:spacing w:line="380" w:lineRule="exact"/>
              <w:rPr>
                <w:rFonts w:ascii="宋体" w:hAnsi="宋体"/>
                <w:color w:val="000000" w:themeColor="text1"/>
                <w:sz w:val="22"/>
                <w:szCs w:val="21"/>
                <w14:textFill>
                  <w14:solidFill>
                    <w14:schemeClr w14:val="tx1"/>
                  </w14:solidFill>
                </w14:textFill>
              </w:rPr>
            </w:pPr>
          </w:p>
        </w:tc>
        <w:tc>
          <w:tcPr>
            <w:tcW w:w="1859" w:type="dxa"/>
            <w:vMerge w:val="continue"/>
            <w:vAlign w:val="center"/>
          </w:tcPr>
          <w:p>
            <w:pPr>
              <w:snapToGrid w:val="0"/>
              <w:spacing w:line="380" w:lineRule="exact"/>
              <w:rPr>
                <w:rFonts w:ascii="宋体" w:hAnsi="宋体"/>
                <w:color w:val="000000" w:themeColor="text1"/>
                <w:sz w:val="22"/>
                <w:szCs w:val="21"/>
                <w14:textFill>
                  <w14:solidFill>
                    <w14:schemeClr w14:val="tx1"/>
                  </w14:solidFill>
                </w14:textFill>
              </w:rPr>
            </w:pPr>
          </w:p>
        </w:tc>
        <w:tc>
          <w:tcPr>
            <w:tcW w:w="1559"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身份证件号码</w:t>
            </w:r>
          </w:p>
        </w:tc>
        <w:tc>
          <w:tcPr>
            <w:tcW w:w="3242" w:type="dxa"/>
            <w:gridSpan w:val="2"/>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28" w:edGrp="everyone"/>
            <w:r>
              <w:rPr>
                <w:rFonts w:hint="eastAsia"/>
                <w:color w:val="000000" w:themeColor="text1"/>
                <w:szCs w:val="21"/>
                <w14:textFill>
                  <w14:solidFill>
                    <w14:schemeClr w14:val="tx1"/>
                  </w14:solidFill>
                </w14:textFill>
              </w:rPr>
              <w:t>【】</w:t>
            </w:r>
            <w:perm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31" w:type="dxa"/>
            <w:vMerge w:val="restart"/>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房屋产权</w:t>
            </w:r>
            <w:r>
              <w:rPr>
                <w:rFonts w:ascii="宋体" w:hAnsi="宋体"/>
                <w:color w:val="000000" w:themeColor="text1"/>
                <w:sz w:val="22"/>
                <w:szCs w:val="21"/>
                <w14:textFill>
                  <w14:solidFill>
                    <w14:schemeClr w14:val="tx1"/>
                  </w14:solidFill>
                </w14:textFill>
              </w:rPr>
              <w:t>人2</w:t>
            </w:r>
          </w:p>
        </w:tc>
        <w:tc>
          <w:tcPr>
            <w:tcW w:w="1859" w:type="dxa"/>
            <w:vMerge w:val="restart"/>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29" w:edGrp="everyone"/>
            <w:r>
              <w:rPr>
                <w:rFonts w:hint="eastAsia"/>
                <w:color w:val="000000" w:themeColor="text1"/>
                <w:szCs w:val="21"/>
                <w14:textFill>
                  <w14:solidFill>
                    <w14:schemeClr w14:val="tx1"/>
                  </w14:solidFill>
                </w14:textFill>
              </w:rPr>
              <w:t>【】</w:t>
            </w:r>
            <w:permEnd w:id="129"/>
          </w:p>
        </w:tc>
        <w:tc>
          <w:tcPr>
            <w:tcW w:w="1559"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身份证件</w:t>
            </w:r>
            <w:r>
              <w:rPr>
                <w:rFonts w:ascii="宋体" w:hAnsi="宋体"/>
                <w:color w:val="000000" w:themeColor="text1"/>
                <w:sz w:val="22"/>
                <w:szCs w:val="21"/>
                <w14:textFill>
                  <w14:solidFill>
                    <w14:schemeClr w14:val="tx1"/>
                  </w14:solidFill>
                </w14:textFill>
              </w:rPr>
              <w:t>名称</w:t>
            </w:r>
          </w:p>
        </w:tc>
        <w:tc>
          <w:tcPr>
            <w:tcW w:w="3242" w:type="dxa"/>
            <w:gridSpan w:val="2"/>
            <w:vAlign w:val="center"/>
          </w:tcPr>
          <w:p>
            <w:pPr>
              <w:snapToGrid w:val="0"/>
              <w:spacing w:line="380" w:lineRule="exact"/>
              <w:rPr>
                <w:rFonts w:ascii="宋体" w:hAnsi="宋体"/>
                <w:color w:val="000000" w:themeColor="text1"/>
                <w:sz w:val="22"/>
                <w:szCs w:val="21"/>
                <w:u w:val="single"/>
                <w14:textFill>
                  <w14:solidFill>
                    <w14:schemeClr w14:val="tx1"/>
                  </w14:solidFill>
                </w14:textFill>
              </w:rPr>
            </w:pPr>
            <w:permStart w:id="130" w:edGrp="everyone"/>
            <w:r>
              <w:rPr>
                <w:rFonts w:hint="eastAsia"/>
                <w:color w:val="000000" w:themeColor="text1"/>
                <w:szCs w:val="21"/>
                <w14:textFill>
                  <w14:solidFill>
                    <w14:schemeClr w14:val="tx1"/>
                  </w14:solidFill>
                </w14:textFill>
              </w:rPr>
              <w:t>【】</w:t>
            </w:r>
            <w:perm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531" w:type="dxa"/>
            <w:vMerge w:val="continue"/>
            <w:vAlign w:val="center"/>
          </w:tcPr>
          <w:p>
            <w:pPr>
              <w:snapToGrid w:val="0"/>
              <w:spacing w:line="380" w:lineRule="exact"/>
              <w:rPr>
                <w:rFonts w:ascii="宋体" w:hAnsi="宋体"/>
                <w:color w:val="000000" w:themeColor="text1"/>
                <w:sz w:val="22"/>
                <w:szCs w:val="21"/>
                <w14:textFill>
                  <w14:solidFill>
                    <w14:schemeClr w14:val="tx1"/>
                  </w14:solidFill>
                </w14:textFill>
              </w:rPr>
            </w:pPr>
          </w:p>
        </w:tc>
        <w:tc>
          <w:tcPr>
            <w:tcW w:w="1859" w:type="dxa"/>
            <w:vMerge w:val="continue"/>
            <w:vAlign w:val="center"/>
          </w:tcPr>
          <w:p>
            <w:pPr>
              <w:snapToGrid w:val="0"/>
              <w:spacing w:line="380" w:lineRule="exact"/>
              <w:rPr>
                <w:rFonts w:ascii="宋体" w:hAnsi="宋体"/>
                <w:color w:val="000000" w:themeColor="text1"/>
                <w:sz w:val="22"/>
                <w:szCs w:val="21"/>
                <w14:textFill>
                  <w14:solidFill>
                    <w14:schemeClr w14:val="tx1"/>
                  </w14:solidFill>
                </w14:textFill>
              </w:rPr>
            </w:pPr>
          </w:p>
        </w:tc>
        <w:tc>
          <w:tcPr>
            <w:tcW w:w="1559"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身份证件号码</w:t>
            </w:r>
          </w:p>
        </w:tc>
        <w:tc>
          <w:tcPr>
            <w:tcW w:w="3242" w:type="dxa"/>
            <w:gridSpan w:val="2"/>
            <w:vAlign w:val="center"/>
          </w:tcPr>
          <w:p>
            <w:pPr>
              <w:snapToGrid w:val="0"/>
              <w:spacing w:line="380" w:lineRule="exact"/>
              <w:rPr>
                <w:rFonts w:ascii="宋体" w:hAnsi="宋体"/>
                <w:color w:val="000000" w:themeColor="text1"/>
                <w:sz w:val="22"/>
                <w:szCs w:val="21"/>
                <w:u w:val="single"/>
                <w14:textFill>
                  <w14:solidFill>
                    <w14:schemeClr w14:val="tx1"/>
                  </w14:solidFill>
                </w14:textFill>
              </w:rPr>
            </w:pPr>
            <w:permStart w:id="131" w:edGrp="everyone"/>
            <w:r>
              <w:rPr>
                <w:rFonts w:hint="eastAsia"/>
                <w:color w:val="000000" w:themeColor="text1"/>
                <w:szCs w:val="21"/>
                <w14:textFill>
                  <w14:solidFill>
                    <w14:schemeClr w14:val="tx1"/>
                  </w14:solidFill>
                </w14:textFill>
              </w:rPr>
              <w:t>【】</w:t>
            </w:r>
            <w:permEnd w:id="1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31"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房屋</w:t>
            </w:r>
            <w:r>
              <w:rPr>
                <w:rFonts w:ascii="宋体" w:hAnsi="宋体"/>
                <w:color w:val="000000" w:themeColor="text1"/>
                <w:sz w:val="22"/>
                <w:szCs w:val="21"/>
                <w14:textFill>
                  <w14:solidFill>
                    <w14:schemeClr w14:val="tx1"/>
                  </w14:solidFill>
                </w14:textFill>
              </w:rPr>
              <w:t>类别</w:t>
            </w:r>
          </w:p>
        </w:tc>
        <w:tc>
          <w:tcPr>
            <w:tcW w:w="1859" w:type="dxa"/>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32" w:edGrp="everyone"/>
            <w:r>
              <w:rPr>
                <w:rFonts w:hint="eastAsia"/>
                <w:color w:val="000000" w:themeColor="text1"/>
                <w:szCs w:val="21"/>
                <w14:textFill>
                  <w14:solidFill>
                    <w14:schemeClr w14:val="tx1"/>
                  </w14:solidFill>
                </w14:textFill>
              </w:rPr>
              <w:t>【】</w:t>
            </w:r>
            <w:permEnd w:id="132"/>
          </w:p>
        </w:tc>
        <w:tc>
          <w:tcPr>
            <w:tcW w:w="1559" w:type="dxa"/>
            <w:vAlign w:val="center"/>
          </w:tcPr>
          <w:p>
            <w:pPr>
              <w:snapToGrid w:val="0"/>
              <w:spacing w:line="380" w:lineRule="exact"/>
              <w:rPr>
                <w:rFonts w:ascii="宋体" w:hAnsi="宋体"/>
                <w:color w:val="000000" w:themeColor="text1"/>
                <w:sz w:val="22"/>
                <w:szCs w:val="21"/>
                <w:u w:val="single"/>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建筑面积</w:t>
            </w:r>
          </w:p>
        </w:tc>
        <w:tc>
          <w:tcPr>
            <w:tcW w:w="3242" w:type="dxa"/>
            <w:gridSpan w:val="2"/>
            <w:vAlign w:val="center"/>
          </w:tcPr>
          <w:p>
            <w:pPr>
              <w:snapToGrid w:val="0"/>
              <w:spacing w:line="380" w:lineRule="exact"/>
              <w:rPr>
                <w:rFonts w:ascii="宋体" w:hAnsi="宋体"/>
                <w:color w:val="000000" w:themeColor="text1"/>
                <w:sz w:val="22"/>
                <w:szCs w:val="21"/>
                <w:u w:val="single"/>
                <w14:textFill>
                  <w14:solidFill>
                    <w14:schemeClr w14:val="tx1"/>
                  </w14:solidFill>
                </w14:textFill>
              </w:rPr>
            </w:pPr>
            <w:permStart w:id="133" w:edGrp="everyone"/>
            <w:r>
              <w:rPr>
                <w:rFonts w:hint="eastAsia"/>
                <w:color w:val="000000" w:themeColor="text1"/>
                <w:szCs w:val="21"/>
                <w14:textFill>
                  <w14:solidFill>
                    <w14:schemeClr w14:val="tx1"/>
                  </w14:solidFill>
                </w14:textFill>
              </w:rPr>
              <w:t>【】</w:t>
            </w:r>
            <w:perm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31"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评估价值</w:t>
            </w:r>
            <w:r>
              <w:rPr>
                <w:rFonts w:ascii="宋体" w:hAnsi="宋体"/>
                <w:color w:val="000000" w:themeColor="text1"/>
                <w:sz w:val="22"/>
                <w:szCs w:val="21"/>
                <w14:textFill>
                  <w14:solidFill>
                    <w14:schemeClr w14:val="tx1"/>
                  </w14:solidFill>
                </w14:textFill>
              </w:rPr>
              <w:t>/</w:t>
            </w:r>
            <w:r>
              <w:rPr>
                <w:rFonts w:hint="eastAsia" w:ascii="宋体" w:hAnsi="宋体"/>
                <w:bCs/>
                <w:color w:val="000000" w:themeColor="text1"/>
                <w:sz w:val="22"/>
                <w:szCs w:val="21"/>
                <w14:textFill>
                  <w14:solidFill>
                    <w14:schemeClr w14:val="tx1"/>
                  </w14:solidFill>
                </w14:textFill>
              </w:rPr>
              <w:t>购买总价</w:t>
            </w:r>
          </w:p>
        </w:tc>
        <w:tc>
          <w:tcPr>
            <w:tcW w:w="1859"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w:t>
            </w:r>
            <w:permStart w:id="134" w:edGrp="everyone"/>
            <w:r>
              <w:rPr>
                <w:rFonts w:hint="eastAsia"/>
                <w:color w:val="000000" w:themeColor="text1"/>
                <w:szCs w:val="21"/>
                <w14:textFill>
                  <w14:solidFill>
                    <w14:schemeClr w14:val="tx1"/>
                  </w14:solidFill>
                </w14:textFill>
              </w:rPr>
              <w:t>【】</w:t>
            </w:r>
            <w:permEnd w:id="134"/>
          </w:p>
        </w:tc>
        <w:tc>
          <w:tcPr>
            <w:tcW w:w="1559"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单价</w:t>
            </w:r>
          </w:p>
        </w:tc>
        <w:tc>
          <w:tcPr>
            <w:tcW w:w="3242" w:type="dxa"/>
            <w:gridSpan w:val="2"/>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w:t>
            </w:r>
            <w:permStart w:id="135" w:edGrp="everyone"/>
            <w:r>
              <w:rPr>
                <w:rFonts w:hint="eastAsia"/>
                <w:color w:val="000000" w:themeColor="text1"/>
                <w:szCs w:val="21"/>
                <w14:textFill>
                  <w14:solidFill>
                    <w14:schemeClr w14:val="tx1"/>
                  </w14:solidFill>
                </w14:textFill>
              </w:rPr>
              <w:t>【】</w:t>
            </w:r>
            <w:perm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31"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抵押房产开发商</w:t>
            </w:r>
          </w:p>
        </w:tc>
        <w:tc>
          <w:tcPr>
            <w:tcW w:w="6660" w:type="dxa"/>
            <w:gridSpan w:val="4"/>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36" w:edGrp="everyone"/>
            <w:r>
              <w:rPr>
                <w:rFonts w:hint="eastAsia"/>
                <w:color w:val="000000" w:themeColor="text1"/>
                <w:szCs w:val="21"/>
                <w14:textFill>
                  <w14:solidFill>
                    <w14:schemeClr w14:val="tx1"/>
                  </w14:solidFill>
                </w14:textFill>
              </w:rPr>
              <w:t>【】</w:t>
            </w:r>
            <w:perm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84" w:hRule="atLeast"/>
          <w:jc w:val="center"/>
        </w:trPr>
        <w:tc>
          <w:tcPr>
            <w:tcW w:w="2531"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购房合同名称及编号</w:t>
            </w:r>
          </w:p>
        </w:tc>
        <w:tc>
          <w:tcPr>
            <w:tcW w:w="6650" w:type="dxa"/>
            <w:gridSpan w:val="3"/>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37" w:edGrp="everyone"/>
            <w:r>
              <w:rPr>
                <w:rFonts w:hint="eastAsia"/>
                <w:color w:val="000000" w:themeColor="text1"/>
                <w:szCs w:val="21"/>
                <w14:textFill>
                  <w14:solidFill>
                    <w14:schemeClr w14:val="tx1"/>
                  </w14:solidFill>
                </w14:textFill>
              </w:rPr>
              <w:t>【】</w:t>
            </w:r>
            <w:perm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84" w:hRule="atLeast"/>
          <w:jc w:val="center"/>
        </w:trPr>
        <w:tc>
          <w:tcPr>
            <w:tcW w:w="2531"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预售合同登记、备案机关</w:t>
            </w:r>
          </w:p>
        </w:tc>
        <w:tc>
          <w:tcPr>
            <w:tcW w:w="6650" w:type="dxa"/>
            <w:gridSpan w:val="3"/>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38" w:edGrp="everyone"/>
            <w:r>
              <w:rPr>
                <w:rFonts w:hint="eastAsia"/>
                <w:color w:val="000000" w:themeColor="text1"/>
                <w:szCs w:val="21"/>
                <w14:textFill>
                  <w14:solidFill>
                    <w14:schemeClr w14:val="tx1"/>
                  </w14:solidFill>
                </w14:textFill>
              </w:rPr>
              <w:t>【】</w:t>
            </w:r>
            <w:perm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84" w:hRule="atLeast"/>
          <w:jc w:val="center"/>
        </w:trPr>
        <w:tc>
          <w:tcPr>
            <w:tcW w:w="2531" w:type="dxa"/>
            <w:vAlign w:val="center"/>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权属证明</w:t>
            </w:r>
            <w:r>
              <w:rPr>
                <w:rFonts w:ascii="宋体" w:hAnsi="宋体"/>
                <w:color w:val="000000" w:themeColor="text1"/>
                <w:sz w:val="22"/>
                <w:szCs w:val="22"/>
                <w14:textFill>
                  <w14:solidFill>
                    <w14:schemeClr w14:val="tx1"/>
                  </w14:solidFill>
                </w14:textFill>
              </w:rPr>
              <w:t>及编号</w:t>
            </w:r>
          </w:p>
        </w:tc>
        <w:tc>
          <w:tcPr>
            <w:tcW w:w="6650" w:type="dxa"/>
            <w:gridSpan w:val="3"/>
            <w:vAlign w:val="center"/>
          </w:tcPr>
          <w:p>
            <w:pPr>
              <w:snapToGrid w:val="0"/>
              <w:spacing w:line="380" w:lineRule="exact"/>
              <w:rPr>
                <w:rFonts w:ascii="宋体" w:hAnsi="宋体"/>
                <w:color w:val="000000" w:themeColor="text1"/>
                <w:sz w:val="22"/>
                <w:szCs w:val="21"/>
                <w14:textFill>
                  <w14:solidFill>
                    <w14:schemeClr w14:val="tx1"/>
                  </w14:solidFill>
                </w14:textFill>
              </w:rPr>
            </w:pPr>
            <w:permStart w:id="139" w:edGrp="everyone"/>
            <w:r>
              <w:rPr>
                <w:rFonts w:hint="eastAsia"/>
                <w:color w:val="000000" w:themeColor="text1"/>
                <w:szCs w:val="21"/>
                <w14:textFill>
                  <w14:solidFill>
                    <w14:schemeClr w14:val="tx1"/>
                  </w14:solidFill>
                </w14:textFill>
              </w:rPr>
              <w:t>【】</w:t>
            </w:r>
            <w:perm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84" w:hRule="atLeast"/>
          <w:jc w:val="center"/>
        </w:trPr>
        <w:tc>
          <w:tcPr>
            <w:tcW w:w="9181" w:type="dxa"/>
            <w:gridSpan w:val="4"/>
          </w:tcPr>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备注：</w:t>
            </w:r>
          </w:p>
          <w:p>
            <w:pPr>
              <w:snapToGrid w:val="0"/>
              <w:spacing w:line="380" w:lineRule="exact"/>
              <w:ind w:firstLine="420" w:firstLineChars="200"/>
              <w:rPr>
                <w:rFonts w:ascii="宋体" w:hAnsi="宋体"/>
                <w:color w:val="000000" w:themeColor="text1"/>
                <w:sz w:val="22"/>
                <w:szCs w:val="21"/>
                <w14:textFill>
                  <w14:solidFill>
                    <w14:schemeClr w14:val="tx1"/>
                  </w14:solidFill>
                </w14:textFill>
              </w:rPr>
            </w:pPr>
            <w:permStart w:id="140" w:edGrp="everyone"/>
            <w:r>
              <w:rPr>
                <w:rFonts w:hint="eastAsia"/>
                <w:color w:val="000000" w:themeColor="text1"/>
                <w:szCs w:val="21"/>
                <w14:textFill>
                  <w14:solidFill>
                    <w14:schemeClr w14:val="tx1"/>
                  </w14:solidFill>
                </w14:textFill>
              </w:rPr>
              <w:t>【】</w:t>
            </w:r>
            <w:permEnd w:id="140"/>
          </w:p>
          <w:p>
            <w:pPr>
              <w:snapToGrid w:val="0"/>
              <w:spacing w:line="380" w:lineRule="exact"/>
              <w:ind w:firstLine="440" w:firstLineChars="200"/>
              <w:rPr>
                <w:rFonts w:ascii="宋体" w:hAnsi="宋体"/>
                <w:color w:val="000000" w:themeColor="text1"/>
                <w:sz w:val="22"/>
                <w:szCs w:val="21"/>
                <w14:textFill>
                  <w14:solidFill>
                    <w14:schemeClr w14:val="tx1"/>
                  </w14:solidFill>
                </w14:textFill>
              </w:rPr>
            </w:pPr>
          </w:p>
          <w:p>
            <w:pPr>
              <w:snapToGrid w:val="0"/>
              <w:spacing w:line="380" w:lineRule="exact"/>
              <w:ind w:firstLine="440" w:firstLineChars="200"/>
              <w:rPr>
                <w:rFonts w:ascii="宋体" w:hAnsi="宋体"/>
                <w:color w:val="000000" w:themeColor="text1"/>
                <w:sz w:val="22"/>
                <w:szCs w:val="21"/>
                <w14:textFill>
                  <w14:solidFill>
                    <w14:schemeClr w14:val="tx1"/>
                  </w14:solidFill>
                </w14:textFill>
              </w:rPr>
            </w:pPr>
          </w:p>
          <w:p>
            <w:pPr>
              <w:snapToGrid w:val="0"/>
              <w:spacing w:line="380" w:lineRule="exact"/>
              <w:ind w:firstLine="440" w:firstLineChars="200"/>
              <w:rPr>
                <w:rFonts w:ascii="宋体" w:hAnsi="宋体"/>
                <w:color w:val="000000" w:themeColor="text1"/>
                <w:sz w:val="22"/>
                <w:szCs w:val="21"/>
                <w14:textFill>
                  <w14:solidFill>
                    <w14:schemeClr w14:val="tx1"/>
                  </w14:solidFill>
                </w14:textFill>
              </w:rPr>
            </w:pPr>
          </w:p>
          <w:p>
            <w:pPr>
              <w:snapToGrid w:val="0"/>
              <w:spacing w:line="380" w:lineRule="exact"/>
              <w:ind w:firstLine="440" w:firstLineChars="200"/>
              <w:rPr>
                <w:rFonts w:ascii="宋体" w:hAnsi="宋体"/>
                <w:color w:val="000000" w:themeColor="text1"/>
                <w:sz w:val="22"/>
                <w:szCs w:val="21"/>
                <w14:textFill>
                  <w14:solidFill>
                    <w14:schemeClr w14:val="tx1"/>
                  </w14:solidFill>
                </w14:textFill>
              </w:rPr>
            </w:pPr>
          </w:p>
        </w:tc>
      </w:tr>
    </w:tbl>
    <w:p>
      <w:pPr>
        <w:snapToGrid w:val="0"/>
        <w:spacing w:line="380" w:lineRule="exact"/>
        <w:ind w:firstLine="539" w:firstLineChars="257"/>
        <w:rPr>
          <w:rFonts w:ascii="宋体" w:hAnsi="宋体"/>
          <w:color w:val="000000" w:themeColor="text1"/>
          <w:szCs w:val="21"/>
          <w14:textFill>
            <w14:solidFill>
              <w14:schemeClr w14:val="tx1"/>
            </w14:solidFill>
          </w14:textFill>
        </w:rPr>
      </w:pPr>
    </w:p>
    <w:p>
      <w:pPr>
        <w:snapToGrid w:val="0"/>
        <w:spacing w:line="380" w:lineRule="exact"/>
        <w:ind w:firstLine="440" w:firstLineChars="200"/>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本清单一式</w:t>
      </w:r>
      <w:permStart w:id="141" w:edGrp="everyone"/>
      <w:r>
        <w:rPr>
          <w:rFonts w:hint="eastAsia"/>
          <w:color w:val="000000" w:themeColor="text1"/>
          <w:szCs w:val="21"/>
          <w14:textFill>
            <w14:solidFill>
              <w14:schemeClr w14:val="tx1"/>
            </w14:solidFill>
          </w14:textFill>
        </w:rPr>
        <w:t>【】</w:t>
      </w:r>
      <w:permEnd w:id="141"/>
      <w:r>
        <w:rPr>
          <w:rFonts w:hint="eastAsia" w:ascii="宋体" w:hAnsi="宋体"/>
          <w:color w:val="000000" w:themeColor="text1"/>
          <w:sz w:val="22"/>
          <w:szCs w:val="21"/>
          <w14:textFill>
            <w14:solidFill>
              <w14:schemeClr w14:val="tx1"/>
            </w14:solidFill>
          </w14:textFill>
        </w:rPr>
        <w:t>份，抵押人执</w:t>
      </w:r>
      <w:permStart w:id="142" w:edGrp="everyone"/>
      <w:r>
        <w:rPr>
          <w:rFonts w:hint="eastAsia"/>
          <w:color w:val="000000" w:themeColor="text1"/>
          <w:szCs w:val="21"/>
          <w14:textFill>
            <w14:solidFill>
              <w14:schemeClr w14:val="tx1"/>
            </w14:solidFill>
          </w14:textFill>
        </w:rPr>
        <w:t>【】</w:t>
      </w:r>
      <w:permEnd w:id="142"/>
      <w:r>
        <w:rPr>
          <w:rFonts w:hint="eastAsia" w:ascii="宋体" w:hAnsi="宋体"/>
          <w:color w:val="000000" w:themeColor="text1"/>
          <w:sz w:val="22"/>
          <w:szCs w:val="21"/>
          <w14:textFill>
            <w14:solidFill>
              <w14:schemeClr w14:val="tx1"/>
            </w14:solidFill>
          </w14:textFill>
        </w:rPr>
        <w:t>份，抵押权人执</w:t>
      </w:r>
      <w:permStart w:id="143" w:edGrp="everyone"/>
      <w:r>
        <w:rPr>
          <w:rFonts w:hint="eastAsia"/>
          <w:color w:val="000000" w:themeColor="text1"/>
          <w:szCs w:val="21"/>
          <w14:textFill>
            <w14:solidFill>
              <w14:schemeClr w14:val="tx1"/>
            </w14:solidFill>
          </w14:textFill>
        </w:rPr>
        <w:t>【】</w:t>
      </w:r>
      <w:permEnd w:id="143"/>
      <w:r>
        <w:rPr>
          <w:rFonts w:hint="eastAsia" w:ascii="宋体" w:hAnsi="宋体"/>
          <w:color w:val="000000" w:themeColor="text1"/>
          <w:sz w:val="22"/>
          <w:szCs w:val="21"/>
          <w14:textFill>
            <w14:solidFill>
              <w14:schemeClr w14:val="tx1"/>
            </w14:solidFill>
          </w14:textFill>
        </w:rPr>
        <w:t>份，</w:t>
      </w:r>
      <w:r>
        <w:rPr>
          <w:rFonts w:hint="eastAsia" w:ascii="宋体" w:hAnsi="宋体"/>
          <w:bCs/>
          <w:color w:val="000000" w:themeColor="text1"/>
          <w:sz w:val="22"/>
          <w:szCs w:val="21"/>
          <w14:textFill>
            <w14:solidFill>
              <w14:schemeClr w14:val="tx1"/>
            </w14:solidFill>
          </w14:textFill>
        </w:rPr>
        <w:t>抵押登记机关执</w:t>
      </w:r>
      <w:permStart w:id="144" w:edGrp="everyone"/>
      <w:r>
        <w:rPr>
          <w:rFonts w:hint="eastAsia"/>
          <w:color w:val="000000" w:themeColor="text1"/>
          <w:szCs w:val="21"/>
          <w14:textFill>
            <w14:solidFill>
              <w14:schemeClr w14:val="tx1"/>
            </w14:solidFill>
          </w14:textFill>
        </w:rPr>
        <w:t>【】</w:t>
      </w:r>
      <w:permEnd w:id="144"/>
      <w:r>
        <w:rPr>
          <w:rFonts w:hint="eastAsia" w:ascii="宋体" w:hAnsi="宋体"/>
          <w:bCs/>
          <w:color w:val="000000" w:themeColor="text1"/>
          <w:sz w:val="22"/>
          <w:szCs w:val="21"/>
          <w14:textFill>
            <w14:solidFill>
              <w14:schemeClr w14:val="tx1"/>
            </w14:solidFill>
          </w14:textFill>
        </w:rPr>
        <w:t>份，公证机关执</w:t>
      </w:r>
      <w:permStart w:id="145" w:edGrp="everyone"/>
      <w:r>
        <w:rPr>
          <w:rFonts w:hint="eastAsia"/>
          <w:color w:val="000000" w:themeColor="text1"/>
          <w:szCs w:val="21"/>
          <w14:textFill>
            <w14:solidFill>
              <w14:schemeClr w14:val="tx1"/>
            </w14:solidFill>
          </w14:textFill>
        </w:rPr>
        <w:t>【】</w:t>
      </w:r>
      <w:permEnd w:id="145"/>
      <w:r>
        <w:rPr>
          <w:rFonts w:hint="eastAsia" w:ascii="宋体" w:hAnsi="宋体"/>
          <w:bCs/>
          <w:color w:val="000000" w:themeColor="text1"/>
          <w:sz w:val="22"/>
          <w:szCs w:val="21"/>
          <w14:textFill>
            <w14:solidFill>
              <w14:schemeClr w14:val="tx1"/>
            </w14:solidFill>
          </w14:textFill>
        </w:rPr>
        <w:t>份</w:t>
      </w:r>
      <w:r>
        <w:rPr>
          <w:rFonts w:hint="eastAsia" w:ascii="宋体" w:hAnsi="宋体"/>
          <w:color w:val="000000" w:themeColor="text1"/>
          <w:sz w:val="22"/>
          <w:szCs w:val="21"/>
          <w14:textFill>
            <w14:solidFill>
              <w14:schemeClr w14:val="tx1"/>
            </w14:solidFill>
          </w14:textFill>
        </w:rPr>
        <w:t>。</w:t>
      </w:r>
    </w:p>
    <w:p>
      <w:pPr>
        <w:snapToGrid w:val="0"/>
        <w:spacing w:line="380" w:lineRule="exact"/>
        <w:ind w:firstLine="440" w:firstLineChars="200"/>
        <w:rPr>
          <w:rFonts w:ascii="宋体" w:hAnsi="宋体"/>
          <w:bCs/>
          <w:color w:val="000000" w:themeColor="text1"/>
          <w:sz w:val="22"/>
          <w:szCs w:val="21"/>
          <w14:textFill>
            <w14:solidFill>
              <w14:schemeClr w14:val="tx1"/>
            </w14:solidFill>
          </w14:textFill>
        </w:rPr>
      </w:pPr>
      <w:r>
        <w:rPr>
          <w:rFonts w:hint="eastAsia" w:ascii="宋体" w:hAnsi="宋体"/>
          <w:bCs/>
          <w:color w:val="000000" w:themeColor="text1"/>
          <w:sz w:val="22"/>
          <w:szCs w:val="21"/>
          <w14:textFill>
            <w14:solidFill>
              <w14:schemeClr w14:val="tx1"/>
            </w14:solidFill>
          </w14:textFill>
        </w:rPr>
        <w:t>抵押人承诺上述清单中记载的抵押物内容真实、合法、有效。</w:t>
      </w:r>
    </w:p>
    <w:p>
      <w:pPr>
        <w:snapToGrid w:val="0"/>
        <w:spacing w:line="380" w:lineRule="exact"/>
        <w:rPr>
          <w:rFonts w:ascii="宋体" w:hAnsi="宋体"/>
          <w:color w:val="000000" w:themeColor="text1"/>
          <w:sz w:val="22"/>
          <w:szCs w:val="21"/>
          <w14:textFill>
            <w14:solidFill>
              <w14:schemeClr w14:val="tx1"/>
            </w14:solidFill>
          </w14:textFill>
        </w:rPr>
      </w:pPr>
    </w:p>
    <w:p>
      <w:pPr>
        <w:snapToGrid w:val="0"/>
        <w:spacing w:line="380" w:lineRule="exact"/>
        <w:rPr>
          <w:rFonts w:ascii="宋体" w:hAnsi="宋体"/>
          <w:color w:val="000000" w:themeColor="text1"/>
          <w:sz w:val="22"/>
          <w:szCs w:val="21"/>
          <w14:textFill>
            <w14:solidFill>
              <w14:schemeClr w14:val="tx1"/>
            </w14:solidFill>
          </w14:textFill>
        </w:rPr>
      </w:pPr>
    </w:p>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抵押人（签字）：</w:t>
      </w:r>
      <w:r>
        <w:rPr>
          <w:rFonts w:ascii="宋体" w:hAnsi="宋体"/>
          <w:color w:val="000000" w:themeColor="text1"/>
          <w:sz w:val="22"/>
          <w:szCs w:val="21"/>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抵押物共有人（签字）：</w:t>
      </w:r>
    </w:p>
    <w:p>
      <w:pPr>
        <w:spacing w:line="380" w:lineRule="exact"/>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年</w:t>
      </w:r>
      <w:r>
        <w:rPr>
          <w:rFonts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月</w:t>
      </w:r>
      <w:r>
        <w:rPr>
          <w:rFonts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日</w:t>
      </w:r>
      <w:r>
        <w:rPr>
          <w:rFonts w:ascii="宋体" w:hAnsi="宋体"/>
          <w:color w:val="000000" w:themeColor="text1"/>
          <w:sz w:val="22"/>
          <w:szCs w:val="21"/>
          <w14:textFill>
            <w14:solidFill>
              <w14:schemeClr w14:val="tx1"/>
            </w14:solidFill>
          </w14:textFill>
        </w:rPr>
        <w:t xml:space="preserve">                       </w:t>
      </w:r>
      <w:r>
        <w:rPr>
          <w:rFonts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年</w:t>
      </w:r>
      <w:r>
        <w:rPr>
          <w:rFonts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月</w:t>
      </w:r>
      <w:r>
        <w:rPr>
          <w:rFonts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日</w:t>
      </w:r>
    </w:p>
    <w:p>
      <w:pPr>
        <w:spacing w:line="380" w:lineRule="exact"/>
        <w:jc w:val="center"/>
        <w:rPr>
          <w:rFonts w:ascii="宋体" w:hAnsi="宋体"/>
          <w:color w:val="000000" w:themeColor="text1"/>
          <w:sz w:val="22"/>
          <w:szCs w:val="21"/>
          <w14:textFill>
            <w14:solidFill>
              <w14:schemeClr w14:val="tx1"/>
            </w14:solidFill>
          </w14:textFill>
        </w:rPr>
      </w:pPr>
    </w:p>
    <w:p>
      <w:pPr>
        <w:spacing w:line="380" w:lineRule="exact"/>
        <w:jc w:val="center"/>
        <w:rPr>
          <w:rFonts w:ascii="宋体" w:hAnsi="宋体"/>
          <w:color w:val="000000" w:themeColor="text1"/>
          <w:sz w:val="22"/>
          <w:szCs w:val="21"/>
          <w14:textFill>
            <w14:solidFill>
              <w14:schemeClr w14:val="tx1"/>
            </w14:solidFill>
          </w14:textFill>
        </w:rPr>
      </w:pPr>
    </w:p>
    <w:p>
      <w:pPr>
        <w:spacing w:line="380" w:lineRule="exact"/>
        <w:jc w:val="center"/>
        <w:rPr>
          <w:rFonts w:ascii="宋体" w:hAnsi="宋体"/>
          <w:color w:val="000000" w:themeColor="text1"/>
          <w:sz w:val="22"/>
          <w:szCs w:val="21"/>
          <w14:textFill>
            <w14:solidFill>
              <w14:schemeClr w14:val="tx1"/>
            </w14:solidFill>
          </w14:textFill>
        </w:rPr>
      </w:pPr>
    </w:p>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抵押权人（盖章）：</w:t>
      </w:r>
    </w:p>
    <w:p>
      <w:pPr>
        <w:snapToGrid w:val="0"/>
        <w:spacing w:line="380" w:lineRule="exact"/>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抵押</w:t>
      </w:r>
      <w:r>
        <w:rPr>
          <w:rFonts w:ascii="宋体" w:hAnsi="宋体"/>
          <w:color w:val="000000" w:themeColor="text1"/>
          <w:sz w:val="22"/>
          <w:szCs w:val="21"/>
          <w14:textFill>
            <w14:solidFill>
              <w14:schemeClr w14:val="tx1"/>
            </w14:solidFill>
          </w14:textFill>
        </w:rPr>
        <w:t>权人</w:t>
      </w:r>
      <w:r>
        <w:rPr>
          <w:rFonts w:hint="eastAsia" w:ascii="宋体" w:hAnsi="宋体"/>
          <w:color w:val="000000" w:themeColor="text1"/>
          <w:sz w:val="22"/>
          <w:szCs w:val="21"/>
          <w14:textFill>
            <w14:solidFill>
              <w14:schemeClr w14:val="tx1"/>
            </w14:solidFill>
          </w14:textFill>
        </w:rPr>
        <w:t>负责人或授权代理人（</w:t>
      </w:r>
      <w:r>
        <w:rPr>
          <w:rFonts w:hint="eastAsia" w:ascii="宋体" w:hAnsi="宋体"/>
          <w:color w:val="000000" w:themeColor="text1"/>
          <w:szCs w:val="21"/>
          <w14:textFill>
            <w14:solidFill>
              <w14:schemeClr w14:val="tx1"/>
            </w14:solidFill>
          </w14:textFill>
        </w:rPr>
        <w:t>签字或</w:t>
      </w:r>
      <w:r>
        <w:rPr>
          <w:rFonts w:ascii="宋体" w:hAnsi="宋体"/>
          <w:color w:val="000000" w:themeColor="text1"/>
          <w:szCs w:val="21"/>
          <w14:textFill>
            <w14:solidFill>
              <w14:schemeClr w14:val="tx1"/>
            </w14:solidFill>
          </w14:textFill>
        </w:rPr>
        <w:t>加盖名章</w:t>
      </w:r>
      <w:r>
        <w:rPr>
          <w:rFonts w:hint="eastAsia" w:ascii="宋体" w:hAnsi="宋体"/>
          <w:color w:val="000000" w:themeColor="text1"/>
          <w:sz w:val="22"/>
          <w:szCs w:val="21"/>
          <w14:textFill>
            <w14:solidFill>
              <w14:schemeClr w14:val="tx1"/>
            </w14:solidFill>
          </w14:textFill>
        </w:rPr>
        <w:t>）：</w:t>
      </w:r>
    </w:p>
    <w:p>
      <w:pPr>
        <w:snapToGrid w:val="0"/>
        <w:spacing w:line="380" w:lineRule="exact"/>
        <w:rPr>
          <w:color w:val="000000" w:themeColor="text1"/>
          <w14:textFill>
            <w14:solidFill>
              <w14:schemeClr w14:val="tx1"/>
            </w14:solidFill>
          </w14:textFill>
        </w:rPr>
      </w:pPr>
      <w:r>
        <w:rPr>
          <w:rFonts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年</w:t>
      </w:r>
      <w:r>
        <w:rPr>
          <w:rFonts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月</w:t>
      </w:r>
      <w:r>
        <w:rPr>
          <w:rFonts w:ascii="宋体" w:hAnsi="宋体"/>
          <w:color w:val="000000" w:themeColor="text1"/>
          <w:sz w:val="22"/>
          <w:szCs w:val="21"/>
          <w:u w:val="single"/>
          <w14:textFill>
            <w14:solidFill>
              <w14:schemeClr w14:val="tx1"/>
            </w14:solidFill>
          </w14:textFill>
        </w:rPr>
        <w:t xml:space="preserve">    </w:t>
      </w:r>
      <w:r>
        <w:rPr>
          <w:rFonts w:hint="eastAsia" w:ascii="宋体" w:hAnsi="宋体"/>
          <w:color w:val="000000" w:themeColor="text1"/>
          <w:sz w:val="22"/>
          <w:szCs w:val="21"/>
          <w14:textFill>
            <w14:solidFill>
              <w14:schemeClr w14:val="tx1"/>
            </w14:solidFill>
          </w14:textFill>
        </w:rPr>
        <w:t>日</w:t>
      </w:r>
    </w:p>
    <w:sectPr>
      <w:pgSz w:w="11906" w:h="16838"/>
      <w:pgMar w:top="851" w:right="1304" w:bottom="851" w:left="13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昆仑楷体">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Shell Dlg 2">
    <w:altName w:val="Tahoma"/>
    <w:panose1 w:val="020B0604030504040204"/>
    <w:charset w:val="00"/>
    <w:family w:val="auto"/>
    <w:pitch w:val="default"/>
    <w:sig w:usb0="00000000" w:usb1="00000000" w:usb2="00000029" w:usb3="00000000" w:csb0="0001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19</w:t>
    </w:r>
    <w: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436D5"/>
    <w:multiLevelType w:val="multilevel"/>
    <w:tmpl w:val="01E436D5"/>
    <w:lvl w:ilvl="0" w:tentative="0">
      <w:start w:val="1"/>
      <w:numFmt w:val="decimal"/>
      <w:lvlText w:val="%1"/>
      <w:lvlJc w:val="left"/>
      <w:pPr>
        <w:ind w:left="425" w:hanging="425"/>
      </w:pPr>
      <w:rPr>
        <w:rFonts w:hint="eastAsia"/>
      </w:rPr>
    </w:lvl>
    <w:lvl w:ilvl="1" w:tentative="0">
      <w:start w:val="1"/>
      <w:numFmt w:val="decimal"/>
      <w:lvlText w:val="11.%2"/>
      <w:lvlJc w:val="left"/>
      <w:pPr>
        <w:ind w:left="992" w:hanging="567"/>
      </w:pPr>
      <w:rPr>
        <w:rFonts w:hint="eastAsia"/>
        <w:b/>
      </w:rPr>
    </w:lvl>
    <w:lvl w:ilvl="2" w:tentative="0">
      <w:start w:val="1"/>
      <w:numFmt w:val="decimal"/>
      <w:lvlText w:val="5.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25C410C"/>
    <w:multiLevelType w:val="multilevel"/>
    <w:tmpl w:val="025C410C"/>
    <w:lvl w:ilvl="0" w:tentative="0">
      <w:start w:val="1"/>
      <w:numFmt w:val="decimal"/>
      <w:lvlText w:val="(%1)"/>
      <w:lvlJc w:val="left"/>
      <w:pPr>
        <w:ind w:left="420" w:hanging="420"/>
      </w:pPr>
      <w:rPr>
        <w:rFonts w:hint="eastAsia"/>
        <w:b w:val="0"/>
        <w:i w:val="0"/>
        <w:sz w:val="23"/>
        <w:szCs w:val="23"/>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620661"/>
    <w:multiLevelType w:val="multilevel"/>
    <w:tmpl w:val="02620661"/>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31F79D6"/>
    <w:multiLevelType w:val="multilevel"/>
    <w:tmpl w:val="031F79D6"/>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8F550E9"/>
    <w:multiLevelType w:val="multilevel"/>
    <w:tmpl w:val="08F550E9"/>
    <w:lvl w:ilvl="0" w:tentative="0">
      <w:start w:val="1"/>
      <w:numFmt w:val="decimal"/>
      <w:lvlText w:val="%1"/>
      <w:lvlJc w:val="left"/>
      <w:pPr>
        <w:ind w:left="425" w:hanging="425"/>
      </w:pPr>
      <w:rPr>
        <w:rFonts w:hint="eastAsia"/>
      </w:rPr>
    </w:lvl>
    <w:lvl w:ilvl="1" w:tentative="0">
      <w:start w:val="1"/>
      <w:numFmt w:val="decimal"/>
      <w:lvlText w:val="14.%2"/>
      <w:lvlJc w:val="left"/>
      <w:pPr>
        <w:ind w:left="992" w:hanging="567"/>
      </w:pPr>
      <w:rPr>
        <w:rFonts w:hint="eastAsia"/>
      </w:rPr>
    </w:lvl>
    <w:lvl w:ilvl="2" w:tentative="0">
      <w:start w:val="1"/>
      <w:numFmt w:val="decimal"/>
      <w:lvlText w:val="15.3.%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9BC3048"/>
    <w:multiLevelType w:val="multilevel"/>
    <w:tmpl w:val="09BC304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Times New Roman" w:hAnsi="Times New Roman" w:cs="Times New Roman"/>
        <w:b/>
      </w:rPr>
    </w:lvl>
    <w:lvl w:ilvl="2" w:tentative="0">
      <w:start w:val="1"/>
      <w:numFmt w:val="decimal"/>
      <w:lvlText w:val="(%3)"/>
      <w:lvlJc w:val="left"/>
      <w:pPr>
        <w:ind w:left="1418" w:hanging="567"/>
      </w:pPr>
      <w:rPr>
        <w:rFonts w:hint="eastAsia"/>
        <w:b w:val="0"/>
        <w:i w:val="0"/>
        <w:sz w:val="21"/>
        <w:szCs w:val="23"/>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0C9F6C07"/>
    <w:multiLevelType w:val="multilevel"/>
    <w:tmpl w:val="0C9F6C07"/>
    <w:lvl w:ilvl="0" w:tentative="0">
      <w:start w:val="1"/>
      <w:numFmt w:val="decimal"/>
      <w:lvlText w:val="%1"/>
      <w:lvlJc w:val="left"/>
      <w:pPr>
        <w:ind w:left="425" w:hanging="425"/>
      </w:pPr>
      <w:rPr>
        <w:rFonts w:hint="eastAsia"/>
      </w:rPr>
    </w:lvl>
    <w:lvl w:ilvl="1" w:tentative="0">
      <w:start w:val="1"/>
      <w:numFmt w:val="decimal"/>
      <w:lvlText w:val="17.%2"/>
      <w:lvlJc w:val="left"/>
      <w:pPr>
        <w:ind w:left="992" w:hanging="567"/>
      </w:pPr>
      <w:rPr>
        <w:rFonts w:hint="eastAsia"/>
        <w:b/>
      </w:rPr>
    </w:lvl>
    <w:lvl w:ilvl="2" w:tentative="0">
      <w:start w:val="1"/>
      <w:numFmt w:val="decimal"/>
      <w:lvlText w:val="15.5.%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D4256C8"/>
    <w:multiLevelType w:val="multilevel"/>
    <w:tmpl w:val="0D4256C8"/>
    <w:lvl w:ilvl="0" w:tentative="0">
      <w:start w:val="1"/>
      <w:numFmt w:val="decimal"/>
      <w:lvlText w:val="8.1.%1"/>
      <w:lvlJc w:val="left"/>
      <w:pPr>
        <w:ind w:left="840" w:hanging="420"/>
      </w:pPr>
      <w:rPr>
        <w:rFonts w:hint="eastAsia"/>
      </w:rPr>
    </w:lvl>
    <w:lvl w:ilvl="1" w:tentative="0">
      <w:start w:val="1"/>
      <w:numFmt w:val="decimal"/>
      <w:lvlText w:val="8.1.%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3153BC3"/>
    <w:multiLevelType w:val="multilevel"/>
    <w:tmpl w:val="13153BC3"/>
    <w:lvl w:ilvl="0" w:tentative="0">
      <w:start w:val="1"/>
      <w:numFmt w:val="decimal"/>
      <w:lvlText w:val="%1"/>
      <w:lvlJc w:val="left"/>
      <w:pPr>
        <w:ind w:left="425" w:hanging="425"/>
      </w:pPr>
      <w:rPr>
        <w:rFonts w:hint="eastAsia"/>
      </w:rPr>
    </w:lvl>
    <w:lvl w:ilvl="1" w:tentative="0">
      <w:start w:val="1"/>
      <w:numFmt w:val="decimal"/>
      <w:lvlText w:val="14.%2"/>
      <w:lvlJc w:val="left"/>
      <w:pPr>
        <w:ind w:left="992" w:hanging="567"/>
      </w:pPr>
      <w:rPr>
        <w:rFonts w:hint="eastAsia"/>
      </w:rPr>
    </w:lvl>
    <w:lvl w:ilvl="2" w:tentative="0">
      <w:start w:val="1"/>
      <w:numFmt w:val="decimal"/>
      <w:lvlText w:val="15.5.%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1D0A5042"/>
    <w:multiLevelType w:val="multilevel"/>
    <w:tmpl w:val="1D0A5042"/>
    <w:lvl w:ilvl="0" w:tentative="0">
      <w:start w:val="1"/>
      <w:numFmt w:val="chineseCountingThousand"/>
      <w:lvlText w:val="第%1条"/>
      <w:lvlJc w:val="left"/>
      <w:pPr>
        <w:ind w:left="842" w:hanging="420"/>
      </w:pPr>
      <w:rPr>
        <w:rFonts w:hint="eastAsia"/>
        <w:b/>
        <w:lang w:val="en-US"/>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0">
    <w:nsid w:val="1E40451E"/>
    <w:multiLevelType w:val="multilevel"/>
    <w:tmpl w:val="1E40451E"/>
    <w:lvl w:ilvl="0" w:tentative="0">
      <w:start w:val="1"/>
      <w:numFmt w:val="decimal"/>
      <w:lvlText w:val="8.%1"/>
      <w:lvlJc w:val="left"/>
      <w:pPr>
        <w:ind w:left="1129" w:hanging="420"/>
      </w:pPr>
      <w:rPr>
        <w:rFonts w:hint="eastAsia"/>
      </w:rPr>
    </w:lvl>
    <w:lvl w:ilvl="1" w:tentative="0">
      <w:start w:val="1"/>
      <w:numFmt w:val="decimal"/>
      <w:lvlText w:val="8.%2"/>
      <w:lvlJc w:val="left"/>
      <w:pPr>
        <w:ind w:left="840" w:hanging="420"/>
      </w:pPr>
      <w:rPr>
        <w:rFonts w:hint="eastAsia"/>
        <w:b/>
      </w:rPr>
    </w:lvl>
    <w:lvl w:ilvl="2" w:tentative="0">
      <w:start w:val="1"/>
      <w:numFmt w:val="decimalEnclosedCircle"/>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D85822"/>
    <w:multiLevelType w:val="multilevel"/>
    <w:tmpl w:val="1FD85822"/>
    <w:lvl w:ilvl="0" w:tentative="0">
      <w:start w:val="1"/>
      <w:numFmt w:val="decimal"/>
      <w:lvlText w:val="%1"/>
      <w:lvlJc w:val="left"/>
      <w:pPr>
        <w:ind w:left="425" w:hanging="425"/>
      </w:pPr>
      <w:rPr>
        <w:rFonts w:hint="eastAsia"/>
      </w:rPr>
    </w:lvl>
    <w:lvl w:ilvl="1" w:tentative="0">
      <w:start w:val="1"/>
      <w:numFmt w:val="decimal"/>
      <w:lvlText w:val="19.%2"/>
      <w:lvlJc w:val="left"/>
      <w:pPr>
        <w:ind w:left="992" w:hanging="567"/>
      </w:pPr>
      <w:rPr>
        <w:rFonts w:hint="eastAsia"/>
        <w:b/>
      </w:rPr>
    </w:lvl>
    <w:lvl w:ilvl="2" w:tentative="0">
      <w:start w:val="1"/>
      <w:numFmt w:val="decimal"/>
      <w:lvlText w:val="15.5.%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741163A"/>
    <w:multiLevelType w:val="multilevel"/>
    <w:tmpl w:val="2741163A"/>
    <w:lvl w:ilvl="0" w:tentative="0">
      <w:start w:val="1"/>
      <w:numFmt w:val="decimal"/>
      <w:lvlText w:val="%1"/>
      <w:lvlJc w:val="left"/>
      <w:pPr>
        <w:ind w:left="425" w:hanging="425"/>
      </w:pPr>
      <w:rPr>
        <w:rFonts w:hint="eastAsia"/>
      </w:rPr>
    </w:lvl>
    <w:lvl w:ilvl="1" w:tentative="0">
      <w:start w:val="1"/>
      <w:numFmt w:val="decimal"/>
      <w:lvlText w:val="13.%2"/>
      <w:lvlJc w:val="left"/>
      <w:pPr>
        <w:ind w:left="992" w:hanging="567"/>
      </w:pPr>
      <w:rPr>
        <w:rFonts w:hint="eastAsia"/>
        <w:b/>
      </w:rPr>
    </w:lvl>
    <w:lvl w:ilvl="2" w:tentative="0">
      <w:start w:val="1"/>
      <w:numFmt w:val="decimal"/>
      <w:lvlText w:val="5.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2B807798"/>
    <w:multiLevelType w:val="multilevel"/>
    <w:tmpl w:val="2B807798"/>
    <w:lvl w:ilvl="0" w:tentative="0">
      <w:start w:val="1"/>
      <w:numFmt w:val="decimal"/>
      <w:lvlText w:val="%1"/>
      <w:lvlJc w:val="left"/>
      <w:pPr>
        <w:ind w:left="425" w:hanging="425"/>
      </w:pPr>
      <w:rPr>
        <w:rFonts w:hint="eastAsia"/>
      </w:rPr>
    </w:lvl>
    <w:lvl w:ilvl="1" w:tentative="0">
      <w:start w:val="1"/>
      <w:numFmt w:val="decimal"/>
      <w:lvlText w:val="5.%2"/>
      <w:lvlJc w:val="left"/>
      <w:pPr>
        <w:ind w:left="992" w:hanging="567"/>
      </w:pPr>
      <w:rPr>
        <w:rFonts w:hint="eastAsia"/>
      </w:rPr>
    </w:lvl>
    <w:lvl w:ilvl="2" w:tentative="0">
      <w:start w:val="1"/>
      <w:numFmt w:val="decimal"/>
      <w:lvlText w:val="5.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3540188D"/>
    <w:multiLevelType w:val="multilevel"/>
    <w:tmpl w:val="3540188D"/>
    <w:lvl w:ilvl="0" w:tentative="0">
      <w:start w:val="1"/>
      <w:numFmt w:val="decimal"/>
      <w:lvlText w:val="%1"/>
      <w:lvlJc w:val="left"/>
      <w:pPr>
        <w:ind w:left="425" w:hanging="425"/>
      </w:pPr>
      <w:rPr>
        <w:rFonts w:hint="eastAsia"/>
      </w:rPr>
    </w:lvl>
    <w:lvl w:ilvl="1" w:tentative="0">
      <w:start w:val="1"/>
      <w:numFmt w:val="decimal"/>
      <w:lvlText w:val="10.%2"/>
      <w:lvlJc w:val="left"/>
      <w:pPr>
        <w:ind w:left="992" w:hanging="567"/>
      </w:pPr>
      <w:rPr>
        <w:rFonts w:hint="eastAsia"/>
        <w:b/>
      </w:rPr>
    </w:lvl>
    <w:lvl w:ilvl="2" w:tentative="0">
      <w:start w:val="1"/>
      <w:numFmt w:val="decimal"/>
      <w:lvlText w:val="5.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391A4FDF"/>
    <w:multiLevelType w:val="multilevel"/>
    <w:tmpl w:val="391A4FDF"/>
    <w:lvl w:ilvl="0" w:tentative="0">
      <w:start w:val="1"/>
      <w:numFmt w:val="decimal"/>
      <w:lvlText w:val="8.3.%1"/>
      <w:lvlJc w:val="left"/>
      <w:pPr>
        <w:ind w:left="840" w:hanging="420"/>
      </w:pPr>
      <w:rPr>
        <w:rFonts w:hint="eastAsia"/>
      </w:rPr>
    </w:lvl>
    <w:lvl w:ilvl="1" w:tentative="0">
      <w:start w:val="1"/>
      <w:numFmt w:val="lowerLetter"/>
      <w:lvlText w:val="%2)"/>
      <w:lvlJc w:val="left"/>
      <w:pPr>
        <w:ind w:left="840" w:hanging="420"/>
      </w:pPr>
      <w:rPr>
        <w:rFonts w:hint="eastAsia"/>
      </w:rPr>
    </w:lvl>
    <w:lvl w:ilvl="2" w:tentative="0">
      <w:start w:val="1"/>
      <w:numFmt w:val="decimal"/>
      <w:lvlText w:val="10.17.%3"/>
      <w:lvlJc w:val="left"/>
      <w:pPr>
        <w:ind w:left="1260" w:hanging="420"/>
      </w:pPr>
      <w:rPr>
        <w:rFonts w:hint="default" w:ascii="Times New Roman" w:hAnsi="Times New Roman"/>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3A4350C1"/>
    <w:multiLevelType w:val="multilevel"/>
    <w:tmpl w:val="3A4350C1"/>
    <w:lvl w:ilvl="0" w:tentative="0">
      <w:start w:val="1"/>
      <w:numFmt w:val="decimal"/>
      <w:lvlText w:val="%1"/>
      <w:lvlJc w:val="left"/>
      <w:pPr>
        <w:ind w:left="425" w:hanging="425"/>
      </w:pPr>
      <w:rPr>
        <w:rFonts w:hint="eastAsia"/>
      </w:rPr>
    </w:lvl>
    <w:lvl w:ilvl="1" w:tentative="0">
      <w:start w:val="1"/>
      <w:numFmt w:val="decimal"/>
      <w:lvlText w:val="3.%2"/>
      <w:lvlJc w:val="left"/>
      <w:pPr>
        <w:ind w:left="992" w:hanging="567"/>
      </w:pPr>
      <w:rPr>
        <w:rFonts w:hint="eastAsia"/>
        <w:b/>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3A7B317C"/>
    <w:multiLevelType w:val="multilevel"/>
    <w:tmpl w:val="3A7B317C"/>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Times New Roman" w:hAnsi="Times New Roman" w:cs="Times New Roman"/>
        <w:b/>
      </w:rPr>
    </w:lvl>
    <w:lvl w:ilvl="2" w:tentative="0">
      <w:start w:val="1"/>
      <w:numFmt w:val="decimal"/>
      <w:lvlText w:val="(%3)"/>
      <w:lvlJc w:val="left"/>
      <w:pPr>
        <w:ind w:left="1418" w:hanging="567"/>
      </w:pPr>
      <w:rPr>
        <w:rFonts w:hint="eastAsia"/>
        <w:b w:val="0"/>
        <w:i w:val="0"/>
        <w:sz w:val="21"/>
        <w:szCs w:val="23"/>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8">
    <w:nsid w:val="3FF97111"/>
    <w:multiLevelType w:val="multilevel"/>
    <w:tmpl w:val="3FF97111"/>
    <w:lvl w:ilvl="0" w:tentative="0">
      <w:start w:val="1"/>
      <w:numFmt w:val="decimal"/>
      <w:lvlText w:val="7.1.%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2643F68"/>
    <w:multiLevelType w:val="multilevel"/>
    <w:tmpl w:val="42643F68"/>
    <w:lvl w:ilvl="0" w:tentative="0">
      <w:start w:val="1"/>
      <w:numFmt w:val="decimal"/>
      <w:lvlText w:val="4.%1"/>
      <w:lvlJc w:val="left"/>
      <w:pPr>
        <w:ind w:left="1129" w:hanging="420"/>
      </w:pPr>
      <w:rPr>
        <w:rFonts w:hint="eastAsia"/>
      </w:rPr>
    </w:lvl>
    <w:lvl w:ilvl="1" w:tentative="0">
      <w:start w:val="1"/>
      <w:numFmt w:val="decimal"/>
      <w:lvlText w:val="4.%2"/>
      <w:lvlJc w:val="left"/>
      <w:pPr>
        <w:ind w:left="840" w:hanging="420"/>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2B31561"/>
    <w:multiLevelType w:val="multilevel"/>
    <w:tmpl w:val="42B31561"/>
    <w:lvl w:ilvl="0" w:tentative="0">
      <w:start w:val="1"/>
      <w:numFmt w:val="decimal"/>
      <w:lvlText w:val="%1"/>
      <w:lvlJc w:val="left"/>
      <w:pPr>
        <w:ind w:left="425" w:hanging="425"/>
      </w:pPr>
      <w:rPr>
        <w:rFonts w:hint="eastAsia"/>
      </w:rPr>
    </w:lvl>
    <w:lvl w:ilvl="1" w:tentative="0">
      <w:start w:val="1"/>
      <w:numFmt w:val="decimal"/>
      <w:lvlText w:val="14.%2"/>
      <w:lvlJc w:val="left"/>
      <w:pPr>
        <w:ind w:left="992" w:hanging="567"/>
      </w:pPr>
      <w:rPr>
        <w:rFonts w:hint="eastAsia"/>
      </w:rPr>
    </w:lvl>
    <w:lvl w:ilvl="2" w:tentative="0">
      <w:start w:val="1"/>
      <w:numFmt w:val="decimal"/>
      <w:lvlText w:val="15.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431C5E8F"/>
    <w:multiLevelType w:val="multilevel"/>
    <w:tmpl w:val="431C5E8F"/>
    <w:lvl w:ilvl="0" w:tentative="0">
      <w:start w:val="1"/>
      <w:numFmt w:val="decimal"/>
      <w:lvlText w:val="(%1)"/>
      <w:lvlJc w:val="left"/>
      <w:pPr>
        <w:ind w:left="840" w:hanging="420"/>
      </w:pPr>
      <w:rPr>
        <w:rFonts w:hint="eastAsia"/>
        <w:b w:val="0"/>
        <w:i w:val="0"/>
        <w:sz w:val="21"/>
        <w:szCs w:val="2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449D708C"/>
    <w:multiLevelType w:val="multilevel"/>
    <w:tmpl w:val="449D708C"/>
    <w:lvl w:ilvl="0" w:tentative="0">
      <w:start w:val="1"/>
      <w:numFmt w:val="decimal"/>
      <w:lvlText w:val="%1"/>
      <w:lvlJc w:val="left"/>
      <w:pPr>
        <w:ind w:left="425" w:hanging="425"/>
      </w:pPr>
      <w:rPr>
        <w:rFonts w:hint="eastAsia"/>
      </w:rPr>
    </w:lvl>
    <w:lvl w:ilvl="1" w:tentative="0">
      <w:start w:val="1"/>
      <w:numFmt w:val="decimal"/>
      <w:lvlText w:val="5.%2"/>
      <w:lvlJc w:val="left"/>
      <w:pPr>
        <w:ind w:left="992" w:hanging="567"/>
      </w:pPr>
      <w:rPr>
        <w:rFonts w:hint="eastAsia"/>
        <w:b/>
      </w:rPr>
    </w:lvl>
    <w:lvl w:ilvl="2" w:tentative="0">
      <w:start w:val="1"/>
      <w:numFmt w:val="decimal"/>
      <w:lvlText w:val="4.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46E03314"/>
    <w:multiLevelType w:val="multilevel"/>
    <w:tmpl w:val="46E03314"/>
    <w:lvl w:ilvl="0" w:tentative="0">
      <w:start w:val="1"/>
      <w:numFmt w:val="decimal"/>
      <w:lvlText w:val="%1"/>
      <w:lvlJc w:val="left"/>
      <w:pPr>
        <w:ind w:left="425" w:hanging="425"/>
      </w:pPr>
      <w:rPr>
        <w:rFonts w:hint="eastAsia"/>
      </w:rPr>
    </w:lvl>
    <w:lvl w:ilvl="1" w:tentative="0">
      <w:start w:val="1"/>
      <w:numFmt w:val="decimal"/>
      <w:lvlText w:val="3.%2"/>
      <w:lvlJc w:val="left"/>
      <w:pPr>
        <w:ind w:left="992" w:hanging="567"/>
      </w:pPr>
      <w:rPr>
        <w:rFonts w:hint="eastAsia"/>
      </w:rPr>
    </w:lvl>
    <w:lvl w:ilvl="2" w:tentative="0">
      <w:start w:val="1"/>
      <w:numFmt w:val="decimal"/>
      <w:lvlText w:val="4.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4EFA09CF"/>
    <w:multiLevelType w:val="multilevel"/>
    <w:tmpl w:val="4EFA09CF"/>
    <w:lvl w:ilvl="0" w:tentative="0">
      <w:start w:val="1"/>
      <w:numFmt w:val="decimal"/>
      <w:lvlText w:val="%1"/>
      <w:lvlJc w:val="left"/>
      <w:pPr>
        <w:ind w:left="425" w:hanging="425"/>
      </w:pPr>
      <w:rPr>
        <w:rFonts w:hint="eastAsia"/>
      </w:rPr>
    </w:lvl>
    <w:lvl w:ilvl="1" w:tentative="0">
      <w:start w:val="1"/>
      <w:numFmt w:val="decimal"/>
      <w:lvlText w:val="12.%2"/>
      <w:lvlJc w:val="left"/>
      <w:pPr>
        <w:ind w:left="992" w:hanging="567"/>
      </w:pPr>
      <w:rPr>
        <w:rFonts w:hint="eastAsia"/>
        <w:b/>
      </w:rPr>
    </w:lvl>
    <w:lvl w:ilvl="2" w:tentative="0">
      <w:start w:val="1"/>
      <w:numFmt w:val="decimal"/>
      <w:lvlText w:val="5.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06E40D1"/>
    <w:multiLevelType w:val="multilevel"/>
    <w:tmpl w:val="506E40D1"/>
    <w:lvl w:ilvl="0" w:tentative="0">
      <w:start w:val="1"/>
      <w:numFmt w:val="decimal"/>
      <w:lvlText w:val="%1"/>
      <w:lvlJc w:val="left"/>
      <w:pPr>
        <w:ind w:left="425" w:hanging="425"/>
      </w:pPr>
      <w:rPr>
        <w:rFonts w:hint="eastAsia"/>
      </w:rPr>
    </w:lvl>
    <w:lvl w:ilvl="1" w:tentative="0">
      <w:start w:val="1"/>
      <w:numFmt w:val="decimal"/>
      <w:lvlText w:val="3.%2"/>
      <w:lvlJc w:val="left"/>
      <w:pPr>
        <w:ind w:left="992" w:hanging="567"/>
      </w:pPr>
      <w:rPr>
        <w:rFonts w:hint="eastAsia"/>
      </w:rPr>
    </w:lvl>
    <w:lvl w:ilvl="2" w:tentative="0">
      <w:start w:val="1"/>
      <w:numFmt w:val="decimal"/>
      <w:lvlText w:val="4.%2.%3"/>
      <w:lvlJc w:val="left"/>
      <w:pPr>
        <w:ind w:left="1418" w:hanging="567"/>
      </w:pPr>
      <w:rPr>
        <w:rFonts w:hint="eastAsia"/>
        <w:b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0F639B0"/>
    <w:multiLevelType w:val="multilevel"/>
    <w:tmpl w:val="50F639B0"/>
    <w:lvl w:ilvl="0" w:tentative="0">
      <w:start w:val="1"/>
      <w:numFmt w:val="decimal"/>
      <w:lvlText w:val="8.3.%1"/>
      <w:lvlJc w:val="left"/>
      <w:pPr>
        <w:ind w:left="840" w:hanging="420"/>
      </w:pPr>
      <w:rPr>
        <w:rFonts w:hint="eastAsia"/>
      </w:rPr>
    </w:lvl>
    <w:lvl w:ilvl="1" w:tentative="0">
      <w:start w:val="1"/>
      <w:numFmt w:val="lowerLetter"/>
      <w:lvlText w:val="%2)"/>
      <w:lvlJc w:val="left"/>
      <w:pPr>
        <w:ind w:left="840" w:hanging="420"/>
      </w:pPr>
    </w:lvl>
    <w:lvl w:ilvl="2" w:tentative="0">
      <w:start w:val="1"/>
      <w:numFmt w:val="decimal"/>
      <w:lvlText w:val="8.3.%3"/>
      <w:lvlJc w:val="left"/>
      <w:pPr>
        <w:ind w:left="1260" w:hanging="420"/>
      </w:pPr>
      <w:rPr>
        <w:rFonts w:hint="default" w:ascii="Times New Roman" w:hAnsi="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4B4320F"/>
    <w:multiLevelType w:val="multilevel"/>
    <w:tmpl w:val="54B4320F"/>
    <w:lvl w:ilvl="0" w:tentative="0">
      <w:start w:val="1"/>
      <w:numFmt w:val="decimal"/>
      <w:lvlText w:val="15.%1"/>
      <w:lvlJc w:val="left"/>
      <w:pPr>
        <w:ind w:left="1129" w:hanging="420"/>
      </w:pPr>
      <w:rPr>
        <w:rFonts w:hint="eastAsia"/>
        <w:b/>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8">
    <w:nsid w:val="56147DE1"/>
    <w:multiLevelType w:val="multilevel"/>
    <w:tmpl w:val="56147DE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Times New Roman" w:hAnsi="Times New Roman" w:cs="Times New Roman"/>
        <w:b/>
      </w:rPr>
    </w:lvl>
    <w:lvl w:ilvl="2" w:tentative="0">
      <w:start w:val="1"/>
      <w:numFmt w:val="decimal"/>
      <w:lvlText w:val="(%3)"/>
      <w:lvlJc w:val="left"/>
      <w:pPr>
        <w:ind w:left="1418" w:hanging="567"/>
      </w:pPr>
      <w:rPr>
        <w:rFonts w:hint="eastAsia"/>
        <w:b w:val="0"/>
        <w:i w:val="0"/>
        <w:sz w:val="21"/>
        <w:szCs w:val="23"/>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9">
    <w:nsid w:val="571E6BD2"/>
    <w:multiLevelType w:val="multilevel"/>
    <w:tmpl w:val="571E6BD2"/>
    <w:lvl w:ilvl="0" w:tentative="0">
      <w:start w:val="1"/>
      <w:numFmt w:val="decimal"/>
      <w:lvlText w:val="(%1)"/>
      <w:lvlJc w:val="left"/>
      <w:pPr>
        <w:ind w:left="846" w:hanging="420"/>
      </w:pPr>
      <w:rPr>
        <w:rFonts w:hint="default" w:ascii="Times New Roman" w:hAnsi="Times New Roman"/>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0">
    <w:nsid w:val="59177E2C"/>
    <w:multiLevelType w:val="multilevel"/>
    <w:tmpl w:val="59177E2C"/>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Times New Roman" w:hAnsi="Times New Roman" w:cs="Times New Roman"/>
        <w:b/>
      </w:rPr>
    </w:lvl>
    <w:lvl w:ilvl="2" w:tentative="0">
      <w:start w:val="1"/>
      <w:numFmt w:val="decimal"/>
      <w:lvlText w:val="(%3)"/>
      <w:lvlJc w:val="left"/>
      <w:pPr>
        <w:ind w:left="1418" w:hanging="567"/>
      </w:pPr>
      <w:rPr>
        <w:rFonts w:hint="eastAsia"/>
        <w:b w:val="0"/>
        <w:i w:val="0"/>
        <w:sz w:val="21"/>
        <w:szCs w:val="23"/>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1">
    <w:nsid w:val="5AE84D00"/>
    <w:multiLevelType w:val="multilevel"/>
    <w:tmpl w:val="5AE84D00"/>
    <w:lvl w:ilvl="0" w:tentative="0">
      <w:start w:val="1"/>
      <w:numFmt w:val="decimal"/>
      <w:lvlText w:val="(%1)"/>
      <w:lvlJc w:val="left"/>
      <w:pPr>
        <w:ind w:left="846" w:hanging="420"/>
      </w:pPr>
      <w:rPr>
        <w:rFonts w:hint="default" w:ascii="Times New Roman" w:hAnsi="Times New Roman"/>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2">
    <w:nsid w:val="5AFB140E"/>
    <w:multiLevelType w:val="multilevel"/>
    <w:tmpl w:val="5AFB140E"/>
    <w:lvl w:ilvl="0" w:tentative="0">
      <w:start w:val="1"/>
      <w:numFmt w:val="decimal"/>
      <w:lvlText w:val="6.%1"/>
      <w:lvlJc w:val="left"/>
      <w:pPr>
        <w:ind w:left="1129" w:hanging="420"/>
      </w:pPr>
      <w:rPr>
        <w:rFonts w:hint="eastAsia"/>
      </w:rPr>
    </w:lvl>
    <w:lvl w:ilvl="1" w:tentative="0">
      <w:start w:val="1"/>
      <w:numFmt w:val="decimal"/>
      <w:lvlText w:val="6.%2"/>
      <w:lvlJc w:val="left"/>
      <w:pPr>
        <w:ind w:left="840" w:hanging="420"/>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D4C6811"/>
    <w:multiLevelType w:val="multilevel"/>
    <w:tmpl w:val="5D4C6811"/>
    <w:lvl w:ilvl="0" w:tentative="0">
      <w:start w:val="1"/>
      <w:numFmt w:val="decimal"/>
      <w:lvlText w:val="(%1)"/>
      <w:lvlJc w:val="left"/>
      <w:pPr>
        <w:ind w:left="420" w:hanging="420"/>
      </w:pPr>
      <w:rPr>
        <w:rFonts w:hint="eastAsia"/>
        <w:b w:val="0"/>
        <w:i w:val="0"/>
        <w:sz w:val="23"/>
        <w:szCs w:val="23"/>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E401C8A"/>
    <w:multiLevelType w:val="multilevel"/>
    <w:tmpl w:val="5E401C8A"/>
    <w:lvl w:ilvl="0" w:tentative="0">
      <w:start w:val="1"/>
      <w:numFmt w:val="decimal"/>
      <w:lvlText w:val="(%1)"/>
      <w:lvlJc w:val="left"/>
      <w:pPr>
        <w:ind w:left="420" w:hanging="420"/>
      </w:pPr>
      <w:rPr>
        <w:rFonts w:hint="eastAsia"/>
        <w:b w:val="0"/>
        <w:i w:val="0"/>
        <w:sz w:val="23"/>
        <w:szCs w:val="23"/>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30E4E03"/>
    <w:multiLevelType w:val="multilevel"/>
    <w:tmpl w:val="630E4E0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Times New Roman" w:hAnsi="Times New Roman" w:cs="Times New Roman"/>
        <w:b/>
      </w:rPr>
    </w:lvl>
    <w:lvl w:ilvl="2" w:tentative="0">
      <w:start w:val="1"/>
      <w:numFmt w:val="decimal"/>
      <w:lvlText w:val="(%3)"/>
      <w:lvlJc w:val="left"/>
      <w:pPr>
        <w:ind w:left="1418" w:hanging="567"/>
      </w:pPr>
      <w:rPr>
        <w:rFonts w:hint="eastAsia"/>
        <w:b w:val="0"/>
        <w:i w:val="0"/>
        <w:sz w:val="21"/>
        <w:szCs w:val="23"/>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6">
    <w:nsid w:val="646E18BB"/>
    <w:multiLevelType w:val="multilevel"/>
    <w:tmpl w:val="646E18BB"/>
    <w:lvl w:ilvl="0" w:tentative="0">
      <w:start w:val="1"/>
      <w:numFmt w:val="decimal"/>
      <w:lvlText w:val="%1"/>
      <w:lvlJc w:val="left"/>
      <w:pPr>
        <w:ind w:left="425" w:hanging="425"/>
      </w:pPr>
      <w:rPr>
        <w:rFonts w:hint="eastAsia"/>
      </w:rPr>
    </w:lvl>
    <w:lvl w:ilvl="1" w:tentative="0">
      <w:start w:val="1"/>
      <w:numFmt w:val="decimal"/>
      <w:lvlText w:val="9.%2"/>
      <w:lvlJc w:val="left"/>
      <w:pPr>
        <w:ind w:left="992" w:hanging="567"/>
      </w:pPr>
      <w:rPr>
        <w:rFonts w:hint="eastAsia"/>
        <w:b/>
      </w:rPr>
    </w:lvl>
    <w:lvl w:ilvl="2" w:tentative="0">
      <w:start w:val="1"/>
      <w:numFmt w:val="decimal"/>
      <w:lvlText w:val="5.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66064317"/>
    <w:multiLevelType w:val="multilevel"/>
    <w:tmpl w:val="66064317"/>
    <w:lvl w:ilvl="0" w:tentative="0">
      <w:start w:val="1"/>
      <w:numFmt w:val="decimal"/>
      <w:lvlText w:val="(%1)"/>
      <w:lvlJc w:val="left"/>
      <w:pPr>
        <w:ind w:left="420" w:hanging="420"/>
      </w:pPr>
      <w:rPr>
        <w:rFonts w:hint="eastAsia"/>
        <w:b/>
        <w:i w:val="0"/>
        <w:sz w:val="23"/>
        <w:szCs w:val="23"/>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8AE18DA"/>
    <w:multiLevelType w:val="multilevel"/>
    <w:tmpl w:val="68AE18DA"/>
    <w:lvl w:ilvl="0" w:tentative="0">
      <w:start w:val="1"/>
      <w:numFmt w:val="decimal"/>
      <w:lvlText w:val="%1"/>
      <w:lvlJc w:val="left"/>
      <w:pPr>
        <w:ind w:left="425" w:hanging="425"/>
      </w:pPr>
      <w:rPr>
        <w:rFonts w:hint="eastAsia"/>
      </w:rPr>
    </w:lvl>
    <w:lvl w:ilvl="1" w:tentative="0">
      <w:start w:val="1"/>
      <w:numFmt w:val="decimal"/>
      <w:lvlText w:val="7.%2"/>
      <w:lvlJc w:val="left"/>
      <w:pPr>
        <w:ind w:left="845" w:hanging="420"/>
      </w:pPr>
      <w:rPr>
        <w:rFonts w:hint="default" w:ascii="Times New Roman" w:hAnsi="Times New Roman"/>
        <w:b/>
        <w:bCs/>
      </w:rPr>
    </w:lvl>
    <w:lvl w:ilvl="2" w:tentative="0">
      <w:start w:val="1"/>
      <w:numFmt w:val="decimal"/>
      <w:lvlText w:val="5.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9">
    <w:nsid w:val="69374050"/>
    <w:multiLevelType w:val="multilevel"/>
    <w:tmpl w:val="69374050"/>
    <w:lvl w:ilvl="0" w:tentative="0">
      <w:start w:val="1"/>
      <w:numFmt w:val="decimal"/>
      <w:lvlText w:val="%1"/>
      <w:lvlJc w:val="left"/>
      <w:pPr>
        <w:ind w:left="425" w:hanging="425"/>
      </w:pPr>
      <w:rPr>
        <w:rFonts w:hint="eastAsia"/>
      </w:rPr>
    </w:lvl>
    <w:lvl w:ilvl="1" w:tentative="0">
      <w:start w:val="1"/>
      <w:numFmt w:val="decimal"/>
      <w:lvlText w:val="18.%2"/>
      <w:lvlJc w:val="left"/>
      <w:pPr>
        <w:ind w:left="992" w:hanging="567"/>
      </w:pPr>
      <w:rPr>
        <w:rFonts w:hint="eastAsia"/>
        <w:b/>
      </w:rPr>
    </w:lvl>
    <w:lvl w:ilvl="2" w:tentative="0">
      <w:start w:val="1"/>
      <w:numFmt w:val="decimal"/>
      <w:lvlText w:val="15.5.%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6C2C1799"/>
    <w:multiLevelType w:val="multilevel"/>
    <w:tmpl w:val="6C2C1799"/>
    <w:lvl w:ilvl="0" w:tentative="0">
      <w:start w:val="1"/>
      <w:numFmt w:val="decimal"/>
      <w:lvlText w:val="%1"/>
      <w:lvlJc w:val="left"/>
      <w:pPr>
        <w:ind w:left="425" w:hanging="425"/>
      </w:pPr>
      <w:rPr>
        <w:rFonts w:hint="eastAsia"/>
      </w:rPr>
    </w:lvl>
    <w:lvl w:ilvl="1" w:tentative="0">
      <w:start w:val="1"/>
      <w:numFmt w:val="decimal"/>
      <w:lvlText w:val="14.%2"/>
      <w:lvlJc w:val="left"/>
      <w:pPr>
        <w:ind w:left="992" w:hanging="567"/>
      </w:pPr>
      <w:rPr>
        <w:rFonts w:hint="eastAsia"/>
        <w:b/>
      </w:rPr>
    </w:lvl>
    <w:lvl w:ilvl="2" w:tentative="0">
      <w:start w:val="1"/>
      <w:numFmt w:val="decimal"/>
      <w:lvlText w:val="5.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1">
    <w:nsid w:val="79114682"/>
    <w:multiLevelType w:val="multilevel"/>
    <w:tmpl w:val="7911468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Times New Roman" w:hAnsi="Times New Roman" w:cs="Times New Roman"/>
        <w:b/>
      </w:rPr>
    </w:lvl>
    <w:lvl w:ilvl="2" w:tentative="0">
      <w:start w:val="1"/>
      <w:numFmt w:val="decimal"/>
      <w:lvlText w:val="(%3)"/>
      <w:lvlJc w:val="left"/>
      <w:pPr>
        <w:ind w:left="1418" w:hanging="567"/>
      </w:pPr>
      <w:rPr>
        <w:rFonts w:hint="eastAsia"/>
        <w:b w:val="0"/>
        <w:i w:val="0"/>
        <w:sz w:val="21"/>
        <w:szCs w:val="23"/>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2">
    <w:nsid w:val="7CB87D7A"/>
    <w:multiLevelType w:val="multilevel"/>
    <w:tmpl w:val="7CB87D7A"/>
    <w:lvl w:ilvl="0" w:tentative="0">
      <w:start w:val="1"/>
      <w:numFmt w:val="decimal"/>
      <w:lvlText w:val="%1"/>
      <w:lvlJc w:val="left"/>
      <w:pPr>
        <w:ind w:left="425" w:hanging="425"/>
      </w:pPr>
      <w:rPr>
        <w:rFonts w:hint="eastAsia"/>
      </w:rPr>
    </w:lvl>
    <w:lvl w:ilvl="1" w:tentative="0">
      <w:start w:val="1"/>
      <w:numFmt w:val="decimal"/>
      <w:lvlText w:val="19.%2"/>
      <w:lvlJc w:val="left"/>
      <w:pPr>
        <w:ind w:left="992" w:hanging="567"/>
      </w:pPr>
      <w:rPr>
        <w:rFonts w:hint="eastAsia"/>
      </w:rPr>
    </w:lvl>
    <w:lvl w:ilvl="2" w:tentative="0">
      <w:start w:val="1"/>
      <w:numFmt w:val="decimal"/>
      <w:lvlText w:val="19.4.%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3">
    <w:nsid w:val="7F78051B"/>
    <w:multiLevelType w:val="multilevel"/>
    <w:tmpl w:val="7F78051B"/>
    <w:lvl w:ilvl="0" w:tentative="0">
      <w:start w:val="1"/>
      <w:numFmt w:val="decimal"/>
      <w:lvlText w:val="%1"/>
      <w:lvlJc w:val="left"/>
      <w:pPr>
        <w:ind w:left="425" w:hanging="425"/>
      </w:pPr>
      <w:rPr>
        <w:rFonts w:hint="eastAsia"/>
      </w:rPr>
    </w:lvl>
    <w:lvl w:ilvl="1" w:tentative="0">
      <w:start w:val="1"/>
      <w:numFmt w:val="decimal"/>
      <w:lvlText w:val="14.%2"/>
      <w:lvlJc w:val="left"/>
      <w:pPr>
        <w:ind w:left="992" w:hanging="567"/>
      </w:pPr>
      <w:rPr>
        <w:rFonts w:hint="eastAsia"/>
      </w:rPr>
    </w:lvl>
    <w:lvl w:ilvl="2" w:tentative="0">
      <w:start w:val="1"/>
      <w:numFmt w:val="decimal"/>
      <w:lvlText w:val="15.1.%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16"/>
  </w:num>
  <w:num w:numId="3">
    <w:abstractNumId w:val="19"/>
  </w:num>
  <w:num w:numId="4">
    <w:abstractNumId w:val="25"/>
  </w:num>
  <w:num w:numId="5">
    <w:abstractNumId w:val="23"/>
  </w:num>
  <w:num w:numId="6">
    <w:abstractNumId w:val="35"/>
  </w:num>
  <w:num w:numId="7">
    <w:abstractNumId w:val="22"/>
  </w:num>
  <w:num w:numId="8">
    <w:abstractNumId w:val="13"/>
  </w:num>
  <w:num w:numId="9">
    <w:abstractNumId w:val="32"/>
  </w:num>
  <w:num w:numId="10">
    <w:abstractNumId w:val="28"/>
  </w:num>
  <w:num w:numId="11">
    <w:abstractNumId w:val="38"/>
  </w:num>
  <w:num w:numId="12">
    <w:abstractNumId w:val="18"/>
  </w:num>
  <w:num w:numId="13">
    <w:abstractNumId w:val="30"/>
  </w:num>
  <w:num w:numId="14">
    <w:abstractNumId w:val="10"/>
  </w:num>
  <w:num w:numId="15">
    <w:abstractNumId w:val="7"/>
  </w:num>
  <w:num w:numId="16">
    <w:abstractNumId w:val="26"/>
  </w:num>
  <w:num w:numId="17">
    <w:abstractNumId w:val="41"/>
  </w:num>
  <w:num w:numId="18">
    <w:abstractNumId w:val="5"/>
  </w:num>
  <w:num w:numId="19">
    <w:abstractNumId w:val="17"/>
  </w:num>
  <w:num w:numId="20">
    <w:abstractNumId w:val="36"/>
  </w:num>
  <w:num w:numId="21">
    <w:abstractNumId w:val="14"/>
  </w:num>
  <w:num w:numId="22">
    <w:abstractNumId w:val="21"/>
  </w:num>
  <w:num w:numId="23">
    <w:abstractNumId w:val="15"/>
  </w:num>
  <w:num w:numId="24">
    <w:abstractNumId w:val="2"/>
  </w:num>
  <w:num w:numId="25">
    <w:abstractNumId w:val="3"/>
  </w:num>
  <w:num w:numId="26">
    <w:abstractNumId w:val="0"/>
  </w:num>
  <w:num w:numId="27">
    <w:abstractNumId w:val="24"/>
  </w:num>
  <w:num w:numId="28">
    <w:abstractNumId w:val="12"/>
  </w:num>
  <w:num w:numId="29">
    <w:abstractNumId w:val="40"/>
  </w:num>
  <w:num w:numId="30">
    <w:abstractNumId w:val="27"/>
  </w:num>
  <w:num w:numId="31">
    <w:abstractNumId w:val="43"/>
  </w:num>
  <w:num w:numId="32">
    <w:abstractNumId w:val="31"/>
  </w:num>
  <w:num w:numId="33">
    <w:abstractNumId w:val="20"/>
  </w:num>
  <w:num w:numId="34">
    <w:abstractNumId w:val="4"/>
  </w:num>
  <w:num w:numId="35">
    <w:abstractNumId w:val="8"/>
  </w:num>
  <w:num w:numId="36">
    <w:abstractNumId w:val="29"/>
  </w:num>
  <w:num w:numId="37">
    <w:abstractNumId w:val="6"/>
  </w:num>
  <w:num w:numId="38">
    <w:abstractNumId w:val="39"/>
  </w:num>
  <w:num w:numId="39">
    <w:abstractNumId w:val="11"/>
  </w:num>
  <w:num w:numId="40">
    <w:abstractNumId w:val="42"/>
  </w:num>
  <w:num w:numId="41">
    <w:abstractNumId w:val="34"/>
  </w:num>
  <w:num w:numId="42">
    <w:abstractNumId w:val="33"/>
  </w:num>
  <w:num w:numId="43">
    <w:abstractNumId w:val="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dit="readOnly" w:formatting="1" w:enforcement="1" w:cryptProviderType="rsaFull" w:cryptAlgorithmClass="hash" w:cryptAlgorithmType="typeAny" w:cryptAlgorithmSid="4" w:cryptSpinCount="0" w:hash="8DJCEa5Xk+OZfhIgMCOOgtr6kL4=" w:salt="U9MBqsfLpQk6CwNEoskCi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3NjA0MTMxODgxOGQyMzk4NTdmZGU5N2EwYzc5OTkifQ=="/>
  </w:docVars>
  <w:rsids>
    <w:rsidRoot w:val="00D2107E"/>
    <w:rsid w:val="00004653"/>
    <w:rsid w:val="000144D3"/>
    <w:rsid w:val="00023C93"/>
    <w:rsid w:val="00023EF6"/>
    <w:rsid w:val="00024506"/>
    <w:rsid w:val="00025AA0"/>
    <w:rsid w:val="00027898"/>
    <w:rsid w:val="00031DEC"/>
    <w:rsid w:val="00032197"/>
    <w:rsid w:val="00034251"/>
    <w:rsid w:val="00034850"/>
    <w:rsid w:val="00045722"/>
    <w:rsid w:val="0005635E"/>
    <w:rsid w:val="00064181"/>
    <w:rsid w:val="000679AE"/>
    <w:rsid w:val="000721AD"/>
    <w:rsid w:val="000766BC"/>
    <w:rsid w:val="00077ADA"/>
    <w:rsid w:val="00094E27"/>
    <w:rsid w:val="000A2471"/>
    <w:rsid w:val="000A41CE"/>
    <w:rsid w:val="000A4A64"/>
    <w:rsid w:val="000A781C"/>
    <w:rsid w:val="000B2404"/>
    <w:rsid w:val="000B2511"/>
    <w:rsid w:val="000C158F"/>
    <w:rsid w:val="000C1D24"/>
    <w:rsid w:val="000D1237"/>
    <w:rsid w:val="000D30AC"/>
    <w:rsid w:val="000D50C8"/>
    <w:rsid w:val="000D5BED"/>
    <w:rsid w:val="000E00A9"/>
    <w:rsid w:val="000E60BA"/>
    <w:rsid w:val="000F2C3B"/>
    <w:rsid w:val="000F556B"/>
    <w:rsid w:val="001112F6"/>
    <w:rsid w:val="0011367F"/>
    <w:rsid w:val="001202E9"/>
    <w:rsid w:val="00122F46"/>
    <w:rsid w:val="00123AE1"/>
    <w:rsid w:val="0012690B"/>
    <w:rsid w:val="00127BC5"/>
    <w:rsid w:val="00130202"/>
    <w:rsid w:val="001319A9"/>
    <w:rsid w:val="00133BB0"/>
    <w:rsid w:val="00133ED3"/>
    <w:rsid w:val="00140559"/>
    <w:rsid w:val="00141685"/>
    <w:rsid w:val="00143CDB"/>
    <w:rsid w:val="00144066"/>
    <w:rsid w:val="0014544B"/>
    <w:rsid w:val="00145E7A"/>
    <w:rsid w:val="001518B4"/>
    <w:rsid w:val="00155AE4"/>
    <w:rsid w:val="00160396"/>
    <w:rsid w:val="00162D6B"/>
    <w:rsid w:val="00166967"/>
    <w:rsid w:val="001728D2"/>
    <w:rsid w:val="0017339B"/>
    <w:rsid w:val="0018519B"/>
    <w:rsid w:val="00186891"/>
    <w:rsid w:val="00193B19"/>
    <w:rsid w:val="001A029F"/>
    <w:rsid w:val="001A6C0B"/>
    <w:rsid w:val="001A7230"/>
    <w:rsid w:val="001B25F4"/>
    <w:rsid w:val="001B5139"/>
    <w:rsid w:val="001B56A0"/>
    <w:rsid w:val="001C0408"/>
    <w:rsid w:val="001C3DFD"/>
    <w:rsid w:val="001C3F56"/>
    <w:rsid w:val="001C5B4A"/>
    <w:rsid w:val="001C79FF"/>
    <w:rsid w:val="001D4AC7"/>
    <w:rsid w:val="001D625F"/>
    <w:rsid w:val="001D73A0"/>
    <w:rsid w:val="001E394E"/>
    <w:rsid w:val="001E484F"/>
    <w:rsid w:val="001E76E6"/>
    <w:rsid w:val="001F6C6E"/>
    <w:rsid w:val="00201579"/>
    <w:rsid w:val="00202B85"/>
    <w:rsid w:val="00204FF5"/>
    <w:rsid w:val="00207534"/>
    <w:rsid w:val="00214990"/>
    <w:rsid w:val="002279CA"/>
    <w:rsid w:val="00227D6B"/>
    <w:rsid w:val="00233CD4"/>
    <w:rsid w:val="002356D7"/>
    <w:rsid w:val="00237F40"/>
    <w:rsid w:val="002401E9"/>
    <w:rsid w:val="0024216E"/>
    <w:rsid w:val="002421B9"/>
    <w:rsid w:val="00256E4B"/>
    <w:rsid w:val="00261894"/>
    <w:rsid w:val="00261DF3"/>
    <w:rsid w:val="0026308E"/>
    <w:rsid w:val="00265B66"/>
    <w:rsid w:val="00275867"/>
    <w:rsid w:val="00281235"/>
    <w:rsid w:val="00281A20"/>
    <w:rsid w:val="002830DE"/>
    <w:rsid w:val="00286BE0"/>
    <w:rsid w:val="00286FCF"/>
    <w:rsid w:val="00290298"/>
    <w:rsid w:val="002916AF"/>
    <w:rsid w:val="002A125C"/>
    <w:rsid w:val="002B012B"/>
    <w:rsid w:val="002B354F"/>
    <w:rsid w:val="002B3BAA"/>
    <w:rsid w:val="002B5EA7"/>
    <w:rsid w:val="002C146C"/>
    <w:rsid w:val="002C2212"/>
    <w:rsid w:val="002D00AD"/>
    <w:rsid w:val="002D2283"/>
    <w:rsid w:val="002D5EE6"/>
    <w:rsid w:val="002D66BF"/>
    <w:rsid w:val="002E0512"/>
    <w:rsid w:val="002E241A"/>
    <w:rsid w:val="00302003"/>
    <w:rsid w:val="00307D9B"/>
    <w:rsid w:val="00313D6C"/>
    <w:rsid w:val="003241F8"/>
    <w:rsid w:val="00330DA6"/>
    <w:rsid w:val="00333251"/>
    <w:rsid w:val="0033392E"/>
    <w:rsid w:val="00334586"/>
    <w:rsid w:val="00342B11"/>
    <w:rsid w:val="00345398"/>
    <w:rsid w:val="00355EC7"/>
    <w:rsid w:val="0037139E"/>
    <w:rsid w:val="00371FC9"/>
    <w:rsid w:val="003808C0"/>
    <w:rsid w:val="00381D77"/>
    <w:rsid w:val="00395601"/>
    <w:rsid w:val="003A260B"/>
    <w:rsid w:val="003B0FBE"/>
    <w:rsid w:val="003B1897"/>
    <w:rsid w:val="003C2925"/>
    <w:rsid w:val="003D2E81"/>
    <w:rsid w:val="003D6975"/>
    <w:rsid w:val="003D741F"/>
    <w:rsid w:val="003E45E1"/>
    <w:rsid w:val="003E54FF"/>
    <w:rsid w:val="003E6A2B"/>
    <w:rsid w:val="003F030D"/>
    <w:rsid w:val="003F4708"/>
    <w:rsid w:val="004001CB"/>
    <w:rsid w:val="00400FC3"/>
    <w:rsid w:val="0040322A"/>
    <w:rsid w:val="00403F88"/>
    <w:rsid w:val="004101C7"/>
    <w:rsid w:val="004107A6"/>
    <w:rsid w:val="00411762"/>
    <w:rsid w:val="00426A4C"/>
    <w:rsid w:val="004331C5"/>
    <w:rsid w:val="00436B26"/>
    <w:rsid w:val="00440634"/>
    <w:rsid w:val="0044563C"/>
    <w:rsid w:val="00447BC7"/>
    <w:rsid w:val="00447C46"/>
    <w:rsid w:val="00450315"/>
    <w:rsid w:val="0045423B"/>
    <w:rsid w:val="00460D05"/>
    <w:rsid w:val="004632F8"/>
    <w:rsid w:val="00467D8A"/>
    <w:rsid w:val="00470C30"/>
    <w:rsid w:val="004711D4"/>
    <w:rsid w:val="004729CD"/>
    <w:rsid w:val="00475AF5"/>
    <w:rsid w:val="00475D6A"/>
    <w:rsid w:val="00476D1A"/>
    <w:rsid w:val="00476FEE"/>
    <w:rsid w:val="0049131C"/>
    <w:rsid w:val="004B3598"/>
    <w:rsid w:val="004B4546"/>
    <w:rsid w:val="004C062C"/>
    <w:rsid w:val="004C158E"/>
    <w:rsid w:val="004C3124"/>
    <w:rsid w:val="004C4AA0"/>
    <w:rsid w:val="004C7C5E"/>
    <w:rsid w:val="004D4170"/>
    <w:rsid w:val="004D51DD"/>
    <w:rsid w:val="004D581B"/>
    <w:rsid w:val="004D6890"/>
    <w:rsid w:val="004E16FD"/>
    <w:rsid w:val="004E3042"/>
    <w:rsid w:val="00500EA8"/>
    <w:rsid w:val="005021E3"/>
    <w:rsid w:val="00507585"/>
    <w:rsid w:val="0051238D"/>
    <w:rsid w:val="00512EE2"/>
    <w:rsid w:val="00515EE4"/>
    <w:rsid w:val="0051621E"/>
    <w:rsid w:val="00522F6F"/>
    <w:rsid w:val="00524F7B"/>
    <w:rsid w:val="00527288"/>
    <w:rsid w:val="00534068"/>
    <w:rsid w:val="0053697F"/>
    <w:rsid w:val="00536EAC"/>
    <w:rsid w:val="0054722F"/>
    <w:rsid w:val="005514BA"/>
    <w:rsid w:val="00554FFE"/>
    <w:rsid w:val="00556E86"/>
    <w:rsid w:val="005613C7"/>
    <w:rsid w:val="005622B4"/>
    <w:rsid w:val="0056393A"/>
    <w:rsid w:val="0057358A"/>
    <w:rsid w:val="00573FB6"/>
    <w:rsid w:val="00573FC7"/>
    <w:rsid w:val="005859E6"/>
    <w:rsid w:val="0058650D"/>
    <w:rsid w:val="00587F30"/>
    <w:rsid w:val="005921E9"/>
    <w:rsid w:val="005A0E76"/>
    <w:rsid w:val="005B0BB2"/>
    <w:rsid w:val="005B12FA"/>
    <w:rsid w:val="005B1B62"/>
    <w:rsid w:val="005B267A"/>
    <w:rsid w:val="005B7518"/>
    <w:rsid w:val="005C175C"/>
    <w:rsid w:val="005C271D"/>
    <w:rsid w:val="005C5BD2"/>
    <w:rsid w:val="005C7131"/>
    <w:rsid w:val="005D145B"/>
    <w:rsid w:val="005E014A"/>
    <w:rsid w:val="005E018F"/>
    <w:rsid w:val="005E5614"/>
    <w:rsid w:val="005E6446"/>
    <w:rsid w:val="005E6F6E"/>
    <w:rsid w:val="005E7D8E"/>
    <w:rsid w:val="005F4BD6"/>
    <w:rsid w:val="005F62BA"/>
    <w:rsid w:val="005F64EF"/>
    <w:rsid w:val="006105BF"/>
    <w:rsid w:val="00614D69"/>
    <w:rsid w:val="00620D23"/>
    <w:rsid w:val="0062210F"/>
    <w:rsid w:val="00626A62"/>
    <w:rsid w:val="00630BF6"/>
    <w:rsid w:val="00633474"/>
    <w:rsid w:val="00633E62"/>
    <w:rsid w:val="00634149"/>
    <w:rsid w:val="0063605F"/>
    <w:rsid w:val="00637182"/>
    <w:rsid w:val="0064101E"/>
    <w:rsid w:val="00655C8D"/>
    <w:rsid w:val="00656F76"/>
    <w:rsid w:val="00657D70"/>
    <w:rsid w:val="006611C2"/>
    <w:rsid w:val="00661929"/>
    <w:rsid w:val="00670B90"/>
    <w:rsid w:val="00672A9B"/>
    <w:rsid w:val="0067306A"/>
    <w:rsid w:val="00676E9A"/>
    <w:rsid w:val="006863C6"/>
    <w:rsid w:val="00690595"/>
    <w:rsid w:val="0069067A"/>
    <w:rsid w:val="00692089"/>
    <w:rsid w:val="006937AB"/>
    <w:rsid w:val="00693C62"/>
    <w:rsid w:val="0069562D"/>
    <w:rsid w:val="00696E79"/>
    <w:rsid w:val="006A1C14"/>
    <w:rsid w:val="006A57BF"/>
    <w:rsid w:val="006A665C"/>
    <w:rsid w:val="006A6E04"/>
    <w:rsid w:val="006B208A"/>
    <w:rsid w:val="006B226C"/>
    <w:rsid w:val="006B2A69"/>
    <w:rsid w:val="006B362B"/>
    <w:rsid w:val="006C0AF0"/>
    <w:rsid w:val="006C5FF5"/>
    <w:rsid w:val="006C7C43"/>
    <w:rsid w:val="006D0D1B"/>
    <w:rsid w:val="006D2252"/>
    <w:rsid w:val="006D2D54"/>
    <w:rsid w:val="006D47A3"/>
    <w:rsid w:val="006E021C"/>
    <w:rsid w:val="006E1B37"/>
    <w:rsid w:val="006E6B23"/>
    <w:rsid w:val="006E74CB"/>
    <w:rsid w:val="006F0FA2"/>
    <w:rsid w:val="006F17EE"/>
    <w:rsid w:val="006F2953"/>
    <w:rsid w:val="006F542F"/>
    <w:rsid w:val="00700307"/>
    <w:rsid w:val="007062C4"/>
    <w:rsid w:val="0070738F"/>
    <w:rsid w:val="0071073E"/>
    <w:rsid w:val="00710967"/>
    <w:rsid w:val="0071101C"/>
    <w:rsid w:val="0071219D"/>
    <w:rsid w:val="00723449"/>
    <w:rsid w:val="00724EFC"/>
    <w:rsid w:val="00733761"/>
    <w:rsid w:val="007408DE"/>
    <w:rsid w:val="00740D0F"/>
    <w:rsid w:val="00744358"/>
    <w:rsid w:val="00753508"/>
    <w:rsid w:val="007636FE"/>
    <w:rsid w:val="00767FBA"/>
    <w:rsid w:val="0077054B"/>
    <w:rsid w:val="0077202F"/>
    <w:rsid w:val="00773EFF"/>
    <w:rsid w:val="007776D6"/>
    <w:rsid w:val="00780C0B"/>
    <w:rsid w:val="00782479"/>
    <w:rsid w:val="007863CD"/>
    <w:rsid w:val="00786D75"/>
    <w:rsid w:val="0079019B"/>
    <w:rsid w:val="00795ECC"/>
    <w:rsid w:val="0079767E"/>
    <w:rsid w:val="00797D29"/>
    <w:rsid w:val="007A3281"/>
    <w:rsid w:val="007A6F59"/>
    <w:rsid w:val="007B2F89"/>
    <w:rsid w:val="007B61EC"/>
    <w:rsid w:val="007C6A3A"/>
    <w:rsid w:val="007C7925"/>
    <w:rsid w:val="007D1B7D"/>
    <w:rsid w:val="007D643E"/>
    <w:rsid w:val="007E0F52"/>
    <w:rsid w:val="007F3864"/>
    <w:rsid w:val="007F7397"/>
    <w:rsid w:val="00804D07"/>
    <w:rsid w:val="0080594C"/>
    <w:rsid w:val="00806FDC"/>
    <w:rsid w:val="0081003B"/>
    <w:rsid w:val="00811935"/>
    <w:rsid w:val="008140E3"/>
    <w:rsid w:val="00816F6A"/>
    <w:rsid w:val="00817304"/>
    <w:rsid w:val="0082324C"/>
    <w:rsid w:val="0082403B"/>
    <w:rsid w:val="0082524C"/>
    <w:rsid w:val="00841E8E"/>
    <w:rsid w:val="0084260D"/>
    <w:rsid w:val="00851EE6"/>
    <w:rsid w:val="0085500C"/>
    <w:rsid w:val="00855E4F"/>
    <w:rsid w:val="00863C35"/>
    <w:rsid w:val="008646FF"/>
    <w:rsid w:val="008706B5"/>
    <w:rsid w:val="00870E97"/>
    <w:rsid w:val="00872232"/>
    <w:rsid w:val="008726AD"/>
    <w:rsid w:val="00876AB0"/>
    <w:rsid w:val="00883659"/>
    <w:rsid w:val="008875DD"/>
    <w:rsid w:val="00890E7F"/>
    <w:rsid w:val="008911BC"/>
    <w:rsid w:val="00893128"/>
    <w:rsid w:val="008A3011"/>
    <w:rsid w:val="008A3DBB"/>
    <w:rsid w:val="008A461E"/>
    <w:rsid w:val="008A7556"/>
    <w:rsid w:val="008A7AE2"/>
    <w:rsid w:val="008B0569"/>
    <w:rsid w:val="008B1DC7"/>
    <w:rsid w:val="008D2CE3"/>
    <w:rsid w:val="008D4D39"/>
    <w:rsid w:val="008D609B"/>
    <w:rsid w:val="008D68BA"/>
    <w:rsid w:val="008D6B35"/>
    <w:rsid w:val="008E7FA5"/>
    <w:rsid w:val="008F36B1"/>
    <w:rsid w:val="008F3B65"/>
    <w:rsid w:val="008F5290"/>
    <w:rsid w:val="008F748E"/>
    <w:rsid w:val="009014EB"/>
    <w:rsid w:val="00905114"/>
    <w:rsid w:val="00905F77"/>
    <w:rsid w:val="00907E80"/>
    <w:rsid w:val="00920A64"/>
    <w:rsid w:val="00921733"/>
    <w:rsid w:val="00923F60"/>
    <w:rsid w:val="00924590"/>
    <w:rsid w:val="0092569C"/>
    <w:rsid w:val="00926778"/>
    <w:rsid w:val="00927057"/>
    <w:rsid w:val="00933E68"/>
    <w:rsid w:val="0093478F"/>
    <w:rsid w:val="00934E49"/>
    <w:rsid w:val="00936EEB"/>
    <w:rsid w:val="0094155A"/>
    <w:rsid w:val="00942637"/>
    <w:rsid w:val="009457FC"/>
    <w:rsid w:val="00954C66"/>
    <w:rsid w:val="009576A5"/>
    <w:rsid w:val="0096184B"/>
    <w:rsid w:val="009651FF"/>
    <w:rsid w:val="00971010"/>
    <w:rsid w:val="0097236B"/>
    <w:rsid w:val="0097236F"/>
    <w:rsid w:val="009757DD"/>
    <w:rsid w:val="00975C05"/>
    <w:rsid w:val="00977679"/>
    <w:rsid w:val="00984636"/>
    <w:rsid w:val="009874F8"/>
    <w:rsid w:val="00992D88"/>
    <w:rsid w:val="00994A22"/>
    <w:rsid w:val="00995522"/>
    <w:rsid w:val="009A3D70"/>
    <w:rsid w:val="009A4A37"/>
    <w:rsid w:val="009A73AE"/>
    <w:rsid w:val="009A7A29"/>
    <w:rsid w:val="009B1BA8"/>
    <w:rsid w:val="009B5446"/>
    <w:rsid w:val="009B6DA0"/>
    <w:rsid w:val="009B794D"/>
    <w:rsid w:val="009C061D"/>
    <w:rsid w:val="009C7702"/>
    <w:rsid w:val="009D2F98"/>
    <w:rsid w:val="009D611F"/>
    <w:rsid w:val="009D7380"/>
    <w:rsid w:val="009E0174"/>
    <w:rsid w:val="009E145F"/>
    <w:rsid w:val="009E2C5C"/>
    <w:rsid w:val="009E40B2"/>
    <w:rsid w:val="009E4EEB"/>
    <w:rsid w:val="009F1235"/>
    <w:rsid w:val="009F2799"/>
    <w:rsid w:val="009F2A55"/>
    <w:rsid w:val="009F30C7"/>
    <w:rsid w:val="009F379D"/>
    <w:rsid w:val="009F3808"/>
    <w:rsid w:val="00A03F1E"/>
    <w:rsid w:val="00A05DB8"/>
    <w:rsid w:val="00A07227"/>
    <w:rsid w:val="00A07B6D"/>
    <w:rsid w:val="00A1567B"/>
    <w:rsid w:val="00A16005"/>
    <w:rsid w:val="00A16221"/>
    <w:rsid w:val="00A2542A"/>
    <w:rsid w:val="00A37183"/>
    <w:rsid w:val="00A43879"/>
    <w:rsid w:val="00A50AE4"/>
    <w:rsid w:val="00A618BC"/>
    <w:rsid w:val="00A64DC5"/>
    <w:rsid w:val="00A677C9"/>
    <w:rsid w:val="00A6795C"/>
    <w:rsid w:val="00A719D7"/>
    <w:rsid w:val="00A72AA4"/>
    <w:rsid w:val="00A85E0B"/>
    <w:rsid w:val="00A8621F"/>
    <w:rsid w:val="00A87092"/>
    <w:rsid w:val="00A87187"/>
    <w:rsid w:val="00A8778F"/>
    <w:rsid w:val="00AA2E00"/>
    <w:rsid w:val="00AB01C7"/>
    <w:rsid w:val="00AB0490"/>
    <w:rsid w:val="00AB62ED"/>
    <w:rsid w:val="00AB6911"/>
    <w:rsid w:val="00AB7186"/>
    <w:rsid w:val="00AC07E8"/>
    <w:rsid w:val="00AC193A"/>
    <w:rsid w:val="00AC1CC7"/>
    <w:rsid w:val="00AC201F"/>
    <w:rsid w:val="00AC36EB"/>
    <w:rsid w:val="00AC486C"/>
    <w:rsid w:val="00AC4B46"/>
    <w:rsid w:val="00AC76E9"/>
    <w:rsid w:val="00AC77BE"/>
    <w:rsid w:val="00AD6B2E"/>
    <w:rsid w:val="00AD74C5"/>
    <w:rsid w:val="00AE1E48"/>
    <w:rsid w:val="00AE2749"/>
    <w:rsid w:val="00AE30FF"/>
    <w:rsid w:val="00AE3896"/>
    <w:rsid w:val="00AE7D72"/>
    <w:rsid w:val="00AF06BD"/>
    <w:rsid w:val="00B04A44"/>
    <w:rsid w:val="00B22CC8"/>
    <w:rsid w:val="00B23E58"/>
    <w:rsid w:val="00B30A05"/>
    <w:rsid w:val="00B31940"/>
    <w:rsid w:val="00B31ABF"/>
    <w:rsid w:val="00B35471"/>
    <w:rsid w:val="00B3613D"/>
    <w:rsid w:val="00B40128"/>
    <w:rsid w:val="00B40801"/>
    <w:rsid w:val="00B40C1B"/>
    <w:rsid w:val="00B43A23"/>
    <w:rsid w:val="00B47025"/>
    <w:rsid w:val="00B51F61"/>
    <w:rsid w:val="00B55357"/>
    <w:rsid w:val="00B56988"/>
    <w:rsid w:val="00B57FAF"/>
    <w:rsid w:val="00B7197C"/>
    <w:rsid w:val="00B71C61"/>
    <w:rsid w:val="00B767B8"/>
    <w:rsid w:val="00B77B34"/>
    <w:rsid w:val="00B8282E"/>
    <w:rsid w:val="00B84B71"/>
    <w:rsid w:val="00B95C90"/>
    <w:rsid w:val="00BA183F"/>
    <w:rsid w:val="00BA2489"/>
    <w:rsid w:val="00BA32E0"/>
    <w:rsid w:val="00BA3CFC"/>
    <w:rsid w:val="00BA56D5"/>
    <w:rsid w:val="00BA7658"/>
    <w:rsid w:val="00BA79CB"/>
    <w:rsid w:val="00BB06EE"/>
    <w:rsid w:val="00BB0F07"/>
    <w:rsid w:val="00BB2083"/>
    <w:rsid w:val="00BB3723"/>
    <w:rsid w:val="00BB771E"/>
    <w:rsid w:val="00BC3E47"/>
    <w:rsid w:val="00BC46DA"/>
    <w:rsid w:val="00BD24EF"/>
    <w:rsid w:val="00BD38FE"/>
    <w:rsid w:val="00BD47AB"/>
    <w:rsid w:val="00BD721E"/>
    <w:rsid w:val="00BE1EE7"/>
    <w:rsid w:val="00BE507B"/>
    <w:rsid w:val="00BF22A0"/>
    <w:rsid w:val="00C01A8D"/>
    <w:rsid w:val="00C05433"/>
    <w:rsid w:val="00C079EC"/>
    <w:rsid w:val="00C176D4"/>
    <w:rsid w:val="00C23B4C"/>
    <w:rsid w:val="00C26E9B"/>
    <w:rsid w:val="00C307FB"/>
    <w:rsid w:val="00C371D6"/>
    <w:rsid w:val="00C46379"/>
    <w:rsid w:val="00C52886"/>
    <w:rsid w:val="00C5347A"/>
    <w:rsid w:val="00C553C7"/>
    <w:rsid w:val="00C55DF5"/>
    <w:rsid w:val="00C57D74"/>
    <w:rsid w:val="00C6054D"/>
    <w:rsid w:val="00C609AB"/>
    <w:rsid w:val="00C66728"/>
    <w:rsid w:val="00C736E1"/>
    <w:rsid w:val="00C755A1"/>
    <w:rsid w:val="00C82B53"/>
    <w:rsid w:val="00C90CC3"/>
    <w:rsid w:val="00C94D72"/>
    <w:rsid w:val="00C9550C"/>
    <w:rsid w:val="00C95AD0"/>
    <w:rsid w:val="00CB110E"/>
    <w:rsid w:val="00CB7957"/>
    <w:rsid w:val="00CC5940"/>
    <w:rsid w:val="00CC68CD"/>
    <w:rsid w:val="00CC6F89"/>
    <w:rsid w:val="00CD10FD"/>
    <w:rsid w:val="00CD2A8E"/>
    <w:rsid w:val="00CD5BA3"/>
    <w:rsid w:val="00CD6837"/>
    <w:rsid w:val="00CD7D19"/>
    <w:rsid w:val="00CE2897"/>
    <w:rsid w:val="00CE4CB3"/>
    <w:rsid w:val="00CE558E"/>
    <w:rsid w:val="00CF1042"/>
    <w:rsid w:val="00CF6A90"/>
    <w:rsid w:val="00D04ECA"/>
    <w:rsid w:val="00D06CF1"/>
    <w:rsid w:val="00D10305"/>
    <w:rsid w:val="00D15709"/>
    <w:rsid w:val="00D20C6B"/>
    <w:rsid w:val="00D2107E"/>
    <w:rsid w:val="00D3334D"/>
    <w:rsid w:val="00D33352"/>
    <w:rsid w:val="00D33CF3"/>
    <w:rsid w:val="00D3402D"/>
    <w:rsid w:val="00D3478A"/>
    <w:rsid w:val="00D36898"/>
    <w:rsid w:val="00D402F7"/>
    <w:rsid w:val="00D40ACA"/>
    <w:rsid w:val="00D41E99"/>
    <w:rsid w:val="00D5088D"/>
    <w:rsid w:val="00D52895"/>
    <w:rsid w:val="00D53994"/>
    <w:rsid w:val="00D55BAF"/>
    <w:rsid w:val="00D60381"/>
    <w:rsid w:val="00D618EC"/>
    <w:rsid w:val="00D62B5C"/>
    <w:rsid w:val="00D63E7C"/>
    <w:rsid w:val="00D721AC"/>
    <w:rsid w:val="00D73711"/>
    <w:rsid w:val="00D74EE5"/>
    <w:rsid w:val="00D83DEA"/>
    <w:rsid w:val="00D86402"/>
    <w:rsid w:val="00D91CC4"/>
    <w:rsid w:val="00D97B89"/>
    <w:rsid w:val="00DA024D"/>
    <w:rsid w:val="00DA0D0F"/>
    <w:rsid w:val="00DB30D0"/>
    <w:rsid w:val="00DB37A0"/>
    <w:rsid w:val="00DB70B2"/>
    <w:rsid w:val="00DB70BB"/>
    <w:rsid w:val="00DC3A82"/>
    <w:rsid w:val="00DC5BE7"/>
    <w:rsid w:val="00DC6EEC"/>
    <w:rsid w:val="00DD2705"/>
    <w:rsid w:val="00DD5A37"/>
    <w:rsid w:val="00DE74C9"/>
    <w:rsid w:val="00DF1E4F"/>
    <w:rsid w:val="00DF477B"/>
    <w:rsid w:val="00E01FD3"/>
    <w:rsid w:val="00E03903"/>
    <w:rsid w:val="00E07448"/>
    <w:rsid w:val="00E10015"/>
    <w:rsid w:val="00E10F3F"/>
    <w:rsid w:val="00E12F89"/>
    <w:rsid w:val="00E14E7E"/>
    <w:rsid w:val="00E14EAA"/>
    <w:rsid w:val="00E15EF7"/>
    <w:rsid w:val="00E17A86"/>
    <w:rsid w:val="00E20FA3"/>
    <w:rsid w:val="00E23BBA"/>
    <w:rsid w:val="00E30F53"/>
    <w:rsid w:val="00E34178"/>
    <w:rsid w:val="00E36DE3"/>
    <w:rsid w:val="00E4398A"/>
    <w:rsid w:val="00E46595"/>
    <w:rsid w:val="00E5652C"/>
    <w:rsid w:val="00E61533"/>
    <w:rsid w:val="00E65B20"/>
    <w:rsid w:val="00E67D3B"/>
    <w:rsid w:val="00E720DF"/>
    <w:rsid w:val="00E73BE2"/>
    <w:rsid w:val="00E753B0"/>
    <w:rsid w:val="00E75673"/>
    <w:rsid w:val="00E827AB"/>
    <w:rsid w:val="00E848E9"/>
    <w:rsid w:val="00E85813"/>
    <w:rsid w:val="00E864C3"/>
    <w:rsid w:val="00E909F1"/>
    <w:rsid w:val="00E979B7"/>
    <w:rsid w:val="00EA0D77"/>
    <w:rsid w:val="00EA58C9"/>
    <w:rsid w:val="00EA5E7A"/>
    <w:rsid w:val="00EA6866"/>
    <w:rsid w:val="00EC2F64"/>
    <w:rsid w:val="00EC620E"/>
    <w:rsid w:val="00EC7412"/>
    <w:rsid w:val="00EC7413"/>
    <w:rsid w:val="00ED2995"/>
    <w:rsid w:val="00ED5B1D"/>
    <w:rsid w:val="00EE11BD"/>
    <w:rsid w:val="00EE65E4"/>
    <w:rsid w:val="00EF0184"/>
    <w:rsid w:val="00EF1B0E"/>
    <w:rsid w:val="00EF29DB"/>
    <w:rsid w:val="00EF36FD"/>
    <w:rsid w:val="00EF74BB"/>
    <w:rsid w:val="00EF7E64"/>
    <w:rsid w:val="00EF7E7F"/>
    <w:rsid w:val="00F012B5"/>
    <w:rsid w:val="00F0197F"/>
    <w:rsid w:val="00F051EC"/>
    <w:rsid w:val="00F24B75"/>
    <w:rsid w:val="00F2544A"/>
    <w:rsid w:val="00F27591"/>
    <w:rsid w:val="00F32B9E"/>
    <w:rsid w:val="00F342CF"/>
    <w:rsid w:val="00F362E1"/>
    <w:rsid w:val="00F3685E"/>
    <w:rsid w:val="00F378EA"/>
    <w:rsid w:val="00F37ECA"/>
    <w:rsid w:val="00F408C1"/>
    <w:rsid w:val="00F47B9D"/>
    <w:rsid w:val="00F67E52"/>
    <w:rsid w:val="00F73DA2"/>
    <w:rsid w:val="00F827B0"/>
    <w:rsid w:val="00F863D9"/>
    <w:rsid w:val="00F92D1B"/>
    <w:rsid w:val="00F93FF7"/>
    <w:rsid w:val="00FA0082"/>
    <w:rsid w:val="00FA0137"/>
    <w:rsid w:val="00FA0D30"/>
    <w:rsid w:val="00FA0DE8"/>
    <w:rsid w:val="00FA1EBF"/>
    <w:rsid w:val="00FA3C7A"/>
    <w:rsid w:val="00FA5F57"/>
    <w:rsid w:val="00FA7C6D"/>
    <w:rsid w:val="00FB04DF"/>
    <w:rsid w:val="00FB5517"/>
    <w:rsid w:val="00FB58EE"/>
    <w:rsid w:val="00FB7190"/>
    <w:rsid w:val="00FC1A93"/>
    <w:rsid w:val="00FC36B9"/>
    <w:rsid w:val="00FC5913"/>
    <w:rsid w:val="00FC5E67"/>
    <w:rsid w:val="00FE0945"/>
    <w:rsid w:val="00FE2091"/>
    <w:rsid w:val="00FE2E6C"/>
    <w:rsid w:val="00FE43F7"/>
    <w:rsid w:val="00FF36FD"/>
    <w:rsid w:val="029D325A"/>
    <w:rsid w:val="08885E7C"/>
    <w:rsid w:val="119F169E"/>
    <w:rsid w:val="1D964A0A"/>
    <w:rsid w:val="26B23C6C"/>
    <w:rsid w:val="28322164"/>
    <w:rsid w:val="2F8C62F3"/>
    <w:rsid w:val="320A3C17"/>
    <w:rsid w:val="34B2161E"/>
    <w:rsid w:val="34C93448"/>
    <w:rsid w:val="3A2E0D0B"/>
    <w:rsid w:val="3CB63908"/>
    <w:rsid w:val="3CED5F04"/>
    <w:rsid w:val="43427B8D"/>
    <w:rsid w:val="555B36EF"/>
    <w:rsid w:val="570206AF"/>
    <w:rsid w:val="5C5C01DF"/>
    <w:rsid w:val="5EB56C59"/>
    <w:rsid w:val="5ECC1563"/>
    <w:rsid w:val="6213321B"/>
    <w:rsid w:val="62EC12FF"/>
    <w:rsid w:val="6A8B5E29"/>
    <w:rsid w:val="6AFB2BA2"/>
    <w:rsid w:val="6EFE3DA4"/>
    <w:rsid w:val="70A33960"/>
    <w:rsid w:val="71981494"/>
    <w:rsid w:val="721C37F1"/>
    <w:rsid w:val="75CC365F"/>
    <w:rsid w:val="78C445AE"/>
    <w:rsid w:val="7C4F36F0"/>
    <w:rsid w:val="7D51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link w:val="19"/>
    <w:unhideWhenUsed/>
    <w:qFormat/>
    <w:uiPriority w:val="99"/>
    <w:pPr>
      <w:spacing w:after="120"/>
      <w:ind w:left="420" w:leftChars="200"/>
    </w:pPr>
  </w:style>
  <w:style w:type="paragraph" w:styleId="4">
    <w:name w:val="Date"/>
    <w:basedOn w:val="1"/>
    <w:next w:val="1"/>
    <w:link w:val="20"/>
    <w:unhideWhenUsed/>
    <w:qFormat/>
    <w:uiPriority w:val="99"/>
    <w:pPr>
      <w:ind w:left="100" w:leftChars="2500"/>
    </w:pPr>
  </w:style>
  <w:style w:type="paragraph" w:styleId="5">
    <w:name w:val="Body Text Indent 2"/>
    <w:basedOn w:val="1"/>
    <w:link w:val="21"/>
    <w:semiHidden/>
    <w:qFormat/>
    <w:uiPriority w:val="0"/>
    <w:pPr>
      <w:snapToGrid w:val="0"/>
      <w:spacing w:line="560" w:lineRule="atLeast"/>
      <w:ind w:firstLine="640" w:firstLineChars="200"/>
    </w:pPr>
    <w:rPr>
      <w:rFonts w:ascii="仿宋_GB2312" w:eastAsia="仿宋_GB2312"/>
      <w:color w:val="FF0000"/>
      <w:sz w:val="32"/>
    </w:rPr>
  </w:style>
  <w:style w:type="paragraph" w:styleId="6">
    <w:name w:val="Balloon Text"/>
    <w:basedOn w:val="1"/>
    <w:link w:val="16"/>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4"/>
    <w:semiHidden/>
    <w:qFormat/>
    <w:uiPriority w:val="0"/>
    <w:pPr>
      <w:adjustRightInd w:val="0"/>
      <w:snapToGrid w:val="0"/>
      <w:spacing w:line="560" w:lineRule="atLeast"/>
      <w:ind w:firstLine="640" w:firstLineChars="200"/>
      <w:textAlignment w:val="baseline"/>
    </w:pPr>
    <w:rPr>
      <w:rFonts w:ascii="仿宋_GB2312" w:eastAsia="仿宋_GB2312"/>
      <w:kern w:val="0"/>
      <w:sz w:val="32"/>
      <w:szCs w:val="20"/>
    </w:rPr>
  </w:style>
  <w:style w:type="paragraph" w:styleId="10">
    <w:name w:val="annotation subject"/>
    <w:basedOn w:val="2"/>
    <w:next w:val="2"/>
    <w:link w:val="18"/>
    <w:unhideWhenUsed/>
    <w:qFormat/>
    <w:uiPriority w:val="99"/>
    <w:rPr>
      <w:b/>
      <w:bCs/>
    </w:rPr>
  </w:style>
  <w:style w:type="table" w:styleId="12">
    <w:name w:val="Table Grid"/>
    <w:basedOn w:val="11"/>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semiHidden/>
    <w:qFormat/>
    <w:uiPriority w:val="0"/>
  </w:style>
  <w:style w:type="character" w:styleId="15">
    <w:name w:val="annotation reference"/>
    <w:qFormat/>
    <w:uiPriority w:val="99"/>
    <w:rPr>
      <w:sz w:val="21"/>
      <w:szCs w:val="21"/>
    </w:rPr>
  </w:style>
  <w:style w:type="character" w:customStyle="1" w:styleId="16">
    <w:name w:val="批注框文本 Char"/>
    <w:basedOn w:val="13"/>
    <w:link w:val="6"/>
    <w:semiHidden/>
    <w:qFormat/>
    <w:uiPriority w:val="99"/>
    <w:rPr>
      <w:sz w:val="18"/>
      <w:szCs w:val="18"/>
    </w:rPr>
  </w:style>
  <w:style w:type="character" w:customStyle="1" w:styleId="17">
    <w:name w:val="批注文字 Char"/>
    <w:basedOn w:val="13"/>
    <w:link w:val="2"/>
    <w:qFormat/>
    <w:uiPriority w:val="99"/>
    <w:rPr>
      <w:rFonts w:ascii="Times New Roman" w:hAnsi="Times New Roman" w:eastAsia="宋体" w:cs="Times New Roman"/>
      <w:szCs w:val="24"/>
    </w:rPr>
  </w:style>
  <w:style w:type="character" w:customStyle="1" w:styleId="18">
    <w:name w:val="批注主题 Char"/>
    <w:basedOn w:val="17"/>
    <w:link w:val="10"/>
    <w:qFormat/>
    <w:uiPriority w:val="99"/>
    <w:rPr>
      <w:rFonts w:ascii="Times New Roman" w:hAnsi="Times New Roman" w:eastAsia="宋体" w:cs="Times New Roman"/>
      <w:b/>
      <w:bCs/>
      <w:szCs w:val="24"/>
    </w:rPr>
  </w:style>
  <w:style w:type="character" w:customStyle="1" w:styleId="19">
    <w:name w:val="正文文本缩进 Char"/>
    <w:basedOn w:val="13"/>
    <w:link w:val="3"/>
    <w:qFormat/>
    <w:uiPriority w:val="99"/>
    <w:rPr>
      <w:rFonts w:ascii="Times New Roman" w:hAnsi="Times New Roman" w:eastAsia="宋体" w:cs="Times New Roman"/>
      <w:szCs w:val="24"/>
    </w:rPr>
  </w:style>
  <w:style w:type="character" w:customStyle="1" w:styleId="20">
    <w:name w:val="日期 Char"/>
    <w:basedOn w:val="13"/>
    <w:link w:val="4"/>
    <w:qFormat/>
    <w:uiPriority w:val="99"/>
    <w:rPr>
      <w:rFonts w:ascii="Times New Roman" w:hAnsi="Times New Roman" w:eastAsia="宋体" w:cs="Times New Roman"/>
      <w:szCs w:val="24"/>
    </w:rPr>
  </w:style>
  <w:style w:type="character" w:customStyle="1" w:styleId="21">
    <w:name w:val="正文文本缩进 2 Char"/>
    <w:basedOn w:val="13"/>
    <w:link w:val="5"/>
    <w:semiHidden/>
    <w:qFormat/>
    <w:uiPriority w:val="0"/>
    <w:rPr>
      <w:rFonts w:ascii="仿宋_GB2312" w:hAnsi="Times New Roman" w:eastAsia="仿宋_GB2312" w:cs="Times New Roman"/>
      <w:color w:val="FF0000"/>
      <w:sz w:val="32"/>
      <w:szCs w:val="24"/>
    </w:rPr>
  </w:style>
  <w:style w:type="character" w:customStyle="1" w:styleId="22">
    <w:name w:val="页脚 Char"/>
    <w:basedOn w:val="13"/>
    <w:link w:val="7"/>
    <w:qFormat/>
    <w:uiPriority w:val="99"/>
    <w:rPr>
      <w:rFonts w:ascii="Times New Roman" w:hAnsi="Times New Roman" w:eastAsia="宋体" w:cs="Times New Roman"/>
      <w:sz w:val="18"/>
      <w:szCs w:val="18"/>
    </w:rPr>
  </w:style>
  <w:style w:type="character" w:customStyle="1" w:styleId="23">
    <w:name w:val="页眉 Char"/>
    <w:basedOn w:val="13"/>
    <w:link w:val="8"/>
    <w:qFormat/>
    <w:uiPriority w:val="99"/>
    <w:rPr>
      <w:rFonts w:ascii="Times New Roman" w:hAnsi="Times New Roman" w:eastAsia="宋体" w:cs="Times New Roman"/>
      <w:sz w:val="18"/>
      <w:szCs w:val="18"/>
    </w:rPr>
  </w:style>
  <w:style w:type="character" w:customStyle="1" w:styleId="24">
    <w:name w:val="正文文本缩进 3 Char"/>
    <w:basedOn w:val="13"/>
    <w:link w:val="9"/>
    <w:semiHidden/>
    <w:qFormat/>
    <w:uiPriority w:val="0"/>
    <w:rPr>
      <w:rFonts w:ascii="仿宋_GB2312" w:hAnsi="Times New Roman" w:eastAsia="仿宋_GB2312" w:cs="Times New Roman"/>
      <w:kern w:val="0"/>
      <w:sz w:val="32"/>
      <w:szCs w:val="20"/>
    </w:rPr>
  </w:style>
  <w:style w:type="paragraph" w:customStyle="1" w:styleId="25">
    <w:name w:val="正文 New New New New New New New New New New New"/>
    <w:qFormat/>
    <w:uiPriority w:val="0"/>
    <w:pPr>
      <w:widowControl w:val="0"/>
      <w:adjustRightInd w:val="0"/>
      <w:spacing w:line="360" w:lineRule="atLeast"/>
      <w:textAlignment w:val="baseline"/>
    </w:pPr>
    <w:rPr>
      <w:rFonts w:ascii="Times New Roman" w:hAnsi="Times New Roman" w:eastAsia="昆仑楷体" w:cs="Times New Roman"/>
      <w:sz w:val="24"/>
      <w:lang w:val="en-US" w:eastAsia="zh-CN" w:bidi="ar-SA"/>
    </w:rPr>
  </w:style>
  <w:style w:type="paragraph" w:customStyle="1" w:styleId="26">
    <w:name w:val="列出段落1"/>
    <w:basedOn w:val="1"/>
    <w:qFormat/>
    <w:uiPriority w:val="34"/>
    <w:pPr>
      <w:adjustRightInd w:val="0"/>
      <w:spacing w:line="360" w:lineRule="atLeast"/>
      <w:ind w:firstLine="420" w:firstLineChars="200"/>
      <w:jc w:val="left"/>
      <w:textAlignment w:val="baseline"/>
    </w:pPr>
    <w:rPr>
      <w:rFonts w:eastAsia="昆仑楷体"/>
      <w:kern w:val="0"/>
      <w:sz w:val="24"/>
      <w:szCs w:val="20"/>
    </w:rPr>
  </w:style>
  <w:style w:type="paragraph" w:customStyle="1" w:styleId="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列表段落1"/>
    <w:basedOn w:val="1"/>
    <w:qFormat/>
    <w:uiPriority w:val="99"/>
    <w:pPr>
      <w:ind w:firstLine="420" w:firstLineChars="200"/>
    </w:pPr>
  </w:style>
  <w:style w:type="character" w:customStyle="1" w:styleId="30">
    <w:name w:val="页码 New"/>
    <w:qFormat/>
    <w:uiPriority w:val="0"/>
    <w:rPr>
      <w:rFonts w:cs="Times New Roman"/>
    </w:rPr>
  </w:style>
  <w:style w:type="character" w:customStyle="1" w:styleId="31">
    <w:name w:val="批注文字 字符1"/>
    <w:qFormat/>
    <w:uiPriority w:val="0"/>
    <w:rPr>
      <w:rFonts w:ascii="Times New Roman" w:hAnsi="Times New Roman" w:eastAsia="宋体" w:cs="Times New Roman"/>
      <w:szCs w:val="24"/>
    </w:rPr>
  </w:style>
  <w:style w:type="paragraph" w:customStyle="1" w:styleId="32">
    <w:name w:val="列出段落2"/>
    <w:basedOn w:val="1"/>
    <w:qFormat/>
    <w:uiPriority w:val="34"/>
    <w:pPr>
      <w:ind w:firstLine="420" w:firstLineChars="200"/>
    </w:pPr>
  </w:style>
  <w:style w:type="paragraph" w:styleId="33">
    <w:name w:val="List Paragraph"/>
    <w:basedOn w:val="1"/>
    <w:qFormat/>
    <w:uiPriority w:val="99"/>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5">
    <w:name w:val="正文文本缩进1"/>
    <w:basedOn w:val="1"/>
    <w:link w:val="36"/>
    <w:qFormat/>
    <w:uiPriority w:val="0"/>
    <w:pPr>
      <w:adjustRightInd w:val="0"/>
      <w:snapToGrid w:val="0"/>
      <w:spacing w:line="580" w:lineRule="atLeast"/>
      <w:ind w:firstLine="645"/>
      <w:jc w:val="left"/>
      <w:textAlignment w:val="baseline"/>
    </w:pPr>
    <w:rPr>
      <w:rFonts w:ascii="仿宋_GB2312" w:eastAsia="仿宋_GB2312"/>
      <w:kern w:val="0"/>
      <w:sz w:val="32"/>
      <w:szCs w:val="20"/>
    </w:rPr>
  </w:style>
  <w:style w:type="character" w:customStyle="1" w:styleId="36">
    <w:name w:val="正文文本缩进 Char Char"/>
    <w:link w:val="35"/>
    <w:qFormat/>
    <w:uiPriority w:val="0"/>
    <w:rPr>
      <w:rFonts w:ascii="仿宋_GB2312" w:hAnsi="Times New Roman" w:eastAsia="仿宋_GB2312" w:cs="Times New Roman"/>
      <w:sz w:val="32"/>
    </w:rPr>
  </w:style>
  <w:style w:type="paragraph" w:customStyle="1" w:styleId="3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批注文字 Char1"/>
    <w:qFormat/>
    <w:uiPriority w:val="0"/>
    <w:rPr>
      <w:rFonts w:eastAsia="昆仑楷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AE2C8-0192-4DA7-88DB-C06872542CF4}">
  <ds:schemaRefs/>
</ds:datastoreItem>
</file>

<file path=docProps/app.xml><?xml version="1.0" encoding="utf-8"?>
<Properties xmlns="http://schemas.openxmlformats.org/officeDocument/2006/extended-properties" xmlns:vt="http://schemas.openxmlformats.org/officeDocument/2006/docPropsVTypes">
  <Template>Normal</Template>
  <Pages>24</Pages>
  <Words>3648</Words>
  <Characters>20795</Characters>
  <Lines>1</Lines>
  <Paragraphs>1</Paragraphs>
  <TotalTime>4</TotalTime>
  <ScaleCrop>false</ScaleCrop>
  <LinksUpToDate>false</LinksUpToDate>
  <CharactersWithSpaces>24395</CharactersWithSpaces>
  <Application>WPS Office_12.8.2.15311_F1E327BC-269C-435d-A152-05C5408002CA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2022-11-02T03:59:00Z</dcterms:created>
  <dc:creator>京都律所-LHY</dc:creator>
  <cp:lastModifiedBy>王玉</cp:lastModifiedBy>
  <dcterms:modified xsi:type="dcterms:W3CDTF">2024-06-17T06:56:52Z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E1CF58E0F0F54CE09EDAA134C7B82446</vt:lpwstr>
  </property>
</Properties>
</file>